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Neural Compression of Sparse Tensors for Real-Time Inference</w:t>
      </w:r>
    </w:p>
    <w:p>
      <w:r>
        <w:rPr>
          <w:i/>
        </w:rPr>
        <w:t>Rayyan Shaikh¹, Alice Chen², Bob Müller³</w:t>
      </w:r>
    </w:p>
    <w:p>
      <w:r>
        <w:t>¹CoreTex Labs, Bangalore  ·  ²Stanford University  ·  ³ETH Zürich</w:t>
      </w:r>
    </w:p>
    <w:p>
      <w:pPr>
        <w:pStyle w:val="Heading2"/>
      </w:pPr>
      <w:r>
        <w:t>Abstract</w:t>
      </w:r>
    </w:p>
    <w:p>
      <w:r>
        <w:t>We present a novel approach to compressing sparse activation tensors in transformer architectures, achieving a 4.2× reduction in memory footprint with only 0.3% loss in downstream task accuracy. Our method combines block-sparse pruning with a learned quantization codebook, and we evaluate it on three benchmark suites — GLUE, SuperGLUE, and MMLU — across model sizes ranging from 350M to 70B parameters.</w:t>
      </w:r>
    </w:p>
    <w:p>
      <w:pPr>
        <w:pStyle w:val="Heading1"/>
      </w:pPr>
      <w:r>
        <w:t>1. Introduction</w:t>
      </w:r>
    </w:p>
    <w:p>
      <w:r>
        <w:t xml:space="preserve">Modern large language models suffer from memory pressure during inference, particularly when serving multiple concurrent requests. Activation tensors — the intermediate outputs of each attention block — dominate the working set in autoregressive decoding </w:t>
      </w:r>
      <w:r>
        <w:rPr>
          <w:i/>
        </w:rPr>
        <w:t>[1]</w:t>
      </w:r>
      <w:r>
        <w:t xml:space="preserve">. Prior work has explored </w:t>
      </w:r>
      <w:r>
        <w:rPr>
          <w:b/>
        </w:rPr>
        <w:t>static pruning</w:t>
      </w:r>
      <w:r>
        <w:t xml:space="preserve">, </w:t>
      </w:r>
      <w:r>
        <w:rPr>
          <w:b/>
        </w:rPr>
        <w:t>dynamic sparsity</w:t>
      </w:r>
      <w:r>
        <w:t xml:space="preserve">, and </w:t>
      </w:r>
      <w:r>
        <w:rPr>
          <w:b/>
        </w:rPr>
        <w:t>post-training quantization</w:t>
      </w:r>
      <w:r>
        <w:t>, but each suffers from accuracy degradation at extreme compression ratios.</w:t>
      </w:r>
    </w:p>
    <w:p>
      <w:r>
        <w:t xml:space="preserve">Our contributions are threefold. First, we identify the “double-quantization gap” phenomenon — where naïve combination of pruning and quantization compounds errors super-linearly. Second, we propose a joint optimization objective that explicitly accounts for this interaction. Third, we release reference implementations at </w:t>
      </w:r>
    </w:p>
    <w:p>
      <w:r>
        <w:rPr>
          <w:rFonts w:ascii="Consolas" w:hAnsi="Consolas"/>
        </w:rPr>
        <w:t>https://github.com/TheClazer/CoreTex</w:t>
      </w:r>
    </w:p>
    <w:p>
      <w:pPr>
        <w:pStyle w:val="Heading1"/>
      </w:pPr>
      <w:r>
        <w:t>2. Related Work</w:t>
      </w:r>
    </w:p>
    <w:p>
      <w:r>
        <w:t>Compression of neural networks has a long history. We focus on three lines:</w:t>
      </w:r>
    </w:p>
    <w:p>
      <w:pPr>
        <w:pStyle w:val="ListNumber"/>
      </w:pPr>
      <w:r>
        <w:t>Structured pruning approaches.</w:t>
      </w:r>
    </w:p>
    <w:p>
      <w:pPr>
        <w:pStyle w:val="ListNumber2"/>
      </w:pPr>
      <w:r>
        <w:t>Magnitude-based.</w:t>
      </w:r>
    </w:p>
    <w:p>
      <w:pPr>
        <w:pStyle w:val="ListNumber2"/>
      </w:pPr>
      <w:r>
        <w:t>Importance-score based (Taylor expansion).</w:t>
      </w:r>
    </w:p>
    <w:p>
      <w:pPr>
        <w:pStyle w:val="ListNumber"/>
      </w:pPr>
      <w:r>
        <w:t>Quantization approaches.</w:t>
      </w:r>
    </w:p>
    <w:p>
      <w:pPr>
        <w:pStyle w:val="ListNumber2"/>
      </w:pPr>
      <w:r>
        <w:t>Linear: GPTQ, AWQ.</w:t>
      </w:r>
    </w:p>
    <w:p>
      <w:pPr>
        <w:pStyle w:val="ListNumber2"/>
      </w:pPr>
      <w:r>
        <w:t>Non-linear: K-means codebook, vector quantization.</w:t>
      </w:r>
    </w:p>
    <w:p>
      <w:pPr>
        <w:pStyle w:val="ListNumber"/>
      </w:pPr>
      <w:r>
        <w:t>Hybrid approaches (closest to ours).</w:t>
      </w:r>
    </w:p>
    <w:p>
      <w:pPr>
        <w:pStyle w:val="Heading1"/>
      </w:pPr>
      <w:r>
        <w:t>3. Method</w:t>
      </w:r>
    </w:p>
    <w:p>
      <w:pPr>
        <w:pStyle w:val="Heading2"/>
      </w:pPr>
      <w:r>
        <w:t>3.1 Notation</w:t>
      </w:r>
    </w:p>
    <w:p>
      <w:r>
        <w:rPr>
          <w:i/>
        </w:rPr>
        <w:t>Let X ∈ ℝ</w:t>
      </w:r>
      <w:r>
        <w:rPr>
          <w:i/>
        </w:rPr>
        <w:t>ᵇˣⁿˣᵈ</w:t>
      </w:r>
      <w:r>
        <w:t xml:space="preserve"> denote an activation tensor with batch dimension b, sequence length n, and hidden size d. We seek a compressed representation X̃ such that ‖X − X̃‖² is bounded, while the encoded form requires fewer than </w:t>
      </w:r>
      <w:r>
        <w:rPr>
          <w:b/>
        </w:rPr>
        <w:t>kd</w:t>
      </w:r>
      <w:r>
        <w:t xml:space="preserve"> bits per token, for k &lt; 8.</w:t>
      </w:r>
    </w:p>
    <w:p>
      <w:pPr>
        <w:pStyle w:val="Heading2"/>
      </w:pPr>
      <w:r>
        <w:t>3.2 Algorithm</w:t>
      </w:r>
    </w:p>
    <w:p>
      <w:pPr>
        <w:pStyle w:val="ListBullet"/>
      </w:pPr>
      <w:r>
        <w:t>Our compression pipeline operates in three stages:</w:t>
      </w:r>
    </w:p>
    <w:p>
      <w:pPr>
        <w:pStyle w:val="ListBullet"/>
      </w:pPr>
      <w:r>
        <w:t>Block-sparse mask selection via top-k magnitude.</w:t>
      </w:r>
    </w:p>
    <w:p>
      <w:pPr>
        <w:pStyle w:val="ListBullet"/>
      </w:pPr>
      <w:r>
        <w:t>Codebook learning over surviving entries (Lloyd–Max).</w:t>
      </w:r>
    </w:p>
    <w:p>
      <w:pPr>
        <w:pStyle w:val="ListBullet"/>
      </w:pPr>
      <w:r>
        <w:t>Joint fine-tuning with the straight-through estimator.</w:t>
      </w:r>
    </w:p>
    <w:p>
      <w:pPr>
        <w:pStyle w:val="Heading1"/>
      </w:pPr>
      <w:r>
        <w:t>4. Experimental Results</w:t>
      </w:r>
    </w:p>
    <w:p>
      <w:r>
        <w:t>Table 1 summarises the trade-off between compression ratio and accuracy on the GLUE benchmark using the Llama-3 8B base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Bits/param</w:t>
            </w:r>
          </w:p>
        </w:tc>
        <w:tc>
          <w:tcPr>
            <w:tcW w:type="dxa" w:w="2160"/>
          </w:tcPr>
          <w:p>
            <w:r>
              <w:t>GLUE avg ↑</w:t>
            </w:r>
          </w:p>
        </w:tc>
        <w:tc>
          <w:tcPr>
            <w:tcW w:type="dxa" w:w="2160"/>
          </w:tcPr>
          <w:p>
            <w:r>
              <w:t>Speedup ×</w:t>
            </w:r>
          </w:p>
        </w:tc>
      </w:tr>
      <w:tr>
        <w:tc>
          <w:tcPr>
            <w:tcW w:type="dxa" w:w="2160"/>
          </w:tcPr>
          <w:p>
            <w:r>
              <w:t>Baseline (FP16)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84.2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GPTQ-4bit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2.85</w:t>
            </w:r>
          </w:p>
        </w:tc>
      </w:tr>
      <w:tr>
        <w:tc>
          <w:tcPr>
            <w:tcW w:type="dxa" w:w="2160"/>
          </w:tcPr>
          <w:p>
            <w:r>
              <w:t>AWQ-4bit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83.1</w:t>
            </w:r>
          </w:p>
        </w:tc>
        <w:tc>
          <w:tcPr>
            <w:tcW w:type="dxa" w:w="2160"/>
          </w:tcPr>
          <w:p>
            <w:r>
              <w:t>2.91</w:t>
            </w:r>
          </w:p>
        </w:tc>
      </w:tr>
      <w:tr>
        <w:tc>
          <w:tcPr>
            <w:tcW w:type="dxa" w:w="2160"/>
          </w:tcPr>
          <w:p>
            <w:r>
              <w:t>Ours (k=3.8)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83.9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</w:tr>
    </w:tbl>
    <w:p>
      <w:r>
        <w:rPr>
          <w:b/>
        </w:rPr>
        <w:t>Table 1.</w:t>
      </w:r>
      <w:r>
        <w:t xml:space="preserve"> Compression vs accuracy on GLUE-dev. Our method achieves a better Pareto frontier than both GPTQ and AWQ at comparable bit-widths.</w:t>
      </w:r>
    </w:p>
    <w:p>
      <w:r>
        <w:t>Figure 1 visualises the codebook utilisation distribution.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</w:t>
      </w:r>
      <w:r>
        <w:t xml:space="preserve"> Codebook entry utilisation (red: hot, blue: cold) across layers.</w:t>
      </w:r>
    </w:p>
    <w:p>
      <w:pPr>
        <w:pStyle w:val="Heading1"/>
      </w:pPr>
      <w:r>
        <w:t>5. Discussion</w:t>
      </w:r>
    </w:p>
    <w:p>
      <w:r>
        <w:t>We observed three failure modes during development. First, extreme low-bit regimes (k &lt; 2) collapse activations onto only a handful of codebook entries — the so-called “codebook collapse” issue, well known in vector quantization literature. Second, fine-tuning instability emerges when the straight-through estimator is combined with mixed-precision training; we resolved this by clipping gradients at the codebook boundary. Third, on very long sequences (≥ 32k tokens), the block-sparse mask becomes too fine-grained and the overhead of mask storage dominates.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Vaswani et al., “Attention Is All You Need,” NeurIPS 2017.</w:t>
      </w:r>
    </w:p>
    <w:p>
      <w:r>
        <w:t>[2] Frantar et al., “GPTQ: Accurate Post-Training Quantization,” ICLR 2023.</w:t>
      </w:r>
    </w:p>
    <w:p>
      <w:r>
        <w:t>[3] Lin et al., “AWQ: Activation-aware Weight Quantization,” MLSys 2024.</w:t>
      </w:r>
    </w:p>
    <w:p>
      <w:r>
        <w:t>[4] Han et al., “Deep Compression,” ICLR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