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b/>
          <w:bCs/>
          <w:sz w:val="32"/>
          <w:szCs w:val="32"/>
        </w:rPr>
        <w:t xml:space="preserve">Standard Operating Procedure (SOP)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999999" w:sz="4"/>
              <w:left w:val="single" w:color="999999" w:sz="4"/>
              <w:bottom w:val="single" w:color="999999" w:sz="4"/>
              <w:right w:val="single" w:color="999999" w:sz="4"/>
            </w:tcBorders>
            <w:tcMar>
              <w:top w:type="dxa" w:w="100"/>
              <w:left w:type="dxa" w:w="140"/>
              <w:bottom w:type="dxa" w:w="100"/>
              <w:right w:type="dxa" w:w="140"/>
            </w:tcMar>
            <w:vAlign w:val="center"/>
          </w:tcPr>
          <w:p>
            <w:r>
              <w:rPr>
                <w:b/>
                <w:bCs/>
              </w:rPr>
              <w:t xml:space="preserve">Process Title: </w:t>
            </w:r>
            <w:r>
              <w:t xml:space="preserve">Chatbot Incident Response</w:t>
            </w:r>
          </w:p>
        </w:tc>
        <w:tc>
          <w:tcPr>
            <w:tcW w:type="dxa" w:w="4680"/>
            <w:tcBorders>
              <w:top w:val="single" w:color="999999" w:sz="4"/>
              <w:left w:val="single" w:color="999999" w:sz="4"/>
              <w:bottom w:val="single" w:color="999999" w:sz="4"/>
              <w:right w:val="single" w:color="999999" w:sz="4"/>
            </w:tcBorders>
            <w:tcMar>
              <w:top w:type="dxa" w:w="100"/>
              <w:left w:type="dxa" w:w="140"/>
              <w:bottom w:type="dxa" w:w="100"/>
              <w:right w:type="dxa" w:w="140"/>
            </w:tcMar>
            <w:vAlign w:val="center"/>
          </w:tcPr>
          <w:p>
            <w:r>
              <w:rPr>
                <w:b/>
                <w:bCs/>
              </w:rPr>
              <w:t xml:space="preserve">Department: </w:t>
            </w:r>
            <w:r>
              <w:t xml:space="preserve">AI Operations</w:t>
            </w:r>
          </w:p>
        </w:tc>
      </w:tr>
      <w:tr>
        <w:tc>
          <w:tcPr>
            <w:tcW w:type="dxa" w:w="4680"/>
            <w:tcBorders>
              <w:top w:val="single" w:color="999999" w:sz="4"/>
              <w:left w:val="single" w:color="999999" w:sz="4"/>
              <w:bottom w:val="single" w:color="999999" w:sz="4"/>
              <w:right w:val="single" w:color="999999" w:sz="4"/>
            </w:tcBorders>
            <w:tcMar>
              <w:top w:type="dxa" w:w="100"/>
              <w:left w:type="dxa" w:w="140"/>
              <w:bottom w:type="dxa" w:w="100"/>
              <w:right w:type="dxa" w:w="140"/>
            </w:tcMar>
            <w:vAlign w:val="center"/>
          </w:tcPr>
          <w:p>
            <w:r>
              <w:rPr>
                <w:b/>
                <w:bCs/>
              </w:rPr>
              <w:t xml:space="preserve">SOP ID: </w:t>
            </w:r>
            <w:r>
              <w:t xml:space="preserve">AIO05</w:t>
            </w:r>
          </w:p>
        </w:tc>
        <w:tc>
          <w:tcPr>
            <w:tcW w:type="dxa" w:w="4680"/>
            <w:tcBorders>
              <w:top w:val="single" w:color="999999" w:sz="4"/>
              <w:left w:val="single" w:color="999999" w:sz="4"/>
              <w:bottom w:val="single" w:color="999999" w:sz="4"/>
              <w:right w:val="single" w:color="999999" w:sz="4"/>
            </w:tcBorders>
            <w:tcMar>
              <w:top w:type="dxa" w:w="100"/>
              <w:left w:type="dxa" w:w="140"/>
              <w:bottom w:type="dxa" w:w="100"/>
              <w:right w:type="dxa" w:w="140"/>
            </w:tcMar>
            <w:vAlign w:val="center"/>
          </w:tcPr>
          <w:p>
            <w:r>
              <w:rPr>
                <w:b/>
                <w:bCs/>
              </w:rPr>
              <w:t xml:space="preserve">Last Reviewed: </w:t>
            </w:r>
            <w:r>
              <w:t xml:space="preserve">05/15/2026</w:t>
            </w:r>
          </w:p>
        </w:tc>
      </w:tr>
      <w:tr>
        <w:tc>
          <w:tcPr>
            <w:tcW w:type="dxa" w:w="4680"/>
            <w:tcBorders>
              <w:top w:val="single" w:color="999999" w:sz="4"/>
              <w:left w:val="single" w:color="999999" w:sz="4"/>
              <w:bottom w:val="single" w:color="999999" w:sz="4"/>
              <w:right w:val="single" w:color="999999" w:sz="4"/>
            </w:tcBorders>
            <w:tcMar>
              <w:top w:type="dxa" w:w="100"/>
              <w:left w:type="dxa" w:w="140"/>
              <w:bottom w:type="dxa" w:w="100"/>
              <w:right w:type="dxa" w:w="140"/>
            </w:tcMar>
            <w:vAlign w:val="center"/>
          </w:tcPr>
          <w:p>
            <w:r>
              <w:rPr>
                <w:b/>
                <w:bCs/>
              </w:rPr>
              <w:t xml:space="preserve">Effective Date: </w:t>
            </w:r>
            <w:r>
              <w:t xml:space="preserve">05/15/2026</w:t>
            </w:r>
          </w:p>
        </w:tc>
        <w:tc>
          <w:tcPr>
            <w:tcW w:type="dxa" w:w="4680"/>
            <w:tcBorders>
              <w:top w:val="single" w:color="999999" w:sz="4"/>
              <w:left w:val="single" w:color="999999" w:sz="4"/>
              <w:bottom w:val="single" w:color="999999" w:sz="4"/>
              <w:right w:val="single" w:color="999999" w:sz="4"/>
            </w:tcBorders>
            <w:tcMar>
              <w:top w:type="dxa" w:w="100"/>
              <w:left w:type="dxa" w:w="140"/>
              <w:bottom w:type="dxa" w:w="100"/>
              <w:right w:type="dxa" w:w="140"/>
            </w:tcMar>
            <w:vAlign w:val="center"/>
          </w:tcPr>
          <w:p>
            <w:r>
              <w:rPr>
                <w:b/>
                <w:bCs/>
              </w:rPr>
              <w:t xml:space="preserve">Version: </w:t>
            </w:r>
            <w:r>
              <w:t xml:space="preserve">2</w:t>
            </w:r>
          </w:p>
        </w:tc>
      </w:tr>
    </w:tbl>
    <w:p>
      <w:pPr>
        <w:spacing w:after="80" w:before="240"/>
      </w:pPr>
      <w:r>
        <w:rPr>
          <w:b/>
          <w:bCs/>
          <w:sz w:val="26"/>
          <w:szCs w:val="26"/>
        </w:rPr>
        <w:t xml:space="preserve">Purpose</w:t>
      </w:r>
    </w:p>
    <w:p>
      <w:pPr>
        <w:spacing w:after="100"/>
      </w:pPr>
      <w:r>
        <w:t xml:space="preserve">Response to four classes of A.C.E. operational incident. Identify the type first, then follow the matching procedure. If more than one type applies, follow the most severe first (C, then B, then A, then D).</w:t>
      </w:r>
    </w:p>
    <w:p>
      <w:pPr>
        <w:pStyle w:val="Heading1"/>
        <w:spacing w:after="160" w:before="320"/>
      </w:pPr>
      <w:r>
        <w:rPr>
          <w:b/>
          <w:bCs/>
          <w:sz w:val="30"/>
          <w:szCs w:val="30"/>
        </w:rPr>
        <w:t xml:space="preserve">Type A — Wrong Answer Reported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760"/>
        <w:gridCol w:w="3600"/>
      </w:tblGrid>
      <w:tr>
        <w:tc>
          <w:tcPr>
            <w:tcW w:type="dxa" w:w="5760"/>
            <w:tcBorders>
              <w:top w:val="single" w:color="999999" w:sz="4"/>
              <w:left w:val="single" w:color="999999" w:sz="4"/>
              <w:bottom w:val="single" w:color="999999" w:sz="4"/>
              <w:right w:val="single" w:color="999999" w:sz="4"/>
            </w:tcBorders>
            <w:tcMar>
              <w:top w:type="dxa" w:w="100"/>
              <w:left w:type="dxa" w:w="140"/>
              <w:bottom w:type="dxa" w:w="100"/>
              <w:right w:type="dxa" w:w="140"/>
            </w:tcMar>
            <w:vAlign w:val="top"/>
          </w:tcPr>
          <w:p>
            <w:pPr>
              <w:spacing w:after="60"/>
            </w:pPr>
            <w:r>
              <w:rPr>
                <w:b/>
                <w:bCs/>
              </w:rPr>
              <w:t xml:space="preserve">Reproduce</w:t>
            </w:r>
          </w:p>
          <w:p>
            <w:pPr>
              <w:spacing w:after="60"/>
            </w:pPr>
            <w:r>
              <w:t xml:space="preserve">In the </w:t>
            </w:r>
            <w:r>
              <w:rPr>
                <w:b/>
                <w:bCs/>
              </w:rPr>
              <w:t xml:space="preserve">Ask</w:t>
            </w:r>
            <w:r>
              <w:t xml:space="preserve"> tab, submit the same question. Record what A.C.E. says.</w:t>
            </w:r>
          </w:p>
        </w:tc>
        <w:tc>
          <w:tcPr>
            <w:tcW w:type="dxa" w:w="3600"/>
            <w:tcBorders>
              <w:top w:val="single" w:color="999999" w:sz="4"/>
              <w:left w:val="single" w:color="999999" w:sz="4"/>
              <w:bottom w:val="single" w:color="999999" w:sz="4"/>
              <w:right w:val="single" w:color="999999" w:sz="4"/>
            </w:tcBorders>
            <w:tcMar>
              <w:top w:type="dxa" w:w="100"/>
              <w:left w:type="dxa" w:w="140"/>
              <w:bottom w:type="dxa" w:w="100"/>
              <w:right w:type="dxa" w:w="140"/>
            </w:tcMar>
            <w:vAlign w:val="center"/>
          </w:tcPr>
          <w:p>
            <w:r>
              <w:t xml:space="preserve"/>
            </w:r>
          </w:p>
        </w:tc>
      </w:tr>
      <w:tr>
        <w:tc>
          <w:tcPr>
            <w:tcW w:type="dxa" w:w="5760"/>
            <w:tcBorders>
              <w:top w:val="single" w:color="999999" w:sz="4"/>
              <w:left w:val="single" w:color="999999" w:sz="4"/>
              <w:bottom w:val="single" w:color="999999" w:sz="4"/>
              <w:right w:val="single" w:color="999999" w:sz="4"/>
            </w:tcBorders>
            <w:tcMar>
              <w:top w:type="dxa" w:w="100"/>
              <w:left w:type="dxa" w:w="140"/>
              <w:bottom w:type="dxa" w:w="100"/>
              <w:right w:type="dxa" w:w="140"/>
            </w:tcMar>
            <w:vAlign w:val="top"/>
          </w:tcPr>
          <w:p>
            <w:pPr>
              <w:spacing w:after="60"/>
            </w:pPr>
            <w:r>
              <w:rPr>
                <w:b/>
                <w:bCs/>
              </w:rPr>
              <w:t xml:space="preserve">If Reproducible</w:t>
            </w:r>
          </w:p>
          <w:p>
            <w:pPr>
              <w:spacing w:after="60"/>
            </w:pPr>
            <w:r>
              <w:t xml:space="preserve">Fix within 1 business day per AIO03 (KB File or Persona section). If legal/statutory content, notify Assessor or Deputy before fix.</w:t>
            </w:r>
          </w:p>
        </w:tc>
        <w:tc>
          <w:tcPr>
            <w:tcW w:type="dxa" w:w="3600"/>
            <w:tcBorders>
              <w:top w:val="single" w:color="999999" w:sz="4"/>
              <w:left w:val="single" w:color="999999" w:sz="4"/>
              <w:bottom w:val="single" w:color="999999" w:sz="4"/>
              <w:right w:val="single" w:color="999999" w:sz="4"/>
            </w:tcBorders>
            <w:tcMar>
              <w:top w:type="dxa" w:w="100"/>
              <w:left w:type="dxa" w:w="140"/>
              <w:bottom w:type="dxa" w:w="100"/>
              <w:right w:type="dxa" w:w="140"/>
            </w:tcMar>
            <w:vAlign w:val="center"/>
          </w:tcPr>
          <w:p>
            <w:r>
              <w:t xml:space="preserve"/>
            </w:r>
          </w:p>
        </w:tc>
      </w:tr>
      <w:tr>
        <w:tc>
          <w:tcPr>
            <w:tcW w:type="dxa" w:w="5760"/>
            <w:tcBorders>
              <w:top w:val="single" w:color="999999" w:sz="4"/>
              <w:left w:val="single" w:color="999999" w:sz="4"/>
              <w:bottom w:val="single" w:color="999999" w:sz="4"/>
              <w:right w:val="single" w:color="999999" w:sz="4"/>
            </w:tcBorders>
            <w:tcMar>
              <w:top w:type="dxa" w:w="100"/>
              <w:left w:type="dxa" w:w="140"/>
              <w:bottom w:type="dxa" w:w="100"/>
              <w:right w:type="dxa" w:w="140"/>
            </w:tcMar>
            <w:vAlign w:val="top"/>
          </w:tcPr>
          <w:p>
            <w:pPr>
              <w:spacing w:after="60"/>
            </w:pPr>
            <w:r>
              <w:rPr>
                <w:b/>
                <w:bCs/>
              </w:rPr>
              <w:t xml:space="preserve">If Not Reproducible</w:t>
            </w:r>
          </w:p>
          <w:p>
            <w:pPr>
              <w:spacing w:after="60"/>
            </w:pPr>
            <w:r>
              <w:t xml:space="preserve">Log details: question, reported answer, time, reporter contact. Re-check in 3 days. Close after 7 if no recurrence.</w:t>
            </w:r>
          </w:p>
        </w:tc>
        <w:tc>
          <w:tcPr>
            <w:tcW w:type="dxa" w:w="3600"/>
            <w:tcBorders>
              <w:top w:val="single" w:color="999999" w:sz="4"/>
              <w:left w:val="single" w:color="999999" w:sz="4"/>
              <w:bottom w:val="single" w:color="999999" w:sz="4"/>
              <w:right w:val="single" w:color="999999" w:sz="4"/>
            </w:tcBorders>
            <w:tcMar>
              <w:top w:type="dxa" w:w="100"/>
              <w:left w:type="dxa" w:w="140"/>
              <w:bottom w:type="dxa" w:w="100"/>
              <w:right w:type="dxa" w:w="140"/>
            </w:tcMar>
            <w:vAlign w:val="center"/>
          </w:tcPr>
          <w:p>
            <w:r>
              <w:t xml:space="preserve"/>
            </w:r>
          </w:p>
        </w:tc>
      </w:tr>
    </w:tbl>
    <w:p>
      <w:pPr>
        <w:pStyle w:val="Heading1"/>
        <w:spacing w:after="160" w:before="320"/>
      </w:pPr>
      <w:r>
        <w:rPr>
          <w:b/>
          <w:bCs/>
          <w:sz w:val="30"/>
          <w:szCs w:val="30"/>
        </w:rPr>
        <w:t xml:space="preserve">Type B — Agent Down or Broken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760"/>
        <w:gridCol w:w="3600"/>
      </w:tblGrid>
      <w:tr>
        <w:tc>
          <w:tcPr>
            <w:tcW w:type="dxa" w:w="5760"/>
            <w:tcBorders>
              <w:top w:val="single" w:color="999999" w:sz="4"/>
              <w:left w:val="single" w:color="999999" w:sz="4"/>
              <w:bottom w:val="single" w:color="999999" w:sz="4"/>
              <w:right w:val="single" w:color="999999" w:sz="4"/>
            </w:tcBorders>
            <w:tcMar>
              <w:top w:type="dxa" w:w="100"/>
              <w:left w:type="dxa" w:w="140"/>
              <w:bottom w:type="dxa" w:w="100"/>
              <w:right w:type="dxa" w:w="140"/>
            </w:tcMar>
            <w:vAlign w:val="top"/>
          </w:tcPr>
          <w:p>
            <w:pPr>
              <w:spacing w:after="60"/>
            </w:pPr>
            <w:r>
              <w:rPr>
                <w:b/>
                <w:bCs/>
              </w:rPr>
              <w:t xml:space="preserve">Confirm Outage</w:t>
            </w:r>
          </w:p>
          <w:p>
            <w:pPr>
              <w:spacing w:after="60"/>
            </w:pPr>
            <w:r>
              <w:t xml:space="preserve">Open the public A.C.E. embed and submit a test query. No response = confirmed.</w:t>
            </w:r>
          </w:p>
        </w:tc>
        <w:tc>
          <w:tcPr>
            <w:tcW w:type="dxa" w:w="3600"/>
            <w:tcBorders>
              <w:top w:val="single" w:color="999999" w:sz="4"/>
              <w:left w:val="single" w:color="999999" w:sz="4"/>
              <w:bottom w:val="single" w:color="999999" w:sz="4"/>
              <w:right w:val="single" w:color="999999" w:sz="4"/>
            </w:tcBorders>
            <w:tcMar>
              <w:top w:type="dxa" w:w="100"/>
              <w:left w:type="dxa" w:w="140"/>
              <w:bottom w:type="dxa" w:w="100"/>
              <w:right w:type="dxa" w:w="140"/>
            </w:tcMar>
            <w:vAlign w:val="center"/>
          </w:tcPr>
          <w:p>
            <w:r>
              <w:t xml:space="preserve"/>
            </w:r>
          </w:p>
        </w:tc>
      </w:tr>
      <w:tr>
        <w:tc>
          <w:tcPr>
            <w:tcW w:type="dxa" w:w="5760"/>
            <w:tcBorders>
              <w:top w:val="single" w:color="999999" w:sz="4"/>
              <w:left w:val="single" w:color="999999" w:sz="4"/>
              <w:bottom w:val="single" w:color="999999" w:sz="4"/>
              <w:right w:val="single" w:color="999999" w:sz="4"/>
            </w:tcBorders>
            <w:tcMar>
              <w:top w:type="dxa" w:w="100"/>
              <w:left w:type="dxa" w:w="140"/>
              <w:bottom w:type="dxa" w:w="100"/>
              <w:right w:type="dxa" w:w="140"/>
            </w:tcMar>
            <w:vAlign w:val="top"/>
          </w:tcPr>
          <w:p>
            <w:pPr>
              <w:spacing w:after="60"/>
            </w:pPr>
            <w:r>
              <w:rPr>
                <w:b/>
                <w:bCs/>
              </w:rPr>
              <w:t xml:space="preserve">Check Vendor Status</w:t>
            </w:r>
          </w:p>
          <w:p>
            <w:pPr>
              <w:spacing w:after="60"/>
            </w:pPr>
            <w:r>
              <w:t xml:space="preserve">Open CustomGPT.ai status page. If vendor outage, document and wait. Do not route queries through unapproved tools.</w:t>
            </w:r>
          </w:p>
        </w:tc>
        <w:tc>
          <w:tcPr>
            <w:tcW w:type="dxa" w:w="3600"/>
            <w:tcBorders>
              <w:top w:val="single" w:color="999999" w:sz="4"/>
              <w:left w:val="single" w:color="999999" w:sz="4"/>
              <w:bottom w:val="single" w:color="999999" w:sz="4"/>
              <w:right w:val="single" w:color="999999" w:sz="4"/>
            </w:tcBorders>
            <w:tcMar>
              <w:top w:type="dxa" w:w="100"/>
              <w:left w:type="dxa" w:w="140"/>
              <w:bottom w:type="dxa" w:w="100"/>
              <w:right w:type="dxa" w:w="140"/>
            </w:tcMar>
            <w:vAlign w:val="center"/>
          </w:tcPr>
          <w:p>
            <w:r>
              <w:t xml:space="preserve"/>
            </w:r>
          </w:p>
        </w:tc>
      </w:tr>
      <w:tr>
        <w:tc>
          <w:tcPr>
            <w:tcW w:type="dxa" w:w="5760"/>
            <w:tcBorders>
              <w:top w:val="single" w:color="999999" w:sz="4"/>
              <w:left w:val="single" w:color="999999" w:sz="4"/>
              <w:bottom w:val="single" w:color="999999" w:sz="4"/>
              <w:right w:val="single" w:color="999999" w:sz="4"/>
            </w:tcBorders>
            <w:tcMar>
              <w:top w:type="dxa" w:w="100"/>
              <w:left w:type="dxa" w:w="140"/>
              <w:bottom w:type="dxa" w:w="100"/>
              <w:right w:type="dxa" w:w="140"/>
            </w:tcMar>
            <w:vAlign w:val="top"/>
          </w:tcPr>
          <w:p>
            <w:pPr>
              <w:spacing w:after="60"/>
            </w:pPr>
            <w:r>
              <w:rPr>
                <w:b/>
                <w:bCs/>
              </w:rPr>
              <w:t xml:space="preserve">Notify if &gt; 1 Hour</w:t>
            </w:r>
          </w:p>
          <w:p>
            <w:pPr>
              <w:spacing w:after="60"/>
            </w:pPr>
            <w:r>
              <w:t xml:space="preserve">Email Assessor and Deputy with start time, current status, and expected resolution if known.</w:t>
            </w:r>
          </w:p>
        </w:tc>
        <w:tc>
          <w:tcPr>
            <w:tcW w:type="dxa" w:w="3600"/>
            <w:tcBorders>
              <w:top w:val="single" w:color="999999" w:sz="4"/>
              <w:left w:val="single" w:color="999999" w:sz="4"/>
              <w:bottom w:val="single" w:color="999999" w:sz="4"/>
              <w:right w:val="single" w:color="999999" w:sz="4"/>
            </w:tcBorders>
            <w:tcMar>
              <w:top w:type="dxa" w:w="100"/>
              <w:left w:type="dxa" w:w="140"/>
              <w:bottom w:type="dxa" w:w="100"/>
              <w:right w:type="dxa" w:w="140"/>
            </w:tcMar>
            <w:vAlign w:val="center"/>
          </w:tcPr>
          <w:p>
            <w:r>
              <w:t xml:space="preserve"/>
            </w:r>
          </w:p>
        </w:tc>
      </w:tr>
      <w:tr>
        <w:tc>
          <w:tcPr>
            <w:tcW w:type="dxa" w:w="5760"/>
            <w:tcBorders>
              <w:top w:val="single" w:color="999999" w:sz="4"/>
              <w:left w:val="single" w:color="999999" w:sz="4"/>
              <w:bottom w:val="single" w:color="999999" w:sz="4"/>
              <w:right w:val="single" w:color="999999" w:sz="4"/>
            </w:tcBorders>
            <w:tcMar>
              <w:top w:type="dxa" w:w="100"/>
              <w:left w:type="dxa" w:w="140"/>
              <w:bottom w:type="dxa" w:w="100"/>
              <w:right w:type="dxa" w:w="140"/>
            </w:tcMar>
            <w:vAlign w:val="top"/>
          </w:tcPr>
          <w:p>
            <w:pPr>
              <w:spacing w:after="60"/>
            </w:pPr>
            <w:r>
              <w:rPr>
                <w:b/>
                <w:bCs/>
              </w:rPr>
              <w:t xml:space="preserve">Document</w:t>
            </w:r>
          </w:p>
          <w:p>
            <w:pPr>
              <w:spacing w:after="60"/>
            </w:pPr>
            <w:r>
              <w:t xml:space="preserve">Record start time, end time, root cause, and resolution.</w:t>
            </w:r>
          </w:p>
        </w:tc>
        <w:tc>
          <w:tcPr>
            <w:tcW w:type="dxa" w:w="3600"/>
            <w:tcBorders>
              <w:top w:val="single" w:color="999999" w:sz="4"/>
              <w:left w:val="single" w:color="999999" w:sz="4"/>
              <w:bottom w:val="single" w:color="999999" w:sz="4"/>
              <w:right w:val="single" w:color="999999" w:sz="4"/>
            </w:tcBorders>
            <w:tcMar>
              <w:top w:type="dxa" w:w="100"/>
              <w:left w:type="dxa" w:w="140"/>
              <w:bottom w:type="dxa" w:w="100"/>
              <w:right w:type="dxa" w:w="140"/>
            </w:tcMar>
            <w:vAlign w:val="center"/>
          </w:tcPr>
          <w:p>
            <w:r>
              <w:t xml:space="preserve"/>
            </w:r>
          </w:p>
        </w:tc>
      </w:tr>
    </w:tbl>
    <w:p>
      <w:pPr>
        <w:pStyle w:val="Heading1"/>
        <w:spacing w:after="160" w:before="320"/>
      </w:pPr>
      <w:r>
        <w:rPr>
          <w:b/>
          <w:bCs/>
          <w:sz w:val="30"/>
          <w:szCs w:val="30"/>
        </w:rPr>
        <w:t xml:space="preserve">Type C — PII or Sensitive Disclosure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760"/>
        <w:gridCol w:w="3600"/>
      </w:tblGrid>
      <w:tr>
        <w:tc>
          <w:tcPr>
            <w:tcW w:type="dxa" w:w="5760"/>
            <w:tcBorders>
              <w:top w:val="single" w:color="999999" w:sz="4"/>
              <w:left w:val="single" w:color="999999" w:sz="4"/>
              <w:bottom w:val="single" w:color="999999" w:sz="4"/>
              <w:right w:val="single" w:color="999999" w:sz="4"/>
            </w:tcBorders>
            <w:tcMar>
              <w:top w:type="dxa" w:w="100"/>
              <w:left w:type="dxa" w:w="140"/>
              <w:bottom w:type="dxa" w:w="100"/>
              <w:right w:type="dxa" w:w="140"/>
            </w:tcMar>
            <w:vAlign w:val="top"/>
          </w:tcPr>
          <w:p>
            <w:pPr>
              <w:spacing w:after="60"/>
            </w:pPr>
            <w:r>
              <w:rPr>
                <w:b/>
                <w:bCs/>
              </w:rPr>
              <w:t xml:space="preserve">Pause the Agent Immediately</w:t>
            </w:r>
          </w:p>
          <w:p>
            <w:pPr>
              <w:spacing w:after="60"/>
            </w:pPr>
            <w:r>
              <w:t xml:space="preserve">Click </w:t>
            </w:r>
            <w:r>
              <w:rPr>
                <w:b/>
                <w:bCs/>
              </w:rPr>
              <w:t xml:space="preserve">Deploy</w:t>
            </w:r>
            <w:r>
              <w:t xml:space="preserve"> and disable public access. Contain first, then notify.</w:t>
            </w:r>
          </w:p>
        </w:tc>
        <w:tc>
          <w:tcPr>
            <w:tcW w:type="dxa" w:w="3600"/>
            <w:tcBorders>
              <w:top w:val="single" w:color="999999" w:sz="4"/>
              <w:left w:val="single" w:color="999999" w:sz="4"/>
              <w:bottom w:val="single" w:color="999999" w:sz="4"/>
              <w:right w:val="single" w:color="999999" w:sz="4"/>
            </w:tcBorders>
            <w:tcMar>
              <w:top w:type="dxa" w:w="100"/>
              <w:left w:type="dxa" w:w="140"/>
              <w:bottom w:type="dxa" w:w="100"/>
              <w:right w:type="dxa" w:w="140"/>
            </w:tcMar>
            <w:vAlign w:val="center"/>
          </w:tcPr>
          <w:p>
            <w:r>
              <w:t xml:space="preserve"/>
            </w:r>
          </w:p>
        </w:tc>
      </w:tr>
      <w:tr>
        <w:tc>
          <w:tcPr>
            <w:tcW w:type="dxa" w:w="5760"/>
            <w:tcBorders>
              <w:top w:val="single" w:color="999999" w:sz="4"/>
              <w:left w:val="single" w:color="999999" w:sz="4"/>
              <w:bottom w:val="single" w:color="999999" w:sz="4"/>
              <w:right w:val="single" w:color="999999" w:sz="4"/>
            </w:tcBorders>
            <w:tcMar>
              <w:top w:type="dxa" w:w="100"/>
              <w:left w:type="dxa" w:w="140"/>
              <w:bottom w:type="dxa" w:w="100"/>
              <w:right w:type="dxa" w:w="140"/>
            </w:tcMar>
            <w:vAlign w:val="top"/>
          </w:tcPr>
          <w:p>
            <w:pPr>
              <w:spacing w:after="60"/>
            </w:pPr>
            <w:r>
              <w:rPr>
                <w:b/>
                <w:bCs/>
              </w:rPr>
              <w:t xml:space="preserve">Notify Within 1 Hour</w:t>
            </w:r>
          </w:p>
          <w:p>
            <w:pPr>
              <w:spacing w:after="60"/>
            </w:pPr>
            <w:r>
              <w:t xml:space="preserve">Notify Assessor and office IT contact. Include time, what was disclosed, scope of exposure, current containment status.</w:t>
            </w:r>
          </w:p>
        </w:tc>
        <w:tc>
          <w:tcPr>
            <w:tcW w:type="dxa" w:w="3600"/>
            <w:tcBorders>
              <w:top w:val="single" w:color="999999" w:sz="4"/>
              <w:left w:val="single" w:color="999999" w:sz="4"/>
              <w:bottom w:val="single" w:color="999999" w:sz="4"/>
              <w:right w:val="single" w:color="999999" w:sz="4"/>
            </w:tcBorders>
            <w:tcMar>
              <w:top w:type="dxa" w:w="100"/>
              <w:left w:type="dxa" w:w="140"/>
              <w:bottom w:type="dxa" w:w="100"/>
              <w:right w:type="dxa" w:w="140"/>
            </w:tcMar>
            <w:vAlign w:val="center"/>
          </w:tcPr>
          <w:p>
            <w:r>
              <w:t xml:space="preserve"/>
            </w:r>
          </w:p>
        </w:tc>
      </w:tr>
      <w:tr>
        <w:tc>
          <w:tcPr>
            <w:tcW w:type="dxa" w:w="5760"/>
            <w:tcBorders>
              <w:top w:val="single" w:color="999999" w:sz="4"/>
              <w:left w:val="single" w:color="999999" w:sz="4"/>
              <w:bottom w:val="single" w:color="999999" w:sz="4"/>
              <w:right w:val="single" w:color="999999" w:sz="4"/>
            </w:tcBorders>
            <w:tcMar>
              <w:top w:type="dxa" w:w="100"/>
              <w:left w:type="dxa" w:w="140"/>
              <w:bottom w:type="dxa" w:w="100"/>
              <w:right w:type="dxa" w:w="140"/>
            </w:tcMar>
            <w:vAlign w:val="top"/>
          </w:tcPr>
          <w:p>
            <w:pPr>
              <w:spacing w:after="60"/>
            </w:pPr>
            <w:r>
              <w:rPr>
                <w:b/>
                <w:bCs/>
              </w:rPr>
              <w:t xml:space="preserve">Preserve Logs</w:t>
            </w:r>
          </w:p>
          <w:p>
            <w:pPr>
              <w:spacing w:after="60"/>
            </w:pPr>
            <w:r>
              <w:t xml:space="preserve">Do not delete any conversation, prompt, or telemetry. Do not modify persona or KB until reviewed. Note: platform retention is set to Never, but preservation discipline still applies.</w:t>
            </w:r>
          </w:p>
        </w:tc>
        <w:tc>
          <w:tcPr>
            <w:tcW w:type="dxa" w:w="3600"/>
            <w:tcBorders>
              <w:top w:val="single" w:color="999999" w:sz="4"/>
              <w:left w:val="single" w:color="999999" w:sz="4"/>
              <w:bottom w:val="single" w:color="999999" w:sz="4"/>
              <w:right w:val="single" w:color="999999" w:sz="4"/>
            </w:tcBorders>
            <w:tcMar>
              <w:top w:type="dxa" w:w="100"/>
              <w:left w:type="dxa" w:w="140"/>
              <w:bottom w:type="dxa" w:w="100"/>
              <w:right w:type="dxa" w:w="140"/>
            </w:tcMar>
            <w:vAlign w:val="center"/>
          </w:tcPr>
          <w:p>
            <w:r>
              <w:t xml:space="preserve"/>
            </w:r>
          </w:p>
        </w:tc>
      </w:tr>
      <w:tr>
        <w:tc>
          <w:tcPr>
            <w:tcW w:type="dxa" w:w="5760"/>
            <w:tcBorders>
              <w:top w:val="single" w:color="999999" w:sz="4"/>
              <w:left w:val="single" w:color="999999" w:sz="4"/>
              <w:bottom w:val="single" w:color="999999" w:sz="4"/>
              <w:right w:val="single" w:color="999999" w:sz="4"/>
            </w:tcBorders>
            <w:tcMar>
              <w:top w:type="dxa" w:w="100"/>
              <w:left w:type="dxa" w:w="140"/>
              <w:bottom w:type="dxa" w:w="100"/>
              <w:right w:type="dxa" w:w="140"/>
            </w:tcMar>
            <w:vAlign w:val="top"/>
          </w:tcPr>
          <w:p>
            <w:pPr>
              <w:spacing w:after="60"/>
            </w:pPr>
            <w:r>
              <w:rPr>
                <w:b/>
                <w:bCs/>
              </w:rPr>
              <w:t xml:space="preserve">Do Not Restart Without Review</w:t>
            </w:r>
          </w:p>
          <w:p>
            <w:pPr>
              <w:spacing w:after="60"/>
            </w:pPr>
            <w:r>
              <w:t xml:space="preserve">Restart only after disclosure pathway is closed, affected records documented, Assessor or designee has authorized restart.</w:t>
            </w:r>
          </w:p>
        </w:tc>
        <w:tc>
          <w:tcPr>
            <w:tcW w:type="dxa" w:w="3600"/>
            <w:tcBorders>
              <w:top w:val="single" w:color="999999" w:sz="4"/>
              <w:left w:val="single" w:color="999999" w:sz="4"/>
              <w:bottom w:val="single" w:color="999999" w:sz="4"/>
              <w:right w:val="single" w:color="999999" w:sz="4"/>
            </w:tcBorders>
            <w:tcMar>
              <w:top w:type="dxa" w:w="100"/>
              <w:left w:type="dxa" w:w="140"/>
              <w:bottom w:type="dxa" w:w="100"/>
              <w:right w:type="dxa" w:w="140"/>
            </w:tcMar>
            <w:vAlign w:val="center"/>
          </w:tcPr>
          <w:p>
            <w:r>
              <w:t xml:space="preserve"/>
            </w:r>
          </w:p>
        </w:tc>
      </w:tr>
    </w:tbl>
    <w:p>
      <w:pPr>
        <w:pStyle w:val="Heading1"/>
        <w:spacing w:after="160" w:before="320"/>
      </w:pPr>
      <w:r>
        <w:rPr>
          <w:b/>
          <w:bCs/>
          <w:sz w:val="30"/>
          <w:szCs w:val="30"/>
        </w:rPr>
        <w:t xml:space="preserve">Type D — Abusive or Hostile User Content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760"/>
        <w:gridCol w:w="3600"/>
      </w:tblGrid>
      <w:tr>
        <w:tc>
          <w:tcPr>
            <w:tcW w:type="dxa" w:w="5760"/>
            <w:tcBorders>
              <w:top w:val="single" w:color="999999" w:sz="4"/>
              <w:left w:val="single" w:color="999999" w:sz="4"/>
              <w:bottom w:val="single" w:color="999999" w:sz="4"/>
              <w:right w:val="single" w:color="999999" w:sz="4"/>
            </w:tcBorders>
            <w:tcMar>
              <w:top w:type="dxa" w:w="100"/>
              <w:left w:type="dxa" w:w="140"/>
              <w:bottom w:type="dxa" w:w="100"/>
              <w:right w:type="dxa" w:w="140"/>
            </w:tcMar>
            <w:vAlign w:val="top"/>
          </w:tcPr>
          <w:p>
            <w:pPr>
              <w:spacing w:after="60"/>
            </w:pPr>
            <w:r>
              <w:rPr>
                <w:b/>
                <w:bCs/>
              </w:rPr>
              <w:t xml:space="preserve">Log and Disengage</w:t>
            </w:r>
          </w:p>
          <w:p>
            <w:pPr>
              <w:spacing w:after="60"/>
            </w:pPr>
            <w:r>
              <w:t xml:space="preserve">Log prompt, time, user identifiers. Do not engage from inside the agent. Routine hostility is handled by persona; this SOP is for threats or sustained abuse.</w:t>
            </w:r>
          </w:p>
        </w:tc>
        <w:tc>
          <w:tcPr>
            <w:tcW w:type="dxa" w:w="3600"/>
            <w:tcBorders>
              <w:top w:val="single" w:color="999999" w:sz="4"/>
              <w:left w:val="single" w:color="999999" w:sz="4"/>
              <w:bottom w:val="single" w:color="999999" w:sz="4"/>
              <w:right w:val="single" w:color="999999" w:sz="4"/>
            </w:tcBorders>
            <w:tcMar>
              <w:top w:type="dxa" w:w="100"/>
              <w:left w:type="dxa" w:w="140"/>
              <w:bottom w:type="dxa" w:w="100"/>
              <w:right w:type="dxa" w:w="140"/>
            </w:tcMar>
            <w:vAlign w:val="center"/>
          </w:tcPr>
          <w:p>
            <w:r>
              <w:t xml:space="preserve"/>
            </w:r>
          </w:p>
        </w:tc>
      </w:tr>
      <w:tr>
        <w:tc>
          <w:tcPr>
            <w:tcW w:type="dxa" w:w="5760"/>
            <w:tcBorders>
              <w:top w:val="single" w:color="999999" w:sz="4"/>
              <w:left w:val="single" w:color="999999" w:sz="4"/>
              <w:bottom w:val="single" w:color="999999" w:sz="4"/>
              <w:right w:val="single" w:color="999999" w:sz="4"/>
            </w:tcBorders>
            <w:tcMar>
              <w:top w:type="dxa" w:w="100"/>
              <w:left w:type="dxa" w:w="140"/>
              <w:bottom w:type="dxa" w:w="100"/>
              <w:right w:type="dxa" w:w="140"/>
            </w:tcMar>
            <w:vAlign w:val="top"/>
          </w:tcPr>
          <w:p>
            <w:pPr>
              <w:spacing w:after="60"/>
            </w:pPr>
            <w:r>
              <w:rPr>
                <w:b/>
                <w:bCs/>
              </w:rPr>
              <w:t xml:space="preserve">Escalate If Threats Present</w:t>
            </w:r>
          </w:p>
          <w:p>
            <w:pPr>
              <w:spacing w:after="60"/>
            </w:pPr>
            <w:r>
              <w:t xml:space="preserve">Threats against staff or office — notify Assessor and County security within 1 hour with full prompt text and metadata.</w:t>
            </w:r>
          </w:p>
        </w:tc>
        <w:tc>
          <w:tcPr>
            <w:tcW w:type="dxa" w:w="3600"/>
            <w:tcBorders>
              <w:top w:val="single" w:color="999999" w:sz="4"/>
              <w:left w:val="single" w:color="999999" w:sz="4"/>
              <w:bottom w:val="single" w:color="999999" w:sz="4"/>
              <w:right w:val="single" w:color="999999" w:sz="4"/>
            </w:tcBorders>
            <w:tcMar>
              <w:top w:type="dxa" w:w="100"/>
              <w:left w:type="dxa" w:w="140"/>
              <w:bottom w:type="dxa" w:w="100"/>
              <w:right w:type="dxa" w:w="140"/>
            </w:tcMar>
            <w:vAlign w:val="center"/>
          </w:tcPr>
          <w:p>
            <w:r>
              <w:t xml:space="preserve"/>
            </w:r>
          </w:p>
        </w:tc>
      </w:tr>
      <w:tr>
        <w:tc>
          <w:tcPr>
            <w:tcW w:type="dxa" w:w="5760"/>
            <w:tcBorders>
              <w:top w:val="single" w:color="999999" w:sz="4"/>
              <w:left w:val="single" w:color="999999" w:sz="4"/>
              <w:bottom w:val="single" w:color="999999" w:sz="4"/>
              <w:right w:val="single" w:color="999999" w:sz="4"/>
            </w:tcBorders>
            <w:tcMar>
              <w:top w:type="dxa" w:w="100"/>
              <w:left w:type="dxa" w:w="140"/>
              <w:bottom w:type="dxa" w:w="100"/>
              <w:right w:type="dxa" w:w="140"/>
            </w:tcMar>
            <w:vAlign w:val="top"/>
          </w:tcPr>
          <w:p>
            <w:pPr>
              <w:spacing w:after="60"/>
            </w:pPr>
            <w:r>
              <w:rPr>
                <w:b/>
                <w:bCs/>
              </w:rPr>
              <w:t xml:space="preserve">Pattern Response</w:t>
            </w:r>
          </w:p>
          <w:p>
            <w:pPr>
              <w:spacing w:after="60"/>
            </w:pPr>
            <w:r>
              <w:t xml:space="preserve">Same user or IP repeating across conversations — coordinate with IT for IP-level or embed-level blocking.</w:t>
            </w:r>
          </w:p>
        </w:tc>
        <w:tc>
          <w:tcPr>
            <w:tcW w:type="dxa" w:w="3600"/>
            <w:tcBorders>
              <w:top w:val="single" w:color="999999" w:sz="4"/>
              <w:left w:val="single" w:color="999999" w:sz="4"/>
              <w:bottom w:val="single" w:color="999999" w:sz="4"/>
              <w:right w:val="single" w:color="999999" w:sz="4"/>
            </w:tcBorders>
            <w:tcMar>
              <w:top w:type="dxa" w:w="100"/>
              <w:left w:type="dxa" w:w="140"/>
              <w:bottom w:type="dxa" w:w="100"/>
              <w:right w:type="dxa" w:w="140"/>
            </w:tcMar>
            <w:vAlign w:val="center"/>
          </w:tcPr>
          <w:p>
            <w:r>
              <w:t xml:space="preserve"/>
            </w:r>
          </w:p>
        </w:tc>
      </w:tr>
    </w:tbl>
    <w:sectPr>
      <w:pgSz w:w="12240" w:h="15840" w:orient="portrait"/>
      <w:pgMar w:top="1440" w:right="1440" w:bottom="117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Calibri" w:cs="Calibri" w:eastAsia="Calibri" w:hAnsi="Calibri"/>
      <w:b/>
      <w:bCs/>
      <w:sz w:val="30"/>
      <w:szCs w:val="30"/>
    </w:rPr>
  </w:style>
  <w:style w:type="paragraph" w:styleId="Heading2">
    <w:name w:val="Heading 2"/>
    <w:basedOn w:val="Normal"/>
    <w:next w:val="Normal"/>
    <w:qFormat/>
    <w:pPr>
      <w:spacing w:after="100" w:before="240"/>
      <w:outlineLvl w:val="1"/>
    </w:pPr>
    <w:rPr>
      <w:rFonts w:ascii="Calibri" w:cs="Calibri" w:eastAsia="Calibri" w:hAnsi="Calibri"/>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Aaron Newe</dc:creator>
  <cp:lastModifiedBy>Un-named</cp:lastModifiedBy>
  <cp:revision>1</cp:revision>
  <dcterms:created xsi:type="dcterms:W3CDTF">2026-05-15T14:20:39.907Z</dcterms:created>
  <dcterms:modified xsi:type="dcterms:W3CDTF">2026-05-15T14:20:39.907Z</dcterms:modified>
</cp:coreProperties>
</file>

<file path=docProps/custom.xml><?xml version="1.0" encoding="utf-8"?>
<Properties xmlns="http://schemas.openxmlformats.org/officeDocument/2006/custom-properties" xmlns:vt="http://schemas.openxmlformats.org/officeDocument/2006/docPropsVTypes"/>
</file>