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Baseline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Internal Agent Configuration and Sources Baseline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BIO04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1.2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Per-agent operational facts for internal CustomGPT agents. Reference for change control (BIO01), quarterly review (BIO02), and incident response (BIO03). Reviewed annually or after any permanent configuration change.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Agent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Compliance Expert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Paralegal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Onboarding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Project ID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Display name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A.C.E (Assessor’s Compliance Expert)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Paralegal A.C.E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A.C.E (Advisor for Clear Expectations)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Audience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Internal office staff (Assessor, Deputy, staff)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33 NM county assessor offices via Assessor Affiliate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New hires at Bernalillo Assessor’s Office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Access mechanism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Internal direct via CustomGPT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Password-protected page at bernco.gov/assessor/protected/paralegal-chatbot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Internal direct via CustomGPT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Password / credentials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N/A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Stored in office password manager. Do not place literal password in any distributed document. Last set in conjunction with Assessor Affiliate Conference 2024.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Visibility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Likely Private — confirm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Public agent with domain access controlled by the protected page wrapper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Likely Private — confirm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Approximate volume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~10 queries / billing cycle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~12 queries / billing cycle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Documents added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2,662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252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Documents read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2,454 (92% read ratio)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252 (100% read ratio)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Words stored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37.8M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TBD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3.3M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Persona stakes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High — legal analysis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High — statewide practice across 33 counties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Medium — internal policy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Change review path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County Attorney for substantive edits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Assessor review per Jan 2025 directive</w:t>
            </w:r>
          </w:p>
        </w:tc>
        <w:tc>
          <w:tcPr>
            <w:tcW w:type="dxa" w:w="2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Deputy notification only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Paralegal Access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Access URL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https://www.bernco.gov/assessor/protected/paralegal-chatbot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Wrapper page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WordPress password-protected post on bernco.gov. The wrapper sits in front of the embedded CustomGPT agent. Loss of either the wrapper page or the embed breaks access.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Stored in office password manager (not in this document). Shared with the Assessor Affiliate distribution list. Last rotated in December 2024 in conjunction with the Assessor Affiliate Conference.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33 NM county assessor offices listed on the Affiliate distribution. Use is internal to assessor offices only; password is not to be shared with the public.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Placeholder prompt (user-facing scope)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“Ask me questions related to Assessment, IAAO, or New Mexico Law.” — the first thing users see. Defines perceived scope. Editable under Personalize → Conversation, so changes require BIO01 Section D discipline.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KB seed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Initial KB seeded via emails from county assessors sharing AG opinions, case digests, and quick reference guides. Per Assessor directive (Jan 2, 2025): all submissions reviewed by Assessor before upload.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Paralegal KB Sources (Website / Sitemap)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URL / Source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Docs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https://www.nmdfa.state.nm.us/wp-sitemap.xml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449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NM Department of Finance and Administration. State fiscal guidance.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https://www.tax.newmexico.gov/sitemap_index.xml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136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NM Taxation and Revenue Department. Authoritative state tax guidance.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https://www.bernco.gov/assessor/sitemap_index.xml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197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Bernalillo County Assessor (own site).</w:t>
            </w:r>
          </w:p>
        </w:tc>
      </w:tr>
    </w:tbl>
    <w:p>
      <w:pPr>
        <w:spacing w:after="100"/>
      </w:pPr>
      <w:r>
        <w:t xml:space="preserve">Note: Paralegal sources are narrower than the public agent’s sources — no REALTOR-association content, no other county sites. This is appropriate for a legal-research tool serving multiple counties; broader sources would introduce single-county or commercial bias.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Canary Queries</w:t>
      </w:r>
    </w:p>
    <w:p>
      <w:pPr>
        <w:spacing w:after="100"/>
      </w:pPr>
      <w:r>
        <w:t xml:space="preserve">Each agent has a fixed test query with a known correct answer, used after any change to confirm baseline behavior. Update the canary only when the underlying authority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Compliance Expert canary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Query: </w:t>
            </w:r>
            <w:r>
              <w:t xml:space="preserve">“What is the statutory citation and current value for the head of family exemption?”</w:t>
            </w:r>
          </w:p>
          <w:p>
            <w:r>
              <w:rPr>
                <w:b/>
                <w:bCs/>
              </w:rPr>
              <w:t xml:space="preserve">Expected: </w:t>
            </w:r>
            <w:r>
              <w:t xml:space="preserve">NMSA § 7-37-4. Current value: $2,000. Principal residence. One per property.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Paralegal canary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Query: </w:t>
            </w:r>
            <w:r>
              <w:t xml:space="preserve">“What is the statutory citation and current value for the head of family exemption?”</w:t>
            </w:r>
          </w:p>
          <w:p>
            <w:r>
              <w:rPr>
                <w:b/>
                <w:bCs/>
              </w:rPr>
              <w:t xml:space="preserve">Expected: </w:t>
            </w:r>
            <w:r>
              <w:t xml:space="preserve">NMSA § 7-37-4. Current value: $2,000. Principal residence. One per property. Note: same query as Compliance Expert because both agents should produce the same authoritative answer; if they diverge, the divergence itself is the signal.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Onboarding canary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Query: </w:t>
            </w:r>
            <w:r>
              <w:t xml:space="preserve">“What are the primary responsibilities of an Assessor Technician II, and what appraisal standards should I be familiar with?”</w:t>
            </w:r>
          </w:p>
          <w:p>
            <w:r>
              <w:rPr>
                <w:b/>
                <w:bCs/>
              </w:rPr>
              <w:t xml:space="preserve">Expected: </w:t>
            </w:r>
            <w:r>
              <w:t xml:space="preserve">Reviewing and processing property valuation documents, responding to taxpayer inquiries, updating property records. Familiarity with basic appraisal principles, IAAO guidelines, and USPAP. Source: documented example in the Onboarding persona’s Example Use Case section.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Configuration Notes (per agent)</w:t>
      </w:r>
    </w:p>
    <w:p>
      <w:pPr>
        <w:spacing w:after="100"/>
      </w:pPr>
      <w:r>
        <w:t xml:space="preserve">Most fields are TBD pending a per-agent configuration audit. When run, populate from each agent’s Personalize and Deploy tabs.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Compliance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 — confirm Private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Model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Data Source Control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 — must be “My Data Only” for legal research integrity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Whitelisted Domains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Conversation Retention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 Search Action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Must be Inactive — unverified web content is incompatible with legal citation requirements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Paralegal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Public agent; access gated by password-protected wrapper page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Model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Data Source Control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Whitelisted Domains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Conversation Retention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Placeholder Prompt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“Ask me questions related to Assessment, IAAO, or New Mexico Law.”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Web Search Action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Must be Inactive — unverified web content is incompatible with legal citation requirements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Visibility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 — likely Private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AI Model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Data Source Control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  <w:tr>
        <w:tc>
          <w:tcPr>
            <w:tcW w:type="dxa" w:w="3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Conversation Retention</w:t>
            </w:r>
          </w:p>
        </w:tc>
        <w:tc>
          <w:tcPr>
            <w:tcW w:type="dxa" w:w="5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TBD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Open Questions / Items to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Project IDs </w:t>
            </w:r>
            <w:r>
              <w:t xml:space="preserve">for all three internal agents. Visible in the Deploy tab of each agent.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Configuration audit </w:t>
            </w:r>
            <w:r>
              <w:t xml:space="preserve">per agent. Compliance Expert most urgent because of legal stakes; Paralegal next because statewide exposure.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Paralegal full KB inventory </w:t>
            </w:r>
            <w:r>
              <w:t xml:space="preserve">beyond the 3 website sources captured here — confirm whether any file-upload KB exists.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Paralegal Terms of Service URL </w:t>
            </w:r>
            <w:r>
              <w:t xml:space="preserve">— confirm whether the protected-page wrapper links to the same disclaimer as the public agent (bernco.gov/assessor/chatbot-disclaimer/) or to a Paralegal-specific page. If shared, confirm the disclaimer language covers both public and 33-county-affiliate use.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Orchestrator routing target </w:t>
            </w:r>
            <w:r>
              <w:t xml:space="preserve">— the Onboarding persona reviewed on May 15, 2026 is the clean version without the orchestrator relay directive. Confirm whether orchestrator routing terminates in a CustomGPT agent or in the FastMCP / Zapier MCP layer outside CustomGPT. Reference: orchestrator forwarding target was previously documented as agent ID 83861.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Password rotation cadence </w:t>
            </w:r>
            <w:r>
              <w:t xml:space="preserve">for the Paralegal protected page. Current password was set in conjunction with the December 2024 Affiliate Conference; no scheduled rotation is documented.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Validate canary queries </w:t>
            </w:r>
            <w:r>
              <w:t xml:space="preserve">against each live agent before treating them as canonical.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2026-05-15T16:06:32.873Z</dcterms:created>
  <dcterms:modified xsi:type="dcterms:W3CDTF">2026-05-15T16:06:32.873Z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