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spacing w:before="0" w:after="0" w:line="360" w:lineRule="auto"/>
        <w:ind w:firstLineChars="0"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16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河北工业大学</w:t>
      </w:r>
    </w:p>
    <w:p>
      <w:pPr>
        <w:jc w:val="center"/>
        <w:spacing w:before="0" w:after="44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软件工程课程实验</w:t>
      </w:r>
    </w:p>
    <w:p>
      <w:pPr>
        <w:jc w:val="center"/>
        <w:spacing w:before="0" w:after="240" w:line="360" w:lineRule="auto"/>
        <w:ind w:firstLineChars="0" w:firstLine="0"/>
      </w:pPr>
      <w:r>
        <w:rPr>
          <w:rFonts w:ascii="SimHei" w:hAnsi="SimHei" w:eastAsia="黑体"/>
          <w:b/>
          <w:sz w:val="68"/>
        </w:rPr>
        <w:t>实  验  报  告</w:t>
      </w:r>
    </w:p>
    <w:p>
      <w:pPr>
        <w:jc w:val="center"/>
        <w:spacing w:before="0" w:after="760" w:line="360" w:lineRule="auto"/>
        <w:ind w:firstLineChars="0" w:firstLine="0"/>
      </w:pPr>
      <w:r>
        <w:rPr>
          <w:rFonts w:ascii="Times New Roman" w:hAnsi="Times New Roman" w:eastAsia="楷体"/>
          <w:b w:val="0"/>
          <w:sz w:val="26"/>
        </w:rPr>
        <w:t>（第二部分  设计规格说明书）</w:t>
      </w:r>
    </w:p>
    <w:p>
      <w:pPr>
        <w:jc w:val="center"/>
        <w:spacing w:before="0" w:after="880" w:line="360" w:lineRule="auto"/>
        <w:ind w:firstLineChars="0" w:firstLine="0"/>
      </w:pPr>
      <w:r>
        <w:rPr>
          <w:rFonts w:ascii="SimHei" w:hAnsi="SimHei" w:eastAsia="黑体"/>
          <w:b w:val="0"/>
          <w:sz w:val="32"/>
        </w:rPr>
        <w:t>题目：</w:t>
      </w:r>
      <w:r>
        <w:rPr>
          <w:rFonts w:ascii="SimHei" w:hAnsi="SimHei" w:eastAsia="黑体"/>
          <w:b/>
          <w:sz w:val="32"/>
        </w:rPr>
        <w:t>云原生微服务架构实践——在线商城系统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专　　业：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班　　级：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　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长：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成　　员：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指导教师：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完成日期：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spacing w:before="0" w:after="0"/>
        <w:ind w:firstLineChars="0" w:firstLine="0"/>
      </w:pPr>
      <w:r>
        <w:br w:type="page"/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1. 引言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1.1 设计目标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本实验在实验一需求规格说明书的基础上，把「在线商城系统」的需求转化为可实施的设计方案，回答三个问题：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怎么拆</w:t>
      </w:r>
      <w:r>
        <w:rPr>
          <w:rFonts w:ascii="Times New Roman" w:hAnsi="Times New Roman" w:eastAsia="宋体"/>
          <w:sz w:val="24"/>
        </w:rPr>
        <w:t xml:space="preserve">：把一个电商系统拆成几个服务，每个服务负责什么，边界划在哪；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怎么连</w:t>
      </w:r>
      <w:r>
        <w:rPr>
          <w:rFonts w:ascii="Times New Roman" w:hAnsi="Times New Roman" w:eastAsia="宋体"/>
          <w:sz w:val="24"/>
        </w:rPr>
        <w:t xml:space="preserve">：服务之间如何调用、如何保证数据一致、出问题时如何兜底；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怎么存</w:t>
      </w:r>
      <w:r>
        <w:rPr>
          <w:rFonts w:ascii="Times New Roman" w:hAnsi="Times New Roman" w:eastAsia="宋体"/>
          <w:sz w:val="24"/>
        </w:rPr>
        <w:t xml:space="preserve">：需求模型怎样落到关系数据库的表结构。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设计需要同时满足实验一的非功能需求：单机 4 GB 内存可运行、核心流程响应在秒级、关键并发场景（库存超卖、重复回调、重复下单）不发生数据错误。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1.2 设计原则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2-1 设计原则与落地方式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410"/>
        <w:gridCol w:w="5444"/>
      </w:tblGrid>
      <w:tr>
        <w:trPr>
          <w:cantSplit/>
          <w:tblHeader/>
        </w:trPr>
        <w:tc>
          <w:tcPr>
            <w:tcW w:type="dxa" w:w="341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原则</w:t>
            </w:r>
          </w:p>
        </w:tc>
        <w:tc>
          <w:tcPr>
            <w:tcW w:type="dxa" w:w="544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在本项目中的落地</w:t>
            </w:r>
          </w:p>
        </w:tc>
      </w:tr>
      <w:tr>
        <w:trPr>
          <w:cantSplit/>
        </w:trPr>
        <w:tc>
          <w:tcPr>
            <w:tcW w:type="dxa" w:w="341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按业务能力垂直拆分</w:t>
            </w:r>
          </w:p>
        </w:tc>
        <w:tc>
          <w:tcPr>
            <w:tcW w:type="dxa" w:w="54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用户、商品、购物车、订单、支付五个服务，各自独立部署、独立数据库</w:t>
            </w:r>
          </w:p>
        </w:tc>
      </w:tr>
      <w:tr>
        <w:trPr>
          <w:cantSplit/>
        </w:trPr>
        <w:tc>
          <w:tcPr>
            <w:tcW w:type="dxa" w:w="341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数据库私有</w:t>
            </w:r>
          </w:p>
        </w:tc>
        <w:tc>
          <w:tcPr>
            <w:tcW w:type="dxa" w:w="54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一个服务一个库，禁止跨库 JOIN，需要别的服务的数据一律调接口</w:t>
            </w:r>
          </w:p>
        </w:tc>
      </w:tr>
      <w:tr>
        <w:trPr>
          <w:cantSplit/>
        </w:trPr>
        <w:tc>
          <w:tcPr>
            <w:tcW w:type="dxa" w:w="341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单一职责</w:t>
            </w:r>
          </w:p>
        </w:tc>
        <w:tc>
          <w:tcPr>
            <w:tcW w:type="dxa" w:w="54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每个服务只管理自己的聚合根，不替别的服务改数据</w:t>
            </w:r>
          </w:p>
        </w:tc>
      </w:tr>
      <w:tr>
        <w:trPr>
          <w:cantSplit/>
        </w:trPr>
        <w:tc>
          <w:tcPr>
            <w:tcW w:type="dxa" w:w="341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契约先行</w:t>
            </w:r>
          </w:p>
        </w:tc>
        <w:tc>
          <w:tcPr>
            <w:tcW w:type="dxa" w:w="54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接口先定稿再并行开发，契约版本化（当前 v1.3）</w:t>
            </w:r>
          </w:p>
        </w:tc>
      </w:tr>
      <w:tr>
        <w:trPr>
          <w:cantSplit/>
        </w:trPr>
        <w:tc>
          <w:tcPr>
            <w:tcW w:type="dxa" w:w="341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一致性靠数据库而非分布式事务</w:t>
            </w:r>
          </w:p>
        </w:tc>
        <w:tc>
          <w:tcPr>
            <w:tcW w:type="dxa" w:w="54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用条件更新、唯一键、补偿任务实现最终一致，不引入 Seata</w:t>
            </w:r>
          </w:p>
        </w:tc>
      </w:tr>
      <w:tr>
        <w:trPr>
          <w:cantSplit/>
        </w:trPr>
        <w:tc>
          <w:tcPr>
            <w:tcW w:type="dxa" w:w="341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最小可用</w:t>
            </w:r>
          </w:p>
        </w:tc>
        <w:tc>
          <w:tcPr>
            <w:tcW w:type="dxa" w:w="544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不引入当前规模用不上的中间件（Redis、MQ），减少故障点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1.3 约束条件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开发环境：JDK 17、Spring Boot 3.2.5、Spring Cloud 2023.0.1、Nacos 2.3.2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数据库：MySQL 8.x，五个独立库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部署：单机启动六个 JVM 进程 + 前端，Docker Compose 编排为规划能力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团队：5 人并行开发，按服务划分负责人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时间：8 周 / 4 个 Sprint</w:t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2. 集体设计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 体系结构设计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2.1.1 架构风格选型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对比三种主流方案：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2-2 架构风格选型对比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21"/>
        <w:gridCol w:w="2592"/>
        <w:gridCol w:w="3642"/>
        <w:gridCol w:w="1197"/>
      </w:tblGrid>
      <w:tr>
        <w:trPr>
          <w:cantSplit/>
          <w:tblHeader/>
        </w:trPr>
        <w:tc>
          <w:tcPr>
            <w:tcW w:type="dxa" w:w="142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方案</w:t>
            </w:r>
          </w:p>
        </w:tc>
        <w:tc>
          <w:tcPr>
            <w:tcW w:type="dxa" w:w="259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优点</w:t>
            </w:r>
          </w:p>
        </w:tc>
        <w:tc>
          <w:tcPr>
            <w:tcW w:type="dxa" w:w="364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缺点</w:t>
            </w:r>
          </w:p>
        </w:tc>
        <w:tc>
          <w:tcPr>
            <w:tcW w:type="dxa" w:w="119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是否采用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单体分层架构</w:t>
            </w:r>
          </w:p>
        </w:tc>
        <w:tc>
          <w:tcPr>
            <w:tcW w:type="dxa" w:w="259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开发快、部署简单、事务天然一致</w:t>
            </w:r>
          </w:p>
        </w:tc>
        <w:tc>
          <w:tcPr>
            <w:tcW w:type="dxa" w:w="364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无法体现服务拆分；模块间耦合随规模上升；不满足选题「微服务拆分」要求</w:t>
            </w:r>
          </w:p>
        </w:tc>
        <w:tc>
          <w:tcPr>
            <w:tcW w:type="dxa" w:w="119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微服务架构</w:t>
            </w:r>
          </w:p>
        </w:tc>
        <w:tc>
          <w:tcPr>
            <w:tcW w:type="dxa" w:w="25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服务边界清晰、可独立部署与扩容、故障隔离</w:t>
            </w:r>
          </w:p>
        </w:tc>
        <w:tc>
          <w:tcPr>
            <w:tcW w:type="dxa" w:w="36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分布式一致性复杂、运维成本高、跨服务查询不便</w:t>
            </w:r>
          </w:p>
        </w:tc>
        <w:tc>
          <w:tcPr>
            <w:tcW w:type="dxa" w:w="11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42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服务网格</w:t>
            </w:r>
          </w:p>
        </w:tc>
        <w:tc>
          <w:tcPr>
            <w:tcW w:type="dxa" w:w="25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流量治理能力强、与语言无关</w:t>
            </w:r>
          </w:p>
        </w:tc>
        <w:tc>
          <w:tcPr>
            <w:tcW w:type="dxa" w:w="364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需要额外部署 Sidecar 与 Istio，超出课程规模</w:t>
            </w:r>
          </w:p>
        </w:tc>
        <w:tc>
          <w:tcPr>
            <w:tcW w:type="dxa" w:w="119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选择微服务的原因：选题六明确要求「完成彻底的微服务拆分方案」「实现至少三个核心微服务」，微服务是硬性要求；同时课程规模（5 人、8 周）足以承担服务拆分带来的复杂度，但不足以承担服务网格的运维成本。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关键取舍</w:t>
      </w:r>
      <w:r>
        <w:rPr>
          <w:rFonts w:ascii="Times New Roman" w:hAnsi="Times New Roman" w:eastAsia="宋体"/>
          <w:sz w:val="24"/>
        </w:rPr>
        <w:t xml:space="preserve">：引入网关统一鉴权，把「JWT 解析」这件横切关注点从五个服务里抽出来，避免每个服务重复实现；但服务间调用</w:t>
      </w:r>
      <w:r>
        <w:rPr>
          <w:rFonts w:ascii="Times New Roman" w:hAnsi="Times New Roman" w:eastAsia="宋体"/>
          <w:b/>
          <w:bCs/>
          <w:sz w:val="24"/>
        </w:rPr>
        <w:t xml:space="preserve">不经过网关</w:t>
      </w:r>
      <w:r>
        <w:rPr>
          <w:rFonts w:ascii="Times New Roman" w:hAnsi="Times New Roman" w:eastAsia="宋体"/>
          <w:sz w:val="24"/>
        </w:rPr>
        <w:t xml:space="preserve">，直接走 OpenFeign + Nacos 服务发现，减少一跳延迟。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2.1.2 系统逻辑架构</w:t>
      </w:r>
    </w:p>
    <w:p>
      <w:pPr>
        <w:keepNext/>
        <w:jc w:val="center"/>
      </w:pPr>
      <w:r>
        <w:drawing>
          <wp:inline distT="0" distB="0" distL="0" distR="0">
            <wp:extent cx="5760085" cy="2018409"/>
            <wp:effectExtent t="0" r="0" b="0" l="0"/>
            <wp:docPr id="6" name="图 2-1 系统逻辑架构" descr="图 2-1 系统逻辑架构" title="图 2-1 系统逻辑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1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2-1 系统逻辑架构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系统分为四层：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2-3 系统逻辑分层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616"/>
        <w:gridCol w:w="3417"/>
        <w:gridCol w:w="3821"/>
      </w:tblGrid>
      <w:tr>
        <w:trPr>
          <w:cantSplit/>
          <w:tblHeader/>
        </w:trPr>
        <w:tc>
          <w:tcPr>
            <w:tcW w:type="dxa" w:w="161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层次</w:t>
            </w:r>
          </w:p>
        </w:tc>
        <w:tc>
          <w:tcPr>
            <w:tcW w:type="dxa" w:w="341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组成</w:t>
            </w:r>
          </w:p>
        </w:tc>
        <w:tc>
          <w:tcPr>
            <w:tcW w:type="dxa" w:w="382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客户端层</w:t>
            </w:r>
          </w:p>
        </w:tc>
        <w:tc>
          <w:tcPr>
            <w:tcW w:type="dxa" w:w="341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Vue 3 单页应用</w:t>
            </w:r>
          </w:p>
        </w:tc>
        <w:tc>
          <w:tcPr>
            <w:tcW w:type="dxa" w:w="382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 / 卖家 / 管理员三种角色的界面与交互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接入层</w:t>
            </w:r>
          </w:p>
        </w:tc>
        <w:tc>
          <w:tcPr>
            <w:tcW w:type="dxa" w:w="341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Spring Cloud Gateway</w:t>
            </w:r>
          </w:p>
        </w:tc>
        <w:tc>
          <w:tcPr>
            <w:tcW w:type="dxa" w:w="382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统一入口、JWT 校验、身份注入、路由转发、跨域处理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业务服务层</w:t>
            </w:r>
          </w:p>
        </w:tc>
        <w:tc>
          <w:tcPr>
            <w:tcW w:type="dxa" w:w="341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五个 Spring Boot 服务</w:t>
            </w:r>
          </w:p>
        </w:tc>
        <w:tc>
          <w:tcPr>
            <w:tcW w:type="dxa" w:w="382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各业务域的领域逻辑与数据管理</w:t>
            </w:r>
          </w:p>
        </w:tc>
      </w:tr>
      <w:tr>
        <w:trPr>
          <w:cantSplit/>
        </w:trPr>
        <w:tc>
          <w:tcPr>
            <w:tcW w:type="dxa" w:w="161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基础设施层</w:t>
            </w:r>
          </w:p>
        </w:tc>
        <w:tc>
          <w:tcPr>
            <w:tcW w:type="dxa" w:w="341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Nacos、MySQL</w:t>
            </w:r>
          </w:p>
        </w:tc>
        <w:tc>
          <w:tcPr>
            <w:tcW w:type="dxa" w:w="382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服务注册发现与配置托管、数据持久化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鉴权链路</w:t>
      </w:r>
      <w:r>
        <w:rPr>
          <w:rFonts w:ascii="Times New Roman" w:hAnsi="Times New Roman" w:eastAsia="宋体"/>
          <w:sz w:val="24"/>
        </w:rPr>
        <w:t xml:space="preserve">：前端只带 </w:t>
      </w:r>
      <w:r>
        <w:rPr>
          <w:rFonts w:ascii="Times New Roman" w:cs="Consolas" w:eastAsia="宋体" w:hAnsi="Times New Roman"/>
          <w:sz w:val="24"/>
        </w:rPr>
        <w:t xml:space="preserve">Authorization: Bearer &lt;token&gt;</w:t>
      </w:r>
      <w:r>
        <w:rPr>
          <w:rFonts w:ascii="Times New Roman" w:hAnsi="Times New Roman" w:eastAsia="宋体"/>
          <w:sz w:val="24"/>
        </w:rPr>
        <w:t xml:space="preserve">，网关解析后把 </w:t>
      </w:r>
      <w:r>
        <w:rPr>
          <w:rFonts w:ascii="Times New Roman" w:cs="Consolas" w:eastAsia="宋体" w:hAnsi="Times New Roman"/>
          <w:sz w:val="24"/>
        </w:rPr>
        <w:t xml:space="preserve">userId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role</w:t>
      </w:r>
      <w:r>
        <w:rPr>
          <w:rFonts w:ascii="Times New Roman" w:hAnsi="Times New Roman" w:eastAsia="宋体"/>
          <w:sz w:val="24"/>
        </w:rPr>
        <w:t xml:space="preserve"> 写入 </w:t>
      </w:r>
      <w:r>
        <w:rPr>
          <w:rFonts w:ascii="Times New Roman" w:cs="Consolas" w:eastAsia="宋体" w:hAnsi="Times New Roman"/>
          <w:sz w:val="24"/>
        </w:rPr>
        <w:t xml:space="preserve">X-User-Id</w:t>
      </w:r>
      <w:r>
        <w:rPr>
          <w:rFonts w:ascii="Times New Roman" w:hAnsi="Times New Roman" w:eastAsia="宋体"/>
          <w:sz w:val="24"/>
        </w:rPr>
        <w:t xml:space="preserve"> / </w:t>
      </w:r>
      <w:r>
        <w:rPr>
          <w:rFonts w:ascii="Times New Roman" w:cs="Consolas" w:eastAsia="宋体" w:hAnsi="Times New Roman"/>
          <w:sz w:val="24"/>
        </w:rPr>
        <w:t xml:space="preserve">X-User-Role</w:t>
      </w:r>
      <w:r>
        <w:rPr>
          <w:rFonts w:ascii="Times New Roman" w:hAnsi="Times New Roman" w:eastAsia="宋体"/>
          <w:sz w:val="24"/>
        </w:rPr>
        <w:t xml:space="preserve"> 请求头下发给业务服务，业务服务</w:t>
      </w:r>
      <w:r>
        <w:rPr>
          <w:rFonts w:ascii="Times New Roman" w:hAnsi="Times New Roman" w:eastAsia="宋体"/>
          <w:b/>
          <w:bCs/>
          <w:sz w:val="24"/>
        </w:rPr>
        <w:t xml:space="preserve">不再解析 JWT</w:t>
      </w:r>
      <w:r>
        <w:rPr>
          <w:rFonts w:ascii="Times New Roman" w:hAnsi="Times New Roman" w:eastAsia="宋体"/>
          <w:sz w:val="24"/>
        </w:rPr>
        <w:t xml:space="preserve">。这样密钥只有网关和签发方（user-service）持有，减少泄露面。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白名单例外</w:t>
      </w:r>
      <w:r>
        <w:rPr>
          <w:rFonts w:ascii="Times New Roman" w:hAnsi="Times New Roman" w:eastAsia="宋体"/>
          <w:sz w:val="24"/>
        </w:rPr>
        <w:t xml:space="preserve">：注册、登录、支付回调、商品列表与详情、分类、图片、健康检查允许匿名访问。白名单路径若携带有效令牌，网关仍会解析并注入身份——否则卖家访问自己待审核的商品时会被当成匿名访客拒绝（这是开发中实际踩到的缺陷，见 2.2.3）。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2.1.3 系统物理架构</w:t>
      </w:r>
    </w:p>
    <w:p>
      <w:pPr>
        <w:keepNext/>
        <w:jc w:val="center"/>
      </w:pPr>
      <w:r>
        <w:drawing>
          <wp:inline distT="0" distB="0" distL="0" distR="0">
            <wp:extent cx="5760085" cy="4788963"/>
            <wp:effectExtent t="0" r="0" b="0" l="0"/>
            <wp:docPr id="7" name="图 2-2 系统物理架构" descr="图 2-2 系统物理架构" title="图 2-2 系统物理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8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2-2 系统物理架构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部署形态说明：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六个 JVM 进程（网关 + 五服务）各自独立启动，端口 9000/9001~9005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五个业务库部署在同一 MySQL 实例上，但</w:t>
      </w:r>
      <w:r>
        <w:rPr>
          <w:rFonts w:ascii="Times New Roman" w:hAnsi="Times New Roman" w:eastAsia="宋体"/>
          <w:b/>
          <w:bCs/>
          <w:sz w:val="24"/>
        </w:rPr>
        <w:t xml:space="preserve">逻辑上完全隔离</w:t>
      </w:r>
      <w:r>
        <w:rPr>
          <w:rFonts w:ascii="Times New Roman" w:hAnsi="Times New Roman" w:eastAsia="宋体"/>
          <w:sz w:val="24"/>
        </w:rPr>
        <w:t xml:space="preserve">：每个服务只配自己的数据源账号与库名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Nacos 以单机模式运行，同时承担注册中心与配置中心；order-service 订阅 </w:t>
      </w:r>
      <w:r>
        <w:rPr>
          <w:rFonts w:ascii="Times New Roman" w:cs="Consolas" w:eastAsia="宋体" w:hAnsi="Times New Roman"/>
          <w:sz w:val="24"/>
        </w:rPr>
        <w:t xml:space="preserve">mall-platform.yml</w:t>
      </w:r>
      <w:r>
        <w:rPr>
          <w:rFonts w:ascii="Times New Roman" w:hAnsi="Times New Roman" w:eastAsia="宋体"/>
          <w:sz w:val="24"/>
        </w:rPr>
        <w:t xml:space="preserve"> 拿订单超时等可调参数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前端开发期由 Vite 代理 </w:t>
      </w:r>
      <w:r>
        <w:rPr>
          <w:rFonts w:ascii="Times New Roman" w:cs="Consolas" w:eastAsia="宋体" w:hAnsi="Times New Roman"/>
          <w:sz w:val="24"/>
        </w:rPr>
        <w:t xml:space="preserve">/api</w:t>
      </w:r>
      <w:r>
        <w:rPr>
          <w:rFonts w:ascii="Times New Roman" w:hAnsi="Times New Roman" w:eastAsia="宋体"/>
          <w:sz w:val="24"/>
        </w:rPr>
        <w:t xml:space="preserve"> 到网关 9000，避免浏览器跨域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Docker Compose 编排文件已编写但尚未验收，属规划能力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2.1.4 服务拆分依据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2-4 服务拆分与边界依据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980"/>
        <w:gridCol w:w="1052"/>
        <w:gridCol w:w="1433"/>
        <w:gridCol w:w="3387"/>
      </w:tblGrid>
      <w:tr>
        <w:trPr>
          <w:cantSplit/>
          <w:tblHeader/>
        </w:trPr>
        <w:tc>
          <w:tcPr>
            <w:tcW w:type="dxa" w:w="298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服务</w:t>
            </w:r>
          </w:p>
        </w:tc>
        <w:tc>
          <w:tcPr>
            <w:tcW w:type="dxa" w:w="105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端口</w:t>
            </w:r>
          </w:p>
        </w:tc>
        <w:tc>
          <w:tcPr>
            <w:tcW w:type="dxa" w:w="143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边界依据</w:t>
            </w:r>
          </w:p>
        </w:tc>
        <w:tc>
          <w:tcPr>
            <w:tcW w:type="dxa" w:w="338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核心聚合根</w:t>
            </w:r>
          </w:p>
        </w:tc>
      </w:tr>
      <w:tr>
        <w:trPr>
          <w:cantSplit/>
        </w:trPr>
        <w:tc>
          <w:tcPr>
            <w:tcW w:type="dxa" w:w="2981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user-service</w:t>
            </w:r>
          </w:p>
        </w:tc>
        <w:tc>
          <w:tcPr>
            <w:tcW w:type="dxa" w:w="105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9001</w:t>
            </w:r>
          </w:p>
        </w:tc>
        <w:tc>
          <w:tcPr>
            <w:tcW w:type="dxa" w:w="143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用户身份与档案，变化频率低，被所有服务依赖</w:t>
            </w:r>
          </w:p>
        </w:tc>
        <w:tc>
          <w:tcPr>
            <w:tcW w:type="dxa" w:w="338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User、Address</w:t>
            </w:r>
          </w:p>
        </w:tc>
      </w:tr>
      <w:tr>
        <w:trPr>
          <w:cantSplit/>
        </w:trPr>
        <w:tc>
          <w:tcPr>
            <w:tcW w:type="dxa" w:w="298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product-service</w:t>
            </w:r>
          </w:p>
        </w:tc>
        <w:tc>
          <w:tcPr>
            <w:tcW w:type="dxa" w:w="10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9002</w:t>
            </w:r>
          </w:p>
        </w:tc>
        <w:tc>
          <w:tcPr>
            <w:tcW w:type="dxa" w:w="143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商品与库存，库存是全局竞争点，必须单点管理</w:t>
            </w:r>
          </w:p>
        </w:tc>
        <w:tc>
          <w:tcPr>
            <w:tcW w:type="dxa" w:w="33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Product、Sku、StockReservation</w:t>
            </w:r>
          </w:p>
        </w:tc>
      </w:tr>
      <w:tr>
        <w:trPr>
          <w:cantSplit/>
        </w:trPr>
        <w:tc>
          <w:tcPr>
            <w:tcW w:type="dxa" w:w="298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cart-service</w:t>
            </w:r>
          </w:p>
        </w:tc>
        <w:tc>
          <w:tcPr>
            <w:tcW w:type="dxa" w:w="10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9003</w:t>
            </w:r>
          </w:p>
        </w:tc>
        <w:tc>
          <w:tcPr>
            <w:tcW w:type="dxa" w:w="143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购物车是买家私有数据，写频繁但无跨用户竞争</w:t>
            </w:r>
          </w:p>
        </w:tc>
        <w:tc>
          <w:tcPr>
            <w:tcW w:type="dxa" w:w="33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Cart、CartItem</w:t>
            </w:r>
          </w:p>
        </w:tc>
      </w:tr>
      <w:tr>
        <w:trPr>
          <w:cantSplit/>
        </w:trPr>
        <w:tc>
          <w:tcPr>
            <w:tcW w:type="dxa" w:w="298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order-service</w:t>
            </w:r>
          </w:p>
        </w:tc>
        <w:tc>
          <w:tcPr>
            <w:tcW w:type="dxa" w:w="10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9004</w:t>
            </w:r>
          </w:p>
        </w:tc>
        <w:tc>
          <w:tcPr>
            <w:tcW w:type="dxa" w:w="143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订单是交易主聚合，状态机复杂，需要与库存强协调</w:t>
            </w:r>
          </w:p>
        </w:tc>
        <w:tc>
          <w:tcPr>
            <w:tcW w:type="dxa" w:w="33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Order、OrderItem</w:t>
            </w:r>
          </w:p>
        </w:tc>
      </w:tr>
      <w:tr>
        <w:trPr>
          <w:cantSplit/>
        </w:trPr>
        <w:tc>
          <w:tcPr>
            <w:tcW w:type="dxa" w:w="298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payment-service</w:t>
            </w:r>
          </w:p>
        </w:tc>
        <w:tc>
          <w:tcPr>
            <w:tcW w:type="dxa" w:w="105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9005</w:t>
            </w:r>
          </w:p>
        </w:tc>
        <w:tc>
          <w:tcPr>
            <w:tcW w:type="dxa" w:w="143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支付对接第三方渠道，涉及验签、幂等、退款，安全要求高</w:t>
            </w:r>
          </w:p>
        </w:tc>
        <w:tc>
          <w:tcPr>
            <w:tcW w:type="dxa" w:w="338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Payment、Refund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为什么库存放在 product-service 而不是 order-service</w:t>
      </w:r>
      <w:r>
        <w:rPr>
          <w:rFonts w:ascii="Times New Roman" w:hAnsi="Times New Roman" w:eastAsia="宋体"/>
          <w:sz w:val="24"/>
        </w:rPr>
        <w:t xml:space="preserve">：库存是跨买家共享的竞争资源，如果每个订单服务实例各自扣减，必然超卖；集中在一个服务里用数据库条件更新扣减，是最简单可靠的方案。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为什么订单和商品归同一个负责人</w:t>
      </w:r>
      <w:r>
        <w:rPr>
          <w:rFonts w:ascii="Times New Roman" w:hAnsi="Times New Roman" w:eastAsia="宋体"/>
          <w:sz w:val="24"/>
        </w:rPr>
        <w:t xml:space="preserve">：库存预占、释放、确认、回补这四条链路与订单状态机强耦合（下单预占、取消释放、支付确认、退款回补），归一人负责能避免跨人协调成本，也便于在同一个分支上保证一致性。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 模块设计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2.2.1 类模型</w:t>
      </w:r>
    </w:p>
    <w:p>
      <w:pPr>
        <w:keepNext/>
        <w:jc w:val="center"/>
      </w:pPr>
      <w:r>
        <w:drawing>
          <wp:inline distT="0" distB="0" distL="0" distR="0">
            <wp:extent cx="5760085" cy="3056177"/>
            <wp:effectExtent t="0" r="0" b="0" l="0"/>
            <wp:docPr id="8" name="图 2-3 核心类模型" descr="图 2-3 核心类模型" title="图 2-3 核心类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5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12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图 2-3 核心类模型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类模型按服务分包，</w:t>
      </w:r>
      <w:r>
        <w:rPr>
          <w:rFonts w:ascii="Times New Roman" w:hAnsi="Times New Roman" w:eastAsia="宋体"/>
          <w:b/>
          <w:bCs/>
          <w:sz w:val="24"/>
        </w:rPr>
        <w:t xml:space="preserve">跨服务只用 ID 引用，不持有对方实体</w:t>
      </w:r>
      <w:r>
        <w:rPr>
          <w:rFonts w:ascii="Times New Roman" w:hAnsi="Times New Roman" w:eastAsia="宋体"/>
          <w:sz w:val="24"/>
        </w:rPr>
        <w:t xml:space="preserve">。例如订单的 </w:t>
      </w:r>
      <w:r>
        <w:rPr>
          <w:rFonts w:ascii="Times New Roman" w:cs="Consolas" w:eastAsia="宋体" w:hAnsi="Times New Roman"/>
          <w:sz w:val="24"/>
        </w:rPr>
        <w:t xml:space="preserve">OrderItem</w:t>
      </w:r>
      <w:r>
        <w:rPr>
          <w:rFonts w:ascii="Times New Roman" w:hAnsi="Times New Roman" w:eastAsia="宋体"/>
          <w:sz w:val="24"/>
        </w:rPr>
        <w:t xml:space="preserve"> 只存 </w:t>
      </w:r>
      <w:r>
        <w:rPr>
          <w:rFonts w:ascii="Times New Roman" w:cs="Consolas" w:eastAsia="宋体" w:hAnsi="Times New Roman"/>
          <w:sz w:val="24"/>
        </w:rPr>
        <w:t xml:space="preserve">skuId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Times New Roman" w:cs="Consolas" w:eastAsia="宋体" w:hAnsi="Times New Roman"/>
          <w:sz w:val="24"/>
        </w:rPr>
        <w:t xml:space="preserve">productTitle</w:t>
      </w:r>
      <w:r>
        <w:rPr>
          <w:rFonts w:ascii="Times New Roman" w:hAnsi="Times New Roman" w:eastAsia="宋体"/>
          <w:sz w:val="24"/>
        </w:rPr>
        <w:t xml:space="preserve">、</w:t>
      </w:r>
      <w:r>
        <w:rPr>
          <w:rFonts w:ascii="Times New Roman" w:cs="Consolas" w:eastAsia="宋体" w:hAnsi="Times New Roman"/>
          <w:sz w:val="24"/>
        </w:rPr>
        <w:t xml:space="preserve">priceSnapshot</w:t>
      </w:r>
      <w:r>
        <w:rPr>
          <w:rFonts w:ascii="Times New Roman" w:hAnsi="Times New Roman" w:eastAsia="宋体"/>
          <w:sz w:val="24"/>
        </w:rPr>
        <w:t xml:space="preserve">，不持有 </w:t>
      </w:r>
      <w:r>
        <w:rPr>
          <w:rFonts w:ascii="Times New Roman" w:cs="Consolas" w:eastAsia="宋体" w:hAnsi="Times New Roman"/>
          <w:sz w:val="24"/>
        </w:rPr>
        <w:t xml:space="preserve">Sku</w:t>
      </w:r>
      <w:r>
        <w:rPr>
          <w:rFonts w:ascii="Times New Roman" w:hAnsi="Times New Roman" w:eastAsia="宋体"/>
          <w:sz w:val="24"/>
        </w:rPr>
        <w:t xml:space="preserve"> 对象——商品改名或改价不影响历史订单，这是「快照」设计的直接收益。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主要类的职责：</w:t>
      </w:r>
    </w:p>
    <w:p>
      <w:pPr>
        <w:pStyle w:val="Heading4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2-5 主要类的职责与约束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534"/>
        <w:gridCol w:w="1536"/>
        <w:gridCol w:w="3784"/>
      </w:tblGrid>
      <w:tr>
        <w:trPr>
          <w:cantSplit/>
          <w:tblHeader/>
        </w:trPr>
        <w:tc>
          <w:tcPr>
            <w:tcW w:type="dxa" w:w="353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类</w:t>
            </w:r>
          </w:p>
        </w:tc>
        <w:tc>
          <w:tcPr>
            <w:tcW w:type="dxa" w:w="153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职责</w:t>
            </w:r>
          </w:p>
        </w:tc>
        <w:tc>
          <w:tcPr>
            <w:tcW w:type="dxa" w:w="378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关键约束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账号、口令哈希、角色、状态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账号与昵称全局唯一；口令 BCrypt 加盐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 / Sku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商品与规格，含可售/锁定双库存字段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上架需审核通过；库存扣减走条件更新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StockReservation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记录一笔订单对某 SKU 的预占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状态机 LOCKED → CONFIRMED / RELEASED / REFUNDED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 / CartItem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买家购物车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同 SKU 累加；失效商品保留但置灰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 / OrderItem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订单主表与明细快照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状态机六态；金额与地址均快照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OrderIdempotency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下单幂等令牌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idem_key 唯一索引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CompensationTask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库存释放失败后的补偿任务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指数退避，最多 8 次，超限转 DEAD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 / Refund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支付单与退款单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refunded_amount 条件更新防止超额退款</w:t>
            </w:r>
          </w:p>
        </w:tc>
      </w:tr>
      <w:tr>
        <w:trPr>
          <w:cantSplit/>
        </w:trPr>
        <w:tc>
          <w:tcPr>
            <w:tcW w:type="dxa" w:w="3534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PaymentCallback</w:t>
            </w:r>
          </w:p>
        </w:tc>
        <w:tc>
          <w:tcPr>
            <w:tcW w:type="dxa" w:w="15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支付回调流水</w:t>
            </w:r>
          </w:p>
        </w:tc>
        <w:tc>
          <w:tcPr>
            <w:tcW w:type="dxa" w:w="37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trade_no 唯一索引做去重</w:t>
            </w:r>
          </w:p>
        </w:tc>
      </w:tr>
    </w:tbl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2.2.2 关键设计逻辑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（1）订单状态机</w:t>
      </w:r>
    </w:p>
    <w:p>
      <w:pPr>
        <w:jc w:val="center"/>
        <w:keepNext/>
        <w:pageBreakBefore/>
      </w:pPr>
      <w:r>
        <w:drawing>
          <wp:inline distT="0" distB="0" distL="0" distR="0">
            <wp:extent cx="5686137" cy="6823365"/>
            <wp:effectExtent t="0" r="0" b="0" l="0"/>
            <wp:docPr id="9" name="图 2-4 订单状态机" descr="图 2-4 订单状态机" title="图 2-4 订单状态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137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  <w:keepNext/>
        <w:pageBreakBefore/>
      </w:pPr>
      <w:r>
        <w:rPr>
          <w:rFonts w:ascii="Times New Roman" w:hAnsi="Times New Roman" w:eastAsia="宋体"/>
          <w:b/>
          <w:sz w:val="24"/>
        </w:rPr>
        <w:t>图 2-4 订单状态机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状态流转全部用「带原状态的条件更新」实现：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UPDATE `order` SET status = 'PAID', paid_at = NOW()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order_id = ? AND status = 'PENDING_PAYMENT'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影响行数为 0 说明状态已被并发修改，本轮放弃，不覆盖。这样既避免了分布式锁，也不会出现「已取消订单被支付回调复活」的错误。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（2）下单与库存预占</w:t>
      </w:r>
    </w:p>
    <w:p>
      <w:pPr>
        <w:jc w:val="center"/>
        <w:keepNext/>
        <w:pageBreakBefore/>
      </w:pPr>
      <w:r>
        <w:drawing>
          <wp:inline distT="0" distB="0" distL="0" distR="0">
            <wp:extent cx="4336627" cy="6823365"/>
            <wp:effectExtent t="0" r="0" b="0" l="0"/>
            <wp:docPr id="10" name="图 2-5 下单时序" descr="图 2-5 下单时序" title="图 2-5 下单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27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ind w:firstLine="0"/>
        <w:jc w:val="center"/>
        <w:keepNext/>
        <w:pageBreakBefore/>
      </w:pPr>
      <w:r>
        <w:rPr>
          <w:rFonts w:ascii="Times New Roman" w:hAnsi="Times New Roman" w:eastAsia="宋体"/>
          <w:b/>
          <w:sz w:val="24"/>
        </w:rPr>
        <w:t>图 2-5 下单时序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执行顺序是设计重点，</w:t>
      </w:r>
      <w:r>
        <w:rPr>
          <w:rFonts w:ascii="Times New Roman" w:hAnsi="Times New Roman" w:eastAsia="宋体"/>
          <w:b/>
          <w:bCs/>
          <w:sz w:val="24"/>
        </w:rPr>
        <w:t xml:space="preserve">先落订单再预占库存</w:t>
      </w:r>
      <w:r>
        <w:rPr>
          <w:rFonts w:ascii="Times New Roman" w:hAnsi="Times New Roman" w:eastAsia="宋体"/>
          <w:sz w:val="24"/>
        </w:rPr>
        <w:t xml:space="preserve">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校验幂等键，idempotency 表唯一索引去重（并发下靠 DuplicateKeyException 兜底，不做「先查再插」）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调 cart-service 取购物车明细，调 product-service 校验 SKU 与库存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校验收货地址，写入订单主表与明细快照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调 product-service 预占库存；预占失败则逻辑删除订单并回滚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预占成功后清理购物车对应条目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先落订单的理由：如果先预占库存再建订单，建订单失败时要回滚库存，链更长；先建订单，失败时只需删除一条订单记录，回滚成本最小。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（3）库存预占的并发控制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UPDATE sku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SET stock_locked = stock_locked + #{quantity},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  stock_available = stock_available - #{quantity}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sku_id = #{skuId}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  AND stock_available &gt;= #{quantity}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条件 </w:t>
      </w:r>
      <w:r>
        <w:rPr>
          <w:rFonts w:ascii="Times New Roman" w:cs="Consolas" w:eastAsia="宋体" w:hAnsi="Times New Roman"/>
          <w:sz w:val="24"/>
        </w:rPr>
        <w:t xml:space="preserve">stock_available &gt;= quantity</w:t>
      </w:r>
      <w:r>
        <w:rPr>
          <w:rFonts w:ascii="Times New Roman" w:hAnsi="Times New Roman" w:eastAsia="宋体"/>
          <w:sz w:val="24"/>
        </w:rPr>
        <w:t xml:space="preserve"> 写在 SQL 里，由数据库行锁保证原子性，影响行数为 0 即库存不足。这条 SQL 是整个系统防超卖的核心，不需要任何分布式锁。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（4）支付回调处理顺序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固定顺序，任何一步失败都不继续：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验签（失败返回 60002，不改任何状态）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幂等去重（payment_callback 表 uk_trade_no 唯一键，冲突即重复回调，直接返回成功）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查支付单与订单（不存在返回 60001）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金额核对（不一致返回 60003，不改订单）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更新支付单为 SUCCESS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事务提交后通知 order-service 置为已支付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远程调用放在事务提交之后</w:t>
      </w:r>
      <w:r>
        <w:rPr>
          <w:rFonts w:ascii="Times New Roman" w:hAnsi="Times New Roman" w:eastAsia="宋体"/>
          <w:sz w:val="24"/>
        </w:rPr>
        <w:t xml:space="preserve">是关键：如果在事务内调 Feign，远程耗时会一直占着数据库连接，而且远程调用不走本地事务、回滚不了。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（5）退款与库存回补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退款成功后需要把已扣减的库存加回可售数量。这条链路在开发后期才补齐，实现要点：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只有</w:t>
      </w:r>
      <w:r>
        <w:rPr>
          <w:rFonts w:ascii="Times New Roman" w:hAnsi="Times New Roman" w:eastAsia="宋体"/>
          <w:b/>
          <w:bCs/>
          <w:sz w:val="24"/>
        </w:rPr>
        <w:t xml:space="preserve">全额退款</w:t>
      </w:r>
      <w:r>
        <w:rPr>
          <w:rFonts w:ascii="Times New Roman" w:hAnsi="Times New Roman" w:eastAsia="宋体"/>
          <w:sz w:val="24"/>
        </w:rPr>
        <w:t xml:space="preserve">才回补库存并通知订单变更状态；部分退款不改订单状态，也不回补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回补的幂等由预占状态机保证：条件更新把预占从 CONFIRMED 抢改为 REFUNDED，只有改成功的那次才真的加库存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远程调用失败只记日志不阻断退款结果，避免退款卡在库存服务上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2.2.3 一致性方案汇总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2-6 一致性方案汇总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627"/>
        <w:gridCol w:w="3032"/>
        <w:gridCol w:w="5195"/>
      </w:tblGrid>
      <w:tr>
        <w:trPr>
          <w:cantSplit/>
          <w:tblHeader/>
        </w:trPr>
        <w:tc>
          <w:tcPr>
            <w:tcW w:type="dxa" w:w="62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场景</w:t>
            </w:r>
          </w:p>
        </w:tc>
        <w:tc>
          <w:tcPr>
            <w:tcW w:type="dxa" w:w="303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手段</w:t>
            </w:r>
          </w:p>
        </w:tc>
        <w:tc>
          <w:tcPr>
            <w:tcW w:type="dxa" w:w="519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代码位置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库存超卖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条件 UPDATE（stock_available &gt;= quantity）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SkuMapper.reserve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重复下单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order_idempotency 表 idem_key 唯一索引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OrderService.create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重复支付回调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payment_callback 表 uk_trade_no 唯一索引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CallbackTxService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状态并发修改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带原状态的条件 UPDATE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OrderMapper.markPaid/markCancelled/markRefunded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超额退款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payment.refunded_amount 条件更新预占额度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RefundServiceImpl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库存释放失败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补偿表 + 定时任务指数退避重试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CompensationService、OrderTimeoutJob</w:t>
            </w:r>
          </w:p>
        </w:tc>
      </w:tr>
      <w:tr>
        <w:trPr>
          <w:cantSplit/>
        </w:trPr>
        <w:tc>
          <w:tcPr>
            <w:tcW w:type="dxa" w:w="62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预占永久锁定</w:t>
            </w:r>
          </w:p>
        </w:tc>
        <w:tc>
          <w:tcPr>
            <w:tcW w:type="dxa" w:w="3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定时扫描过期 LOCKED 预占并释放</w:t>
            </w:r>
          </w:p>
        </w:tc>
        <w:tc>
          <w:tcPr>
            <w:tcW w:type="dxa" w:w="519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StockService.releaseExpiredReservations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为什么不用分布式事务（Seata）</w:t>
      </w:r>
      <w:r>
        <w:rPr>
          <w:rFonts w:ascii="Times New Roman" w:hAnsi="Times New Roman" w:eastAsia="宋体"/>
          <w:sz w:val="24"/>
        </w:rPr>
        <w:t xml:space="preserve">：五个服务各自单库，跨服务的一致性都能用「本地事务 + 条件更新 + 补偿」表达；引入 Seata 需要额外部署 TC 服务、增加两阶段提交延迟，而收益仅是省掉补偿代码——对本项目的规模不划算。</w:t>
      </w:r>
    </w:p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3. 数据库设计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3.1 数据库设计策略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一服务一库</w:t>
      </w:r>
      <w:r>
        <w:rPr>
          <w:rFonts w:ascii="Times New Roman" w:hAnsi="Times New Roman" w:eastAsia="宋体"/>
          <w:sz w:val="24"/>
        </w:rPr>
        <w:t xml:space="preserve">：mall_user、mall_product、mall_cart、mall_order、mall_payment 五个独立库，共 17 张表。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设计要点：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主键用字符串而非自增</w:t>
      </w:r>
      <w:r>
        <w:rPr>
          <w:rFonts w:ascii="Times New Roman" w:hAnsi="Times New Roman" w:eastAsia="宋体"/>
          <w:sz w:val="24"/>
        </w:rPr>
        <w:t xml:space="preserve">：订单号、商品号等对外 ID 用 String，防止被枚举；内部表（如 config_audit）可用自增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金额用 bigint 存分</w:t>
      </w:r>
      <w:r>
        <w:rPr>
          <w:rFonts w:ascii="Times New Roman" w:hAnsi="Times New Roman" w:eastAsia="宋体"/>
          <w:sz w:val="24"/>
        </w:rPr>
        <w:t xml:space="preserve">：避免浮点误差，10050 表示 100.50 元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快照而非外键</w:t>
      </w:r>
      <w:r>
        <w:rPr>
          <w:rFonts w:ascii="Times New Roman" w:hAnsi="Times New Roman" w:eastAsia="宋体"/>
          <w:sz w:val="24"/>
        </w:rPr>
        <w:t xml:space="preserve">：订单明细存 product_title、price_snapshot，商品改价改名不影响历史订单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逻辑删除</w:t>
      </w:r>
      <w:r>
        <w:rPr>
          <w:rFonts w:ascii="Times New Roman" w:hAnsi="Times New Roman" w:eastAsia="宋体"/>
          <w:sz w:val="24"/>
        </w:rPr>
        <w:t xml:space="preserve">：is_deleted 字段，避免物理删除破坏历史关联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乐观版本号</w:t>
      </w:r>
      <w:r>
        <w:rPr>
          <w:rFonts w:ascii="Times New Roman" w:hAnsi="Times New Roman" w:eastAsia="宋体"/>
          <w:sz w:val="24"/>
        </w:rPr>
        <w:t xml:space="preserve">：version 字段用于个别需要版本比对的场景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时间统一</w:t>
      </w:r>
      <w:r>
        <w:rPr>
          <w:rFonts w:ascii="Times New Roman" w:hAnsi="Times New Roman" w:eastAsia="宋体"/>
          <w:sz w:val="24"/>
        </w:rPr>
        <w:t xml:space="preserve"> datetime，约定北京时间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3.2 数据库表清单</w:t>
      </w:r>
    </w:p>
    <w:p>
      <w:pPr>
        <w:pStyle w:val="Heading3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2-7 数据库表清单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695"/>
        <w:gridCol w:w="2392"/>
        <w:gridCol w:w="3992"/>
        <w:gridCol w:w="1032"/>
        <w:gridCol w:w="742"/>
      </w:tblGrid>
      <w:tr>
        <w:trPr>
          <w:cantSplit/>
          <w:tblHeader/>
        </w:trPr>
        <w:tc>
          <w:tcPr>
            <w:tcW w:type="dxa" w:w="6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序号</w:t>
            </w:r>
          </w:p>
        </w:tc>
        <w:tc>
          <w:tcPr>
            <w:tcW w:type="dxa" w:w="239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所属库</w:t>
            </w:r>
          </w:p>
        </w:tc>
        <w:tc>
          <w:tcPr>
            <w:tcW w:type="dxa" w:w="399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表名</w:t>
            </w:r>
          </w:p>
        </w:tc>
        <w:tc>
          <w:tcPr>
            <w:tcW w:type="dxa" w:w="103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中文名</w:t>
            </w:r>
          </w:p>
        </w:tc>
        <w:tc>
          <w:tcPr>
            <w:tcW w:type="dxa" w:w="74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字段数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</w:t>
            </w:r>
          </w:p>
        </w:tc>
        <w:tc>
          <w:tcPr>
            <w:tcW w:type="dxa" w:w="239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mall_user</w:t>
            </w:r>
          </w:p>
        </w:tc>
        <w:tc>
          <w:tcPr>
            <w:tcW w:type="dxa" w:w="399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</w:t>
            </w:r>
          </w:p>
        </w:tc>
        <w:tc>
          <w:tcPr>
            <w:tcW w:type="dxa" w:w="103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用户表</w:t>
            </w:r>
          </w:p>
        </w:tc>
        <w:tc>
          <w:tcPr>
            <w:tcW w:type="dxa" w:w="74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2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mall_user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address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收货地址表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3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mall_product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category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商品分类表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mall_product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5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mall_product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sku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商品规格表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mall_product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stock_reservation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库存预占表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7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mall_product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stock_reservation_item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预占明细表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8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mall_cart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mall_cart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cart_item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购物车条目表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10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mall_order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订单主表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19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11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mall_order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order_item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订单明细表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12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mall_order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order_idempotency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下单幂等表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13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mall_order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order_compensation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补偿任务表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14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mall_order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config_audit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配置变更留痕表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15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mall_payment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16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mall_payment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payment_callback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支付回调流水表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6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17</w:t>
            </w:r>
          </w:p>
        </w:tc>
        <w:tc>
          <w:tcPr>
            <w:tcW w:type="dxa" w:w="23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mall_payment</w:t>
            </w:r>
          </w:p>
        </w:tc>
        <w:tc>
          <w:tcPr>
            <w:tcW w:type="dxa" w:w="399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refund</w:t>
            </w:r>
          </w:p>
        </w:tc>
        <w:tc>
          <w:tcPr>
            <w:tcW w:type="dxa" w:w="10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退款单表</w:t>
            </w:r>
          </w:p>
        </w:tc>
        <w:tc>
          <w:tcPr>
            <w:tcW w:type="dxa" w:w="7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15</w:t>
            </w:r>
          </w:p>
        </w:tc>
      </w:tr>
    </w:tbl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 关键表结构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3.3.1 订单主表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2-8 订单主表结构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698"/>
        <w:gridCol w:w="1993"/>
        <w:gridCol w:w="820"/>
        <w:gridCol w:w="1138"/>
        <w:gridCol w:w="1203"/>
      </w:tblGrid>
      <w:tr>
        <w:trPr>
          <w:cantSplit/>
          <w:tblHeader/>
        </w:trPr>
        <w:tc>
          <w:tcPr>
            <w:tcW w:type="dxa" w:w="369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字段名</w:t>
            </w:r>
          </w:p>
        </w:tc>
        <w:tc>
          <w:tcPr>
            <w:tcW w:type="dxa" w:w="199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类型</w:t>
            </w:r>
          </w:p>
        </w:tc>
        <w:tc>
          <w:tcPr>
            <w:tcW w:type="dxa" w:w="82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允许空</w:t>
            </w:r>
          </w:p>
        </w:tc>
        <w:tc>
          <w:tcPr>
            <w:tcW w:type="dxa" w:w="113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默认值</w:t>
            </w:r>
          </w:p>
        </w:tc>
        <w:tc>
          <w:tcPr>
            <w:tcW w:type="dxa" w:w="120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order_id</w:t>
            </w:r>
          </w:p>
        </w:tc>
        <w:tc>
          <w:tcPr>
            <w:tcW w:type="dxa" w:w="199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20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 ID（主键）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order_no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对外订单号（唯一）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buyer_id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买家 ID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seller_id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卖家 ID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status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varchar(24)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订单状态（六态）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total_amount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bigint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商品总额（分）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pay_amount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bigint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应付金额（分）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receiver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收货人快照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receiver_phone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varchar(11)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联系电话快照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address_full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varchar(255)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完整地址快照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tracking_no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varchar(64)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是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NULL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物流单号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expire_at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datetime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支付截止时间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paid_at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datetime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是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NULL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支付时间</w:t>
            </w:r>
          </w:p>
        </w:tc>
      </w:tr>
      <w:tr>
        <w:trPr>
          <w:cantSplit/>
        </w:trPr>
        <w:tc>
          <w:tcPr>
            <w:tcW w:type="dxa" w:w="369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inventory_released</w:t>
            </w:r>
          </w:p>
        </w:tc>
        <w:tc>
          <w:tcPr>
            <w:tcW w:type="dxa" w:w="19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tinyint(1)</w:t>
            </w:r>
          </w:p>
        </w:tc>
        <w:tc>
          <w:tcPr>
            <w:tcW w:type="dxa" w:w="8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13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</w:t>
            </w:r>
          </w:p>
        </w:tc>
        <w:tc>
          <w:tcPr>
            <w:tcW w:type="dxa" w:w="120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库存是否已释放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索引</w:t>
      </w:r>
      <w:r>
        <w:rPr>
          <w:rFonts w:ascii="Times New Roman" w:hAnsi="Times New Roman" w:eastAsia="宋体"/>
          <w:sz w:val="24"/>
        </w:rPr>
        <w:t xml:space="preserve">：主键 order_id、唯一键 uk_order_no、idx_buyer (buyer_id, status)、idx_status_expire (status, expire_at)。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idx_status_expire 支撑超时扫描：WHERE status='PENDING_PAYMENT' AND expire_at &lt;= ?。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3.3.2 商品规格表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2-9 商品规格表结构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596"/>
        <w:gridCol w:w="2018"/>
        <w:gridCol w:w="936"/>
        <w:gridCol w:w="930"/>
        <w:gridCol w:w="1372"/>
      </w:tblGrid>
      <w:tr>
        <w:trPr>
          <w:cantSplit/>
          <w:tblHeader/>
        </w:trPr>
        <w:tc>
          <w:tcPr>
            <w:tcW w:type="dxa" w:w="35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字段名</w:t>
            </w:r>
          </w:p>
        </w:tc>
        <w:tc>
          <w:tcPr>
            <w:tcW w:type="dxa" w:w="201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类型</w:t>
            </w:r>
          </w:p>
        </w:tc>
        <w:tc>
          <w:tcPr>
            <w:tcW w:type="dxa" w:w="93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允许空</w:t>
            </w:r>
          </w:p>
        </w:tc>
        <w:tc>
          <w:tcPr>
            <w:tcW w:type="dxa" w:w="93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默认值</w:t>
            </w:r>
          </w:p>
        </w:tc>
        <w:tc>
          <w:tcPr>
            <w:tcW w:type="dxa" w:w="137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sku_id</w:t>
            </w:r>
          </w:p>
        </w:tc>
        <w:tc>
          <w:tcPr>
            <w:tcW w:type="dxa" w:w="201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93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37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规格 ID（主键）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product_id</w:t>
            </w:r>
          </w:p>
        </w:tc>
        <w:tc>
          <w:tcPr>
            <w:tcW w:type="dxa" w:w="201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93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3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所属商品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spec_name</w:t>
            </w:r>
          </w:p>
        </w:tc>
        <w:tc>
          <w:tcPr>
            <w:tcW w:type="dxa" w:w="201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varchar(64)</w:t>
            </w:r>
          </w:p>
        </w:tc>
        <w:tc>
          <w:tcPr>
            <w:tcW w:type="dxa" w:w="93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3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规格名（如「黑色」）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price</w:t>
            </w:r>
          </w:p>
        </w:tc>
        <w:tc>
          <w:tcPr>
            <w:tcW w:type="dxa" w:w="201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bigint</w:t>
            </w:r>
          </w:p>
        </w:tc>
        <w:tc>
          <w:tcPr>
            <w:tcW w:type="dxa" w:w="93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3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单价（分）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stock_available</w:t>
            </w:r>
          </w:p>
        </w:tc>
        <w:tc>
          <w:tcPr>
            <w:tcW w:type="dxa" w:w="201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int</w:t>
            </w:r>
          </w:p>
        </w:tc>
        <w:tc>
          <w:tcPr>
            <w:tcW w:type="dxa" w:w="93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</w:t>
            </w:r>
          </w:p>
        </w:tc>
        <w:tc>
          <w:tcPr>
            <w:tcW w:type="dxa" w:w="13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可售库存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stock_locked</w:t>
            </w:r>
          </w:p>
        </w:tc>
        <w:tc>
          <w:tcPr>
            <w:tcW w:type="dxa" w:w="201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int</w:t>
            </w:r>
          </w:p>
        </w:tc>
        <w:tc>
          <w:tcPr>
            <w:tcW w:type="dxa" w:w="93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</w:t>
            </w:r>
          </w:p>
        </w:tc>
        <w:tc>
          <w:tcPr>
            <w:tcW w:type="dxa" w:w="13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锁定库存</w:t>
            </w:r>
          </w:p>
        </w:tc>
      </w:tr>
      <w:tr>
        <w:trPr>
          <w:cantSplit/>
        </w:trPr>
        <w:tc>
          <w:tcPr>
            <w:tcW w:type="dxa" w:w="35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version</w:t>
            </w:r>
          </w:p>
        </w:tc>
        <w:tc>
          <w:tcPr>
            <w:tcW w:type="dxa" w:w="201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int</w:t>
            </w:r>
          </w:p>
        </w:tc>
        <w:tc>
          <w:tcPr>
            <w:tcW w:type="dxa" w:w="93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93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</w:t>
            </w:r>
          </w:p>
        </w:tc>
        <w:tc>
          <w:tcPr>
            <w:tcW w:type="dxa" w:w="137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乐观锁版本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双库存字段设计</w:t>
      </w:r>
      <w:r>
        <w:rPr>
          <w:rFonts w:ascii="Times New Roman" w:hAnsi="Times New Roman" w:eastAsia="宋体"/>
          <w:sz w:val="24"/>
        </w:rPr>
        <w:t xml:space="preserve">：stock_available 是买家可下单的量，stock_locked 是已下单未支付占用的量。下单时两者一增一减，支付成功后锁定转为真实扣减，取消或超时则锁定退回可售。这样「可售」与「已占用」始终分离，不会出现「看起来有货但实际已被别人占了」的超卖。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唯一约束</w:t>
      </w:r>
      <w:r>
        <w:rPr>
          <w:rFonts w:ascii="Times New Roman" w:hAnsi="Times New Roman" w:eastAsia="宋体"/>
          <w:sz w:val="24"/>
        </w:rPr>
        <w:t xml:space="preserve">：uk_product_spec (product_id, spec_name)，防止同一商品出现重复规格。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3.3.3 支付单表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2-10 支付单表结构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360"/>
        <w:gridCol w:w="2097"/>
        <w:gridCol w:w="881"/>
        <w:gridCol w:w="1220"/>
        <w:gridCol w:w="1294"/>
      </w:tblGrid>
      <w:tr>
        <w:trPr>
          <w:cantSplit/>
          <w:tblHeader/>
        </w:trPr>
        <w:tc>
          <w:tcPr>
            <w:tcW w:type="dxa" w:w="336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字段名</w:t>
            </w:r>
          </w:p>
        </w:tc>
        <w:tc>
          <w:tcPr>
            <w:tcW w:type="dxa" w:w="209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类型</w:t>
            </w:r>
          </w:p>
        </w:tc>
        <w:tc>
          <w:tcPr>
            <w:tcW w:type="dxa" w:w="88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允许空</w:t>
            </w:r>
          </w:p>
        </w:tc>
        <w:tc>
          <w:tcPr>
            <w:tcW w:type="dxa" w:w="122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默认值</w:t>
            </w:r>
          </w:p>
        </w:tc>
        <w:tc>
          <w:tcPr>
            <w:tcW w:type="dxa" w:w="129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payment_id</w:t>
            </w:r>
          </w:p>
        </w:tc>
        <w:tc>
          <w:tcPr>
            <w:tcW w:type="dxa" w:w="209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8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221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9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 ID（主键）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pay_no</w:t>
            </w:r>
          </w:p>
        </w:tc>
        <w:tc>
          <w:tcPr>
            <w:tcW w:type="dxa" w:w="20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8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22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对外支付号（唯一）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order_id</w:t>
            </w:r>
          </w:p>
        </w:tc>
        <w:tc>
          <w:tcPr>
            <w:tcW w:type="dxa" w:w="20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varchar(32)</w:t>
            </w:r>
          </w:p>
        </w:tc>
        <w:tc>
          <w:tcPr>
            <w:tcW w:type="dxa" w:w="88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22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关联订单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amount</w:t>
            </w:r>
          </w:p>
        </w:tc>
        <w:tc>
          <w:tcPr>
            <w:tcW w:type="dxa" w:w="20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bigint</w:t>
            </w:r>
          </w:p>
        </w:tc>
        <w:tc>
          <w:tcPr>
            <w:tcW w:type="dxa" w:w="88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22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应付金额（分）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refunded_amount</w:t>
            </w:r>
          </w:p>
        </w:tc>
        <w:tc>
          <w:tcPr>
            <w:tcW w:type="dxa" w:w="20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bigint</w:t>
            </w:r>
          </w:p>
        </w:tc>
        <w:tc>
          <w:tcPr>
            <w:tcW w:type="dxa" w:w="88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22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0</w:t>
            </w:r>
          </w:p>
        </w:tc>
        <w:tc>
          <w:tcPr>
            <w:tcW w:type="dxa" w:w="12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已退金额（分）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status</w:t>
            </w:r>
          </w:p>
        </w:tc>
        <w:tc>
          <w:tcPr>
            <w:tcW w:type="dxa" w:w="20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varchar(16)</w:t>
            </w:r>
          </w:p>
        </w:tc>
        <w:tc>
          <w:tcPr>
            <w:tcW w:type="dxa" w:w="88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否</w:t>
            </w:r>
          </w:p>
        </w:tc>
        <w:tc>
          <w:tcPr>
            <w:tcW w:type="dxa" w:w="122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—</w:t>
            </w:r>
          </w:p>
        </w:tc>
        <w:tc>
          <w:tcPr>
            <w:tcW w:type="dxa" w:w="12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支付状态</w:t>
            </w:r>
          </w:p>
        </w:tc>
      </w:tr>
      <w:tr>
        <w:trPr>
          <w:cantSplit/>
        </w:trPr>
        <w:tc>
          <w:tcPr>
            <w:tcW w:type="dxa" w:w="33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paid_at</w:t>
            </w:r>
          </w:p>
        </w:tc>
        <w:tc>
          <w:tcPr>
            <w:tcW w:type="dxa" w:w="20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datetime</w:t>
            </w:r>
          </w:p>
        </w:tc>
        <w:tc>
          <w:tcPr>
            <w:tcW w:type="dxa" w:w="88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是</w:t>
            </w:r>
          </w:p>
        </w:tc>
        <w:tc>
          <w:tcPr>
            <w:tcW w:type="dxa" w:w="122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NULL</w:t>
            </w:r>
          </w:p>
        </w:tc>
        <w:tc>
          <w:tcPr>
            <w:tcW w:type="dxa" w:w="12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支付成功时间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refunded_amount 的作用</w:t>
      </w:r>
      <w:r>
        <w:rPr>
          <w:rFonts w:ascii="Times New Roman" w:hAnsi="Times New Roman" w:eastAsia="宋体"/>
          <w:sz w:val="24"/>
        </w:rPr>
        <w:t xml:space="preserve">：退款时用条件更新预占额度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UPDATE payment SET refunded_amount = refunded_amount + ?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payment_id = ? AND refunded_amount + ? &lt;= amount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影响行数为 0 即超额退款，直接返回 60004。这样多笔退款并发时也不会退超过实付金额。</w:t>
      </w:r>
    </w:p>
    <w:p>
      <w:pPr>
        <w:pStyle w:val="Heading4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3.3.4 预占状态机与退款回补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stock_reservation.status 取值：</w:t>
      </w:r>
    </w:p>
    <w:p>
      <w:pPr>
        <w:spacing w:line="360" w:lineRule="auto" w:before="120" w:after="60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2-11 库存预占状态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734"/>
        <w:gridCol w:w="5120"/>
      </w:tblGrid>
      <w:tr>
        <w:trPr>
          <w:cantSplit/>
          <w:tblHeader/>
        </w:trPr>
        <w:tc>
          <w:tcPr>
            <w:tcW w:type="dxa" w:w="373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值</w:t>
            </w:r>
          </w:p>
        </w:tc>
        <w:tc>
          <w:tcPr>
            <w:tcW w:type="dxa" w:w="512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373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LOCKED</w:t>
            </w:r>
          </w:p>
        </w:tc>
        <w:tc>
          <w:tcPr>
            <w:tcW w:type="dxa" w:w="51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已预占，等待支付</w:t>
            </w:r>
          </w:p>
        </w:tc>
      </w:tr>
      <w:tr>
        <w:trPr>
          <w:cantSplit/>
        </w:trPr>
        <w:tc>
          <w:tcPr>
            <w:tcW w:type="dxa" w:w="373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CONFIRMED</w:t>
            </w:r>
          </w:p>
        </w:tc>
        <w:tc>
          <w:tcPr>
            <w:tcW w:type="dxa" w:w="51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支付成功，已转为真实扣减</w:t>
            </w:r>
          </w:p>
        </w:tc>
      </w:tr>
      <w:tr>
        <w:trPr>
          <w:cantSplit/>
        </w:trPr>
        <w:tc>
          <w:tcPr>
            <w:tcW w:type="dxa" w:w="373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RELEASED</w:t>
            </w:r>
          </w:p>
        </w:tc>
        <w:tc>
          <w:tcPr>
            <w:tcW w:type="dxa" w:w="51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超时或取消，库存已退回可售</w:t>
            </w:r>
          </w:p>
        </w:tc>
      </w:tr>
      <w:tr>
        <w:trPr>
          <w:cantSplit/>
        </w:trPr>
        <w:tc>
          <w:tcPr>
            <w:tcW w:type="dxa" w:w="3735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REFUNDED</w:t>
            </w:r>
          </w:p>
        </w:tc>
        <w:tc>
          <w:tcPr>
            <w:tcW w:type="dxa" w:w="512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退款成功，已扣减的库存已回补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退款回补的幂等实现：</w:t>
      </w:r>
    </w:p>
    <w:p>
      <w:pPr>
        <w:spacing w:line="360" w:lineRule="auto"/>
        <w:ind w:firstLine="480"/>
        <w:jc w:val="both"/>
      </w:pPr>
      <w:r>
        <w:rPr>
          <w:rFonts w:ascii="Times New Roman" w:cs="Consolas" w:eastAsia="宋体" w:hAnsi="Times New Roman"/>
          <w:sz w:val="24"/>
          <w:szCs w:val="21"/>
        </w:rPr>
        <w:t xml:space="preserve">-- 第一步：抢占状态，只有这次调用会回补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UPDATE stock_reservation SET status = 'REFUNDED'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order_id = ? AND status = 'CONFIRMED';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-- 第二步：仅当第一步影响行数 &gt; 0 时，按明细回补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UPDATE sku SET stock_available = stock_available + ?</w:t>
      </w:r>
      <w:r>
        <w:rPr>
          <w:rFonts w:ascii="Times New Roman" w:cs="Consolas" w:eastAsia="宋体" w:hAnsi="Times New Roman"/>
          <w:sz w:val="24"/>
          <w:szCs w:val="21"/>
        </w:rPr>
        <w:br/>
      </w:r>
      <w:r>
        <w:rPr>
          <w:rFonts w:ascii="Times New Roman" w:cs="Consolas" w:eastAsia="宋体" w:hAnsi="Times New Roman"/>
          <w:sz w:val="24"/>
          <w:szCs w:val="21"/>
        </w:rPr>
        <w:t xml:space="preserve">WHERE sku_id = ? AND is_deleted = 0;</w:t>
      </w:r>
      <w:r>
        <w:rPr>
          <w:rFonts w:ascii="Times New Roman" w:cs="Consolas" w:eastAsia="宋体" w:hAnsi="Times New Roman"/>
          <w:sz w:val="24"/>
          <w:szCs w:val="21"/>
        </w:rPr>
        <w:br/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3.4 表间关系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跨服务只存 ID，不建外键：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mall_user：user 1 对多 address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mall_product：category 1 对多 product，product 1 对多 sku，sku 1 对多 stock_reservation_item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mall_cart：cart 1 对多 cart_item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mall_order：order 1 对多 order_item，order 1 对 1 order_idempotency，order 1 对 0..1 order_compensation</w:t>
      </w:r>
    </w:p>
    <w:p>
      <w:pPr>
        <w:pStyle w:val="ListParagraph"/>
        <w:numPr>
          <w:ilvl w:val="0"/>
          <w:numId w:val="2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mall_payment：payment 1 对多 refund，payment 1 对多 payment_callback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/>
          <w:bCs/>
          <w:sz w:val="24"/>
        </w:rPr>
        <w:t xml:space="preserve">跨库不建外键</w:t>
      </w:r>
      <w:r>
        <w:rPr>
          <w:rFonts w:ascii="Times New Roman" w:hAnsi="Times New Roman" w:eastAsia="宋体"/>
          <w:sz w:val="24"/>
        </w:rPr>
        <w:t xml:space="preserve">：所有跨服务关联只存 ID，靠应用层校验。这是微服务「数据库私有」原则的直接体现——如果建了跨库外键，两个库就无法独立迁移与扩容。</w:t>
      </w:r>
    </w:p>
    <w:p>
      <w:pPr>
        <w:pStyle w:val="Heading3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4"/>
        </w:rPr>
        <w:t xml:space="preserve">3.5 与需求模型的对应</w:t>
      </w:r>
    </w:p>
    <w:p>
      <w:pPr>
        <w:pStyle w:val="Heading2"/>
        <w:keepNext/>
        <w:spacing w:before="120" w:after="60" w:line="360" w:lineRule="auto"/>
        <w:ind w:firstLine="0"/>
        <w:jc w:val="center"/>
      </w:pPr>
      <w:r>
        <w:rPr>
          <w:rFonts w:ascii="Times New Roman" w:hAnsi="Times New Roman" w:eastAsia="宋体"/>
          <w:b/>
          <w:sz w:val="24"/>
        </w:rPr>
        <w:t>表 2-12 需求模型到表的映射</w:t>
      </w:r>
    </w:p>
    <w:tbl>
      <w:tblPr>
        <w:tblW w:type="dxa" w:w="8855"/>
        <w:tblLayout w:type="fixed"/>
        <w:jc w:val="center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990"/>
        <w:gridCol w:w="6864"/>
      </w:tblGrid>
      <w:tr>
        <w:trPr>
          <w:cantSplit/>
          <w:tblHeader/>
        </w:trPr>
        <w:tc>
          <w:tcPr>
            <w:tcW w:type="dxa" w:w="199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实验一域模型中的概念</w:t>
            </w:r>
          </w:p>
        </w:tc>
        <w:tc>
          <w:tcPr>
            <w:tcW w:type="dxa" w:w="686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/>
                <w:bCs/>
                <w:sz w:val="21"/>
              </w:rPr>
              <w:t xml:space="preserve">落地表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用户、地址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user、address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商品、规格、分类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product、sku、category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库存预占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stock_reservation、stock_reservation_item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购物车、条目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cart、cart_item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订单、订单明细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order、order_item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幂等令牌、补偿任务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order_idempotency、order_compensation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支付单、退款单、回调流水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payment、refund、payment_callback</w:t>
            </w:r>
          </w:p>
        </w:tc>
      </w:tr>
      <w:tr>
        <w:trPr>
          <w:cantSplit/>
        </w:trPr>
        <w:tc>
          <w:tcPr>
            <w:tcW w:type="dxa" w:w="19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平台配置变更</w:t>
            </w:r>
          </w:p>
        </w:tc>
        <w:tc>
          <w:tcPr>
            <w:tcW w:type="dxa" w:w="68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config_audit</w:t>
            </w:r>
          </w:p>
        </w:tc>
      </w:tr>
    </w:tbl>
    <w:p>
      <w:pPr>
        <w:pStyle w:val="Heading2"/>
        <w:keepNext/>
        <w:spacing w:before="120" w:after="120" w:line="360" w:lineRule="auto"/>
        <w:ind w:firstLine="0"/>
        <w:jc w:val="left"/>
      </w:pPr>
      <w:r>
        <w:rPr>
          <w:rFonts w:ascii="Times New Roman" w:hAnsi="Times New Roman" w:eastAsia="黑体"/>
          <w:b w:val="0"/>
          <w:sz w:val="28"/>
        </w:rPr>
        <w:t xml:space="preserve">4. 参考资料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河北工业大学《软件工程实验》（2026 版）实验指导书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项目《05-接口契约》v1.3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项目《06-开发规范》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Spring Boot 3.2 / Spring Cloud 2023 官方文档</w:t>
      </w:r>
    </w:p>
    <w:p>
      <w:pPr>
        <w:pStyle w:val="ListParagraph"/>
        <w:numPr>
          <w:ilvl w:val="0"/>
          <w:numId w:val="3"/>
        </w:num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Nacos 2.3 官方文档</w:t>
      </w:r>
    </w:p>
    <w:sectPr>
      <w:footerReference w:type="default" r:id="rId13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/>
      <w:ind w:firstLineChars="0" w:firstLine="0"/>
    </w:pPr>
    <w:r>
      <w:rPr>
        <w:rFonts w:ascii="Times New Roman" w:hAnsi="Times New Roman" w:eastAsia="宋体"/>
        <w:sz w:val="21"/>
      </w:rPr>
      <w:t xml:space="preserve">—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•"/>
      <w:lvlJc w:val="left"/>
      <w:pPr>
        <w:ind w:left="720" w:hanging="360"/>
      </w:pPr>
    </w:lvl>
    <w:lvl w:ilvl="2" w:tentative="1">
      <w:start w:val="1"/>
      <w:numFmt w:val="bullet"/>
      <w:lvlText w:val="•"/>
      <w:lvlJc w:val="left"/>
      <w:pPr>
        <w:ind w:left="1080" w:hanging="360"/>
      </w:pPr>
    </w:lvl>
    <w:lvl w:ilvl="3" w:tentative="1">
      <w:start w:val="1"/>
      <w:numFmt w:val="bullet"/>
      <w:lvlText w:val="•"/>
      <w:lvlJc w:val="left"/>
      <w:pPr>
        <w:ind w:left="1440" w:hanging="360"/>
      </w:pPr>
    </w:lvl>
    <w:lvl w:ilvl="4" w:tentative="1">
      <w:start w:val="1"/>
      <w:numFmt w:val="bullet"/>
      <w:lvlText w:val="•"/>
      <w:lvlJc w:val="left"/>
      <w:pPr>
        <w:ind w:left="1800" w:hanging="360"/>
      </w:pPr>
    </w:lvl>
    <w:lvl w:ilvl="5" w:tentative="1">
      <w:start w:val="1"/>
      <w:numFmt w:val="bullet"/>
      <w:lvlText w:val="•"/>
      <w:lvlJc w:val="left"/>
      <w:pPr>
        <w:ind w:left="2160" w:hanging="360"/>
      </w:pPr>
    </w:lvl>
    <w:lvl w:ilvl="6" w:tentative="1">
      <w:start w:val="1"/>
      <w:numFmt w:val="bullet"/>
      <w:lvlText w:val="•"/>
      <w:lvlJc w:val="left"/>
      <w:pPr>
        <w:ind w:left="2520" w:hanging="360"/>
      </w:pPr>
    </w:lvl>
    <w:lvl w:ilvl="7" w:tentative="1">
      <w:start w:val="1"/>
      <w:numFmt w:val="bullet"/>
      <w:lvlText w:val="•"/>
      <w:lvlJc w:val="left"/>
      <w:pPr>
        <w:ind w:left="2880" w:hanging="360"/>
      </w:pPr>
    </w:lvl>
    <w:lvl w:ilvl="8" w:tentative="1">
      <w:start w:val="1"/>
      <w:numFmt w:val="bullet"/>
      <w:lvlText w:val="•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decimal"/>
      <w:lvlText w:val="%4."/>
      <w:lvlJc w:val="left"/>
      <w:pPr>
        <w:ind w:left="1440" w:hanging="360"/>
      </w:pPr>
    </w:lvl>
    <w:lvl w:ilvl="4" w:tentative="1">
      <w:start w:val="1"/>
      <w:numFmt w:val="decimal"/>
      <w:lvlText w:val="%5."/>
      <w:lvlJc w:val="left"/>
      <w:pPr>
        <w:ind w:left="1800" w:hanging="360"/>
      </w:pPr>
    </w:lvl>
    <w:lvl w:ilvl="5" w:tentative="1">
      <w:start w:val="1"/>
      <w:numFmt w:val="decimal"/>
      <w:lvlText w:val="%6."/>
      <w:lvlJc w:val="left"/>
      <w:pPr>
        <w:ind w:left="2160" w:hanging="360"/>
      </w:pPr>
    </w:lvl>
    <w:lvl w:ilvl="6" w:tentative="1">
      <w:start w:val="1"/>
      <w:numFmt w:val="decimal"/>
      <w:lvlText w:val="%7."/>
      <w:lvlJc w:val="left"/>
      <w:pPr>
        <w:ind w:left="2520" w:hanging="360"/>
      </w:pPr>
    </w:lvl>
    <w:lvl w:ilvl="7" w:tentative="1">
      <w:start w:val="1"/>
      <w:numFmt w:val="decimal"/>
      <w:lvlText w:val="%8."/>
      <w:lvlJc w:val="left"/>
      <w:pPr>
        <w:ind w:left="2880" w:hanging="360"/>
      </w:pPr>
    </w:lvl>
    <w:lvl w:ilvl="8" w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ef619622b0fd91b5bab9b60f2893ae97f5070a0.png"/><Relationship Id="rId8" Type="http://schemas.openxmlformats.org/officeDocument/2006/relationships/image" Target="media/57b9c64c3255f9363aa10877ea40525721e919e0.png"/><Relationship Id="rId9" Type="http://schemas.openxmlformats.org/officeDocument/2006/relationships/image" Target="media/71f75a5f608d38ce6e6ce0d5675599217f3c2abc.png"/><Relationship Id="rId10" Type="http://schemas.openxmlformats.org/officeDocument/2006/relationships/image" Target="media/53ce42767719b3f6c20b2f57a19d4331eec65b52.png"/><Relationship Id="rId11" Type="http://schemas.openxmlformats.org/officeDocument/2006/relationships/image" Target="media/b2121e4b68e2fcb08d0a871dfdb59a93cedad049.png"/><Relationship Id="rId12" Type="http://schemas.openxmlformats.org/officeDocument/2006/relationships/fontTable" Target="fontTable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2026-10-27T11:56:46.708Z</dcterms:created>
  <dcterms:modified xsi:type="dcterms:W3CDTF">2026-10-27T11:56:46.708Z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