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  <w:spacing w:before="0" w:after="0" w:line="360" w:lineRule="auto"/>
        <w:ind w:firstLineChars="0" w:firstLine="0"/>
      </w:pPr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  <w:spacing w:before="0" w:after="16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河北工业大学</w:t>
      </w:r>
    </w:p>
    <w:p>
      <w:pPr>
        <w:jc w:val="center"/>
        <w:spacing w:before="0" w:after="440" w:line="360" w:lineRule="auto"/>
        <w:ind w:firstLineChars="0" w:firstLine="0"/>
      </w:pPr>
      <w:r>
        <w:rPr>
          <w:rFonts w:ascii="SimHei" w:hAnsi="SimHei" w:eastAsia="黑体"/>
          <w:b/>
          <w:sz w:val="52"/>
        </w:rPr>
        <w:t>软件工程课程实验</w:t>
      </w:r>
    </w:p>
    <w:p>
      <w:pPr>
        <w:jc w:val="center"/>
        <w:spacing w:before="0" w:after="240" w:line="360" w:lineRule="auto"/>
        <w:ind w:firstLineChars="0" w:firstLine="0"/>
      </w:pPr>
      <w:r>
        <w:rPr>
          <w:rFonts w:ascii="SimHei" w:hAnsi="SimHei" w:eastAsia="黑体"/>
          <w:b/>
          <w:sz w:val="68"/>
        </w:rPr>
        <w:t>实  验  报  告</w:t>
      </w:r>
    </w:p>
    <w:p>
      <w:pPr>
        <w:jc w:val="center"/>
        <w:spacing w:before="0" w:after="760" w:line="360" w:lineRule="auto"/>
        <w:ind w:firstLineChars="0" w:firstLine="0"/>
      </w:pPr>
      <w:r>
        <w:rPr>
          <w:rFonts w:ascii="Times New Roman" w:hAnsi="Times New Roman" w:eastAsia="楷体"/>
          <w:b w:val="0"/>
          <w:sz w:val="26"/>
        </w:rPr>
        <w:t>（第一部分  需求规格说明书）</w:t>
      </w:r>
    </w:p>
    <w:p>
      <w:pPr>
        <w:jc w:val="center"/>
        <w:spacing w:before="0" w:after="880" w:line="360" w:lineRule="auto"/>
        <w:ind w:firstLineChars="0" w:firstLine="0"/>
      </w:pPr>
      <w:r>
        <w:rPr>
          <w:rFonts w:ascii="SimHei" w:hAnsi="SimHei" w:eastAsia="黑体"/>
          <w:b w:val="0"/>
          <w:sz w:val="32"/>
        </w:rPr>
        <w:t>题目：</w:t>
      </w:r>
      <w:r>
        <w:rPr>
          <w:rFonts w:ascii="SimHei" w:hAnsi="SimHei" w:eastAsia="黑体"/>
          <w:b/>
          <w:sz w:val="32"/>
        </w:rPr>
        <w:t>云原生微服务架构实践——在线商城系统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专　　业：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班　　级：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　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组　　长：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成　　员：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指导教师：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jc w:val="center"/>
        <w:spacing w:before="0" w:after="180" w:line="336" w:lineRule="auto"/>
        <w:ind w:firstLineChars="0" w:firstLine="0"/>
      </w:pPr>
      <w:r>
        <w:rPr>
          <w:rFonts w:ascii="Times New Roman" w:hAnsi="Times New Roman" w:eastAsia="宋体"/>
          <w:b w:val="0"/>
          <w:sz w:val="28"/>
        </w:rPr>
        <w:t>完成日期：</w:t>
      </w:r>
      <w:r>
        <w:rPr>
          <w:rFonts w:ascii="Times New Roman" w:hAnsi="Times New Roman" w:eastAsia="宋体"/>
          <w:b w:val="0"/>
          <w:sz w:val="28"/>
          <w:u w:val="single"/>
        </w:rPr>
        <w:t xml:space="preserve">                </w:t>
      </w:r>
    </w:p>
    <w:p>
      <w:pPr>
        <w:spacing w:before="0" w:after="0"/>
        <w:ind w:firstLineChars="0" w:firstLine="0"/>
      </w:pPr>
      <w:r>
        <w:br w:type="page"/>
      </w:r>
    </w:p>
    <w:p>
      <w:pPr>
        <w:spacing w:before="0" w:after="480" w:line="360" w:lineRule="auto"/>
        <w:ind w:firstLine="0"/>
        <w:jc w:val="center"/>
      </w:pPr>
      <w:r>
        <w:rPr>
          <w:rFonts w:ascii="SimHei" w:hAnsi="SimHei" w:eastAsia="黑体"/>
          <w:b/>
          <w:sz w:val="32"/>
        </w:rPr>
        <w:t>目　　录</w:t>
      </w:r>
    </w:p>
    <w:p>
      <w:pPr>
        <w:tabs>
          <w:tab w:pos="8504" w:val="right" w:leader="dot"/>
        </w:tabs>
        <w:spacing w:before="160" w:after="160" w:line="360" w:lineRule="auto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1  软件需求规格说明书</w:t>
        <w:tab/>
        <w:t>3</w:t>
      </w:r>
    </w:p>
    <w:p>
      <w:pPr>
        <w:tabs>
          <w:tab w:pos="8504" w:val="right" w:leader="dot"/>
        </w:tabs>
        <w:spacing w:before="160" w:after="160" w:line="360" w:lineRule="auto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2  设计规格说明书</w:t>
        <w:tab/>
        <w:t>—</w:t>
      </w:r>
    </w:p>
    <w:p>
      <w:pPr>
        <w:tabs>
          <w:tab w:pos="8504" w:val="right" w:leader="dot"/>
        </w:tabs>
        <w:spacing w:before="160" w:after="160" w:line="360" w:lineRule="auto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3  系统原型构建与实现</w:t>
        <w:tab/>
        <w:t>—</w:t>
      </w:r>
    </w:p>
    <w:p>
      <w:pPr>
        <w:tabs>
          <w:tab w:pos="8504" w:val="right" w:leader="dot"/>
        </w:tabs>
        <w:spacing w:before="160" w:after="160" w:line="360" w:lineRule="auto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4  测试报告</w:t>
        <w:tab/>
        <w:t>—</w:t>
      </w:r>
    </w:p>
    <w:p>
      <w:pPr>
        <w:tabs>
          <w:tab w:pos="8504" w:val="right" w:leader="dot"/>
        </w:tabs>
        <w:spacing w:before="160" w:after="160" w:line="360" w:lineRule="auto"/>
        <w:ind w:firstLine="0"/>
        <w:jc w:val="left"/>
      </w:pPr>
      <w:r>
        <w:rPr>
          <w:rFonts w:ascii="Times New Roman" w:hAnsi="Times New Roman" w:eastAsia="宋体"/>
          <w:b w:val="0"/>
          <w:sz w:val="24"/>
        </w:rPr>
        <w:t>5  实验总结</w:t>
        <w:tab/>
        <w:t>—</w:t>
      </w:r>
    </w:p>
    <w:p>
      <w:pPr>
        <w:spacing w:before="480" w:after="0" w:line="360" w:lineRule="auto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（本册为实验报告第一部分，其余部分为后续分册；页码为第一部内页码。）</w:t>
      </w:r>
    </w:p>
    <w:p>
      <w:pPr>
        <w:pageBreakBefore/>
        <w:spacing w:before="0" w:after="360" w:line="360" w:lineRule="auto"/>
        <w:ind w:firstLine="0"/>
        <w:jc w:val="center"/>
      </w:pPr>
      <w:r>
        <w:rPr>
          <w:rFonts w:ascii="SimHei" w:hAnsi="SimHei" w:eastAsia="黑体"/>
          <w:b/>
          <w:sz w:val="36"/>
        </w:rPr>
        <w:t>一、需求规格说明书</w:t>
      </w:r>
    </w:p>
    <w:p>
      <w:pPr>
        <w:pStyle w:val="Heading1"/>
        <w:keepNext/>
        <w:jc w:val="left"/>
      </w:pPr>
      <w:r>
        <w:rPr>
          <w:rFonts w:ascii="Times New Roman" w:hAnsi="Times New Roman" w:cs="Times New Roman"/>
        </w:rPr>
        <w:t>1. 项目概述与迭代规划（Project overview and iteration planning）</w:t>
      </w:r>
    </w:p>
    <w:p>
      <w:pPr>
        <w:pStyle w:val="Heading2"/>
        <w:keepNext/>
        <w:jc w:val="left"/>
      </w:pPr>
      <w:r>
        <w:rPr>
          <w:rFonts w:ascii="Times New Roman" w:hAnsi="Times New Roman" w:cs="Times New Roman"/>
        </w:rPr>
        <w:t>1.1 项目背景与目标（project background and objectives）</w:t>
      </w:r>
    </w:p>
    <w:p>
      <w:pPr>
        <w:pStyle w:val="Heading3"/>
        <w:keepNext/>
      </w:pPr>
      <w:r>
        <w:rPr>
          <w:rFonts w:ascii="Times New Roman" w:hAnsi="Times New Roman" w:cs="Times New Roman"/>
        </w:rPr>
        <w:t xml:space="preserve">1.1.1 行业背景与调研结论</w:t>
      </w:r>
    </w:p>
    <w:p>
      <w:r>
        <w:t xml:space="preserve">在线零售已成为我国消费市场的主渠道之一。国家统计局数据显示，2024 年全国网上零售额 155225 亿元，比上年增长 7.2%；其中实物商品网上零售额 130816 亿元，增长 6.5%，占社会消费品零售总额的比重达 26.8%。同期，中国互联网络信息中心（CNNIC）第 55 次《中国互联网络发展状况统计报告》显示，截至 2024 年 12 月，我国网民规模达 11.08 亿人，网络购物用户规模达 9.74 亿人，网上零售额与移动支付普及率稳居全球第一。</w:t>
      </w:r>
    </w:p>
    <w:p>
      <w:r>
        <w:t xml:space="preserve">规模之外，真正决定电商系统技术形态的是两个结构性特征：</w:t>
      </w:r>
    </w:p>
    <w:p>
      <w:r>
        <w:t xml:space="preserve">第一，</w:t>
      </w:r>
      <w:r>
        <w:rPr>
          <w:b/>
          <w:bCs/>
        </w:rPr>
        <w:t xml:space="preserve">流量呈极端脉冲分布</w:t>
      </w:r>
      <w:r>
        <w:t xml:space="preserve">。日常流量平缓，而大促期间订单创建速率可达每秒数十万笔量级（历年“双 11”公开报道的峰值数据）。这意味着系统必须具备按峰值弹性伸缩的能力，而不能按平均负载设计。</w:t>
      </w:r>
    </w:p>
    <w:p>
      <w:r>
        <w:t xml:space="preserve">第二，</w:t>
      </w:r>
      <w:r>
        <w:rPr>
          <w:b/>
          <w:bCs/>
        </w:rPr>
        <w:t xml:space="preserve">转化漏斗每一层都在流失</w:t>
      </w:r>
      <w:r>
        <w:t xml:space="preserve">。行业统计显示全球电商平均转化率约 1.9%，而购物车放弃率高达 68.7%，加购率约 7.1%，结账完成率约 28.4%。用户在“加购—结算—支付”这条链路上极易因页面卡顿、库存显示错误、重复扣款、订单状态不明而放弃。这直接决定了本项目的用例优先级：下单与支付链路的</w:t>
      </w:r>
      <w:r>
        <w:rPr>
          <w:b/>
          <w:bCs/>
        </w:rPr>
        <w:t xml:space="preserve">正确性</w:t>
      </w:r>
      <w:r>
        <w:t xml:space="preserve">必须先于功能的</w:t>
      </w:r>
      <w:r>
        <w:rPr>
          <w:b/>
          <w:bCs/>
        </w:rPr>
        <w:t xml:space="preserve">丰富度</w:t>
      </w:r>
      <w:r>
        <w:t xml:space="preserve">。</w:t>
      </w:r>
    </w:p>
    <w:p>
      <w:r>
        <w:t xml:space="preserve">对同类系统的技术方案调研进一步表明，主流电商平台普遍采用微服务拆分 + 服务注册发现 + API 网关 + 消息中间件的组合，以“库存预占 + 超时取消 + 补偿”处理分布式事务，而非直接依赖强一致的全局事务。</w:t>
      </w:r>
    </w:p>
    <w:p>
      <w:pPr>
        <w:pStyle w:val="Heading3"/>
        <w:keepNext/>
      </w:pPr>
      <w:r>
        <w:rPr>
          <w:rFonts w:ascii="Times New Roman" w:hAnsi="Times New Roman" w:cs="Times New Roman"/>
        </w:rPr>
        <w:t xml:space="preserve">1.1.2 项目目标</w:t>
      </w:r>
    </w:p>
    <w:p>
      <w:r>
        <w:t xml:space="preserve">本项目以云原生技术栈为核心，从零设计与实现一个在线商城系统，达成三个层次的目标：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业务目标</w:t>
      </w:r>
      <w:r>
        <w:t xml:space="preserve">：跑通“浏览商品 → 加入购物车 → 提交订单 → 支付 → 发货 → 确认收货”的完整交易闭环，并覆盖取消、超时、退款等异常分支。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架构目标</w:t>
      </w:r>
      <w:r>
        <w:t xml:space="preserve">：完成彻底的微服务拆分（用户、商品、购物车、订单、支付五个服务），实现服务间联调、网关统一路由、配置与注册中心托管，并给出分布式数据一致性方案。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工程目标</w:t>
      </w:r>
      <w:r>
        <w:t xml:space="preserve">：全流程使用 Git 进行版本控制，以 1–2 周为一个 Sprint 交付可运行的软件增量，产生的每一处设计决策均可被追溯与解释。</w:t>
      </w:r>
    </w:p>
    <w:p>
      <w:pPr>
        <w:pStyle w:val="Heading3"/>
        <w:keepNext/>
      </w:pPr>
      <w:r>
        <w:rPr>
          <w:rFonts w:ascii="Times New Roman" w:hAnsi="Times New Roman" w:cs="Times New Roman"/>
        </w:rPr>
        <w:t xml:space="preserve">1.1.3 目标用户与核心价值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 目标用户与核心价值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117"/>
        <w:gridCol w:w="3323"/>
        <w:gridCol w:w="3413"/>
      </w:tblGrid>
      <w:tr>
        <w:trPr>
          <w:trHeight w:val="360" w:hRule="atLeast"/>
          <w:cantSplit/>
          <w:tblHeader/>
        </w:trPr>
        <w:tc>
          <w:tcPr>
            <w:tcW w:type="dxa" w:w="211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目标用户</w:t>
            </w:r>
          </w:p>
        </w:tc>
        <w:tc>
          <w:tcPr>
            <w:tcW w:type="dxa" w:w="332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核心诉求</w:t>
            </w:r>
          </w:p>
        </w:tc>
        <w:tc>
          <w:tcPr>
            <w:tcW w:type="dxa" w:w="341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系统提供的能力</w:t>
            </w:r>
          </w:p>
        </w:tc>
      </w:tr>
      <w:tr>
        <w:trPr>
          <w:trHeight w:val="360" w:hRule="atLeast"/>
          <w:cantSplit/>
        </w:trPr>
        <w:tc>
          <w:tcPr>
            <w:tcW w:type="dxa" w:w="211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买家（消费者）</w:t>
            </w:r>
          </w:p>
        </w:tc>
        <w:tc>
          <w:tcPr>
            <w:tcW w:type="dxa" w:w="332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快速找到商品、下单不失败、订单状态可查</w:t>
            </w:r>
          </w:p>
        </w:tc>
        <w:tc>
          <w:tcPr>
            <w:tcW w:type="dxa" w:w="341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商品检索与详情、购物车、下单支付、订单跟踪、售后申请</w:t>
            </w:r>
          </w:p>
        </w:tc>
      </w:tr>
      <w:tr>
        <w:trPr>
          <w:trHeight w:val="360" w:hRule="atLeast"/>
          <w:cantSplit/>
        </w:trPr>
        <w:tc>
          <w:tcPr>
            <w:tcW w:type="dxa" w:w="211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卖家（入驻商家）</w:t>
            </w:r>
          </w:p>
        </w:tc>
        <w:tc>
          <w:tcPr>
            <w:tcW w:type="dxa" w:w="332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上架商品、管理库存、处理发货</w:t>
            </w:r>
          </w:p>
        </w:tc>
        <w:tc>
          <w:tcPr>
            <w:tcW w:type="dxa" w:w="341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商品发布与维护、库存调整、订单发货与退款审核</w:t>
            </w:r>
          </w:p>
        </w:tc>
      </w:tr>
      <w:tr>
        <w:trPr>
          <w:trHeight w:val="360" w:hRule="atLeast"/>
          <w:cantSplit/>
        </w:trPr>
        <w:tc>
          <w:tcPr>
            <w:tcW w:type="dxa" w:w="2118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管理员（平台运营）</w:t>
            </w:r>
          </w:p>
        </w:tc>
        <w:tc>
          <w:tcPr>
            <w:tcW w:type="dxa" w:w="332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治理违规商品、处理争议、核对账目</w:t>
            </w:r>
          </w:p>
        </w:tc>
        <w:tc>
          <w:tcPr>
            <w:tcW w:type="dxa" w:w="341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商品审核、分类维护、账号冻结、售后仲裁、流水导出</w:t>
            </w:r>
          </w:p>
        </w:tc>
      </w:tr>
    </w:tbl>
    <w:p>
      <w:pPr>
        <w:pStyle w:val="Heading2"/>
        <w:keepNext/>
        <w:jc w:val="left"/>
      </w:pPr>
      <w:r>
        <w:rPr>
          <w:rFonts w:ascii="Times New Roman" w:hAnsi="Times New Roman" w:cs="Times New Roman"/>
        </w:rPr>
        <w:t>1.2 迭代规划（iteration planning）</w:t>
      </w:r>
    </w:p>
    <w:p>
      <w:pPr>
        <w:pStyle w:val="Heading3"/>
        <w:keepNext/>
      </w:pPr>
      <w:r>
        <w:rPr>
          <w:rFonts w:ascii="Times New Roman" w:hAnsi="Times New Roman" w:cs="Times New Roman"/>
        </w:rPr>
        <w:t xml:space="preserve">1.2.1 迭代划分</w:t>
      </w:r>
    </w:p>
    <w:p>
      <w:r>
        <w:t xml:space="preserve">项目周期共 8 周，划分为 4 个 Sprint，每个 Sprint 2 周，结束时交付可运行的软件增量。第 1 个 Sprint 的产出同时作为实验二（系统设计）的输入，设计文档在 Sprint 1 结束前完成初稿、Sprint 2 期间随实现修订。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1-2 迭代规划与主要交付物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882"/>
        <w:gridCol w:w="1151"/>
        <w:gridCol w:w="1461"/>
        <w:gridCol w:w="1791"/>
        <w:gridCol w:w="2568"/>
      </w:tblGrid>
      <w:tr>
        <w:trPr>
          <w:trHeight w:val="360" w:hRule="atLeast"/>
          <w:cantSplit/>
          <w:tblHeader/>
        </w:trPr>
        <w:tc>
          <w:tcPr>
            <w:tcW w:type="dxa" w:w="188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迭代</w:t>
            </w:r>
          </w:p>
        </w:tc>
        <w:tc>
          <w:tcPr>
            <w:tcW w:type="dxa" w:w="115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周期</w:t>
            </w:r>
          </w:p>
        </w:tc>
        <w:tc>
          <w:tcPr>
            <w:tcW w:type="dxa" w:w="146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核心目标</w:t>
            </w:r>
          </w:p>
        </w:tc>
        <w:tc>
          <w:tcPr>
            <w:tcW w:type="dxa" w:w="179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主要交付物</w:t>
            </w:r>
          </w:p>
        </w:tc>
        <w:tc>
          <w:tcPr>
            <w:tcW w:type="dxa" w:w="256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完成判据</w:t>
            </w:r>
          </w:p>
        </w:tc>
      </w:tr>
      <w:tr>
        <w:trPr>
          <w:trHeight w:val="360" w:hRule="atLeast"/>
          <w:cantSplit/>
        </w:trPr>
        <w:tc>
          <w:tcPr>
            <w:tcW w:type="dxa" w:w="1883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Sprint 0</w:t>
            </w:r>
          </w:p>
        </w:tc>
        <w:tc>
          <w:tcPr>
            <w:tcW w:type="dxa" w:w="1151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0 周（预备）</w:t>
            </w:r>
          </w:p>
        </w:tc>
        <w:tc>
          <w:tcPr>
            <w:tcW w:type="dxa" w:w="1461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技术验证与建仓</w:t>
            </w:r>
          </w:p>
        </w:tc>
        <w:tc>
          <w:tcPr>
            <w:tcW w:type="dxa" w:w="1791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版本锁定清单、服务骨架、Git 仓库与分支规范</w:t>
            </w:r>
          </w:p>
        </w:tc>
        <w:tc>
          <w:tcPr>
            <w:tcW w:type="dxa" w:w="2569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Nacos + 网关 + 空服务可联通</w:t>
            </w:r>
          </w:p>
        </w:tc>
      </w:tr>
      <w:tr>
        <w:trPr>
          <w:trHeight w:val="360" w:hRule="atLeast"/>
          <w:cantSplit/>
        </w:trPr>
        <w:tc>
          <w:tcPr>
            <w:tcW w:type="dxa" w:w="18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Sprint 1</w:t>
            </w:r>
          </w:p>
        </w:tc>
        <w:tc>
          <w:tcPr>
            <w:tcW w:type="dxa" w:w="115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1–2 周</w:t>
            </w:r>
          </w:p>
        </w:tc>
        <w:tc>
          <w:tcPr>
            <w:tcW w:type="dxa" w:w="146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MVP 交易闭环</w:t>
            </w:r>
          </w:p>
        </w:tc>
        <w:tc>
          <w:tcPr>
            <w:tcW w:type="dxa" w:w="17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用户、商品、订单三服务；登录、列表、下单、模拟支付</w:t>
            </w:r>
          </w:p>
        </w:tc>
        <w:tc>
          <w:tcPr>
            <w:tcW w:type="dxa" w:w="25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单人可完成一次下单并看到订单</w:t>
            </w:r>
          </w:p>
        </w:tc>
      </w:tr>
      <w:tr>
        <w:trPr>
          <w:trHeight w:val="360" w:hRule="atLeast"/>
          <w:cantSplit/>
        </w:trPr>
        <w:tc>
          <w:tcPr>
            <w:tcW w:type="dxa" w:w="18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Sprint 2</w:t>
            </w:r>
          </w:p>
        </w:tc>
        <w:tc>
          <w:tcPr>
            <w:tcW w:type="dxa" w:w="115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3–4 周</w:t>
            </w:r>
          </w:p>
        </w:tc>
        <w:tc>
          <w:tcPr>
            <w:tcW w:type="dxa" w:w="146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购物车与真实支付链路</w:t>
            </w:r>
          </w:p>
        </w:tc>
        <w:tc>
          <w:tcPr>
            <w:tcW w:type="dxa" w:w="17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购物车服务、支付服务、库存预占、超时取消</w:t>
            </w:r>
          </w:p>
        </w:tc>
        <w:tc>
          <w:tcPr>
            <w:tcW w:type="dxa" w:w="25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并发下单不超卖；重复回调不重复扣款</w:t>
            </w:r>
          </w:p>
        </w:tc>
      </w:tr>
      <w:tr>
        <w:trPr>
          <w:trHeight w:val="360" w:hRule="atLeast"/>
          <w:cantSplit/>
        </w:trPr>
        <w:tc>
          <w:tcPr>
            <w:tcW w:type="dxa" w:w="18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Sprint 3</w:t>
            </w:r>
          </w:p>
        </w:tc>
        <w:tc>
          <w:tcPr>
            <w:tcW w:type="dxa" w:w="115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5–6 周</w:t>
            </w:r>
          </w:p>
        </w:tc>
        <w:tc>
          <w:tcPr>
            <w:tcW w:type="dxa" w:w="146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一致性与可观测性</w:t>
            </w:r>
          </w:p>
        </w:tc>
        <w:tc>
          <w:tcPr>
            <w:tcW w:type="dxa" w:w="17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消息补偿、链路追踪、容器化编排、压测报告</w:t>
            </w:r>
          </w:p>
        </w:tc>
        <w:tc>
          <w:tcPr>
            <w:tcW w:type="dxa" w:w="25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Docker Compose 一键起全栈；压测达标</w:t>
            </w:r>
          </w:p>
        </w:tc>
      </w:tr>
      <w:tr>
        <w:trPr>
          <w:trHeight w:val="360" w:hRule="atLeast"/>
          <w:cantSplit/>
        </w:trPr>
        <w:tc>
          <w:tcPr>
            <w:tcW w:type="dxa" w:w="1883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Sprint 4</w:t>
            </w:r>
          </w:p>
        </w:tc>
        <w:tc>
          <w:tcPr>
            <w:tcW w:type="dxa" w:w="115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7–8 周</w:t>
            </w:r>
          </w:p>
        </w:tc>
        <w:tc>
          <w:tcPr>
            <w:tcW w:type="dxa" w:w="146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售后、治理与收尾</w:t>
            </w:r>
          </w:p>
        </w:tc>
        <w:tc>
          <w:tcPr>
            <w:tcW w:type="dxa" w:w="1791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退款、商品审核、报表；测试报告与文档定稿</w:t>
            </w:r>
          </w:p>
        </w:tc>
        <w:tc>
          <w:tcPr>
            <w:tcW w:type="dxa" w:w="25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测试用例全部执行完毕，报告成稿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 w:cs="Times New Roman"/>
        </w:rPr>
        <w:t xml:space="preserve">1.2.2 产品 Backlog 与优先级</w:t>
      </w:r>
    </w:p>
    <w:p>
      <w:r>
        <w:t xml:space="preserve">用户故事采用“作为〈角色〉，我希望〈功能〉，以便〈价值〉”的格式编写，并按 MoSCoW 方法划分优先级（P0 必须有 / P1 应该有 / P2 可以有）。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1-3 产品 Backlog 与优先级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782"/>
        <w:gridCol w:w="2706"/>
        <w:gridCol w:w="1125"/>
        <w:gridCol w:w="1104"/>
        <w:gridCol w:w="2136"/>
      </w:tblGrid>
      <w:tr>
        <w:trPr>
          <w:trHeight w:val="360" w:hRule="atLeast"/>
          <w:cantSplit/>
          <w:tblHeader/>
        </w:trPr>
        <w:tc>
          <w:tcPr>
            <w:tcW w:type="dxa" w:w="178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编号</w:t>
            </w:r>
          </w:p>
        </w:tc>
        <w:tc>
          <w:tcPr>
            <w:tcW w:type="dxa" w:w="270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用户故事</w:t>
            </w:r>
          </w:p>
        </w:tc>
        <w:tc>
          <w:tcPr>
            <w:tcW w:type="dxa" w:w="112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优先级</w:t>
            </w:r>
          </w:p>
        </w:tc>
        <w:tc>
          <w:tcPr>
            <w:tcW w:type="dxa" w:w="110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故事点</w:t>
            </w:r>
          </w:p>
        </w:tc>
        <w:tc>
          <w:tcPr>
            <w:tcW w:type="dxa" w:w="213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所属 Sprint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US-01</w:t>
            </w:r>
          </w:p>
        </w:tc>
        <w:tc>
          <w:tcPr>
            <w:tcW w:type="dxa" w:w="2706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作为访客，我希望注册并登录账号，以便保存我的购物记录</w:t>
            </w:r>
          </w:p>
        </w:tc>
        <w:tc>
          <w:tcPr>
            <w:tcW w:type="dxa" w:w="1125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S1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US-02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作为买家，我希望浏览商品列表并查看详情，以便决定是否购买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S1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US-03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作为买家，我希望把商品加入购物车，以便一次性结算多件商品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S2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US-04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作为买家，我希望提交订单并完成支付，以便买到商品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8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S1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US-05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作为买家，我希望查询我的订单状态，以便知道商品何时到达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S1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US-06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作为买家，我希望在下单时系统不超卖，以便不会付了钱却没有货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8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S2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US-07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作为系统，我希望未支付订单超时后自动取消并释放库存，以便库存不被长期占用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S2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US-08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作为系统，我希望支付回调重复到达时不重复扣款，以便账目与库存保持一致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8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S2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US-09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作为卖家，我希望发布商品并调整库存，以便上架销售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S1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US-10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作为卖家，我希望对待发货订单执行发货，以便完成履约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P0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S2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US-11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作为买家，我希望对不满意的订单申请退款，以便挽回损失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P1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S4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US-12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作为买家，我希望按关键词搜索商品，以便快速定位目标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P1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S3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US-13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作为买家，我希望取消未支付订单，以便下错单时可以挽回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P1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S2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US-14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作为管理员，我希望审核违规商品并冻结违规账号，以便维护平台秩序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P1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S4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US-15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作为卖家，我希望查看销量与订单汇总，以便调整经营策略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P2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S4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US-16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作为买家，我希望查看商品评价并发表晒单，以便决策与分享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P2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S4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US-17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作为运维人员，我希望通过链路追踪定位慢请求，以便快速排查故障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P1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S3</w:t>
            </w:r>
          </w:p>
        </w:tc>
      </w:tr>
      <w:tr>
        <w:trPr>
          <w:trHeight w:val="360" w:hRule="atLeast"/>
          <w:cantSplit/>
        </w:trPr>
        <w:tc>
          <w:tcPr>
            <w:tcW w:type="dxa" w:w="1782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US-18</w:t>
            </w:r>
          </w:p>
        </w:tc>
        <w:tc>
          <w:tcPr>
            <w:tcW w:type="dxa" w:w="270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作为买家，我希望领取并使用优惠券，以便获得价格优惠</w:t>
            </w:r>
          </w:p>
        </w:tc>
        <w:tc>
          <w:tcPr>
            <w:tcW w:type="dxa" w:w="11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P2</w:t>
            </w:r>
          </w:p>
        </w:tc>
        <w:tc>
          <w:tcPr>
            <w:tcW w:type="dxa" w:w="11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8</w:t>
            </w:r>
          </w:p>
        </w:tc>
        <w:tc>
          <w:tcPr>
            <w:tcW w:type="dxa" w:w="2136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待定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 w:cs="Times New Roman"/>
        </w:rPr>
        <w:t xml:space="preserve">1.2.3 用户故事地图</w:t>
      </w:r>
    </w:p>
    <w:p>
      <w:r>
        <w:t xml:space="preserve">用户故事地图以横轴表示用户活动骨架（按时间先后排列的用户行为主线），纵轴按迭代切分任务层，越靠上越先交付。买家是主旅程的承载者，单独成图以保证骨架完整；卖家与管理员的诉求不落在买家旅程上，另绘一张，避免稀释主骨架。</w:t>
      </w:r>
    </w:p>
    <w:p>
      <w:pPr>
        <w:keepNext/>
        <w:jc w:val="center"/>
      </w:pPr>
      <w:r>
        <w:drawing>
          <wp:inline distT="0" distB="0" distL="0" distR="0">
            <wp:extent cx="5760085" cy="2304034"/>
            <wp:effectExtent t="0" r="0" b="0" l="0"/>
            <wp:docPr id="1" name="图 1-1 买家用户故事地图" descr="图 1-1 买家用户故事地图" title="图 1-1 买家用户故事地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30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 xml:space="preserve">图 1-1 买家用户故事地图</w:t>
      </w:r>
    </w:p>
    <w:p>
      <w:pPr>
        <w:keepNext/>
        <w:jc w:val="center"/>
      </w:pPr>
      <w:r>
        <w:drawing>
          <wp:inline distT="0" distB="0" distL="0" distR="0">
            <wp:extent cx="5760085" cy="2085055"/>
            <wp:effectExtent t="0" r="0" b="0" l="0"/>
            <wp:docPr id="2" name="图 1-2 卖家与管理员用户故事地图" descr="图 1-2 卖家与管理员用户故事地图" title="图 1-2 卖家与管理员用户故事地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0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 xml:space="preserve">图 1-2 卖家与管理员用户故事地图</w:t>
      </w:r>
    </w:p>
    <w:p>
      <w:r>
        <w:t xml:space="preserve">从图 1-1 可以读出三个规划判断：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迭代一必须打通“下单—支付”纵切面，而不是横着做完整个商品模块。</w:t>
      </w:r>
      <w:r>
        <w:t xml:space="preserve"> 购物车列在迭代一只放“加入/查看”两张卡，把“修改数量、删除”留给迭代二，目的是让第一个 Sprint 结束时就能演示一笔完整交易。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库存预占与订单超时取消被归入迭代二，但两者是同一需求的两面。</w:t>
      </w:r>
      <w:r>
        <w:t xml:space="preserve"> 只做预占不做超时释放，库存会被永久占死；只做超时不做预占，则并发下单不超卖无法成立。二者必须同批交付。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评价、优惠券、报表等运营类故事整体后置。</w:t>
      </w:r>
      <w:r>
        <w:t xml:space="preserve"> 它们不改变交易正确性，却会显著增加数据模型复杂度（尤其是优惠券的叠加规则），在第 4 个 Sprint 视余量取舍。</w:t>
      </w:r>
    </w:p>
    <w:p>
      <w:pPr>
        <w:pStyle w:val="Heading1"/>
        <w:keepNext/>
        <w:jc w:val="left"/>
      </w:pPr>
      <w:r>
        <w:rPr>
          <w:rFonts w:ascii="Times New Roman" w:hAnsi="Times New Roman" w:cs="Times New Roman"/>
        </w:rPr>
        <w:t>2. 系统用例分析（System Use Case Analysis）</w:t>
      </w:r>
    </w:p>
    <w:p>
      <w:pPr>
        <w:pStyle w:val="Heading2"/>
        <w:keepNext/>
        <w:jc w:val="left"/>
      </w:pPr>
      <w:r>
        <w:rPr>
          <w:rFonts w:ascii="Times New Roman" w:hAnsi="Times New Roman" w:cs="Times New Roman"/>
        </w:rPr>
        <w:t>2.1 角色分析（Actor Analysis）</w:t>
      </w:r>
    </w:p>
    <w:p>
      <w:r>
        <w:t xml:space="preserve">按指导书要求，逐一列出系统全部角色及其所属部门与职责。本系统为面向公众的互联网平台，无传统意义上的内部科室，“所属部门”一栏填写该角色在业务中的归属方。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1-4 角色列表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100"/>
        <w:gridCol w:w="2730"/>
        <w:gridCol w:w="1697"/>
        <w:gridCol w:w="3327"/>
      </w:tblGrid>
      <w:tr>
        <w:trPr>
          <w:trHeight w:val="360" w:hRule="atLeast"/>
          <w:cantSplit/>
          <w:tblHeader/>
        </w:trPr>
        <w:tc>
          <w:tcPr>
            <w:tcW w:type="dxa" w:w="110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编号</w:t>
            </w:r>
          </w:p>
        </w:tc>
        <w:tc>
          <w:tcPr>
            <w:tcW w:type="dxa" w:w="2730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角色名</w:t>
            </w:r>
          </w:p>
        </w:tc>
        <w:tc>
          <w:tcPr>
            <w:tcW w:type="dxa" w:w="169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所属部门</w:t>
            </w:r>
          </w:p>
        </w:tc>
        <w:tc>
          <w:tcPr>
            <w:tcW w:type="dxa" w:w="332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简要描述</w:t>
            </w:r>
          </w:p>
        </w:tc>
      </w:tr>
      <w:tr>
        <w:trPr>
          <w:trHeight w:val="360" w:hRule="atLeast"/>
          <w:cantSplit/>
        </w:trPr>
        <w:tc>
          <w:tcPr>
            <w:tcW w:type="dxa" w:w="1100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</w:t>
            </w:r>
          </w:p>
        </w:tc>
        <w:tc>
          <w:tcPr>
            <w:tcW w:type="dxa" w:w="2730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访客（Guest）</w:t>
            </w:r>
          </w:p>
        </w:tc>
        <w:tc>
          <w:tcPr>
            <w:tcW w:type="dxa" w:w="1697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未注册用户</w:t>
            </w:r>
          </w:p>
        </w:tc>
        <w:tc>
          <w:tcPr>
            <w:tcW w:type="dxa" w:w="3327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未登录的潜在买家。可浏览商品列表与详情、使用搜索与分类筛选，可注册账号或找回密码；不能加购、下单与查看订单</w:t>
            </w:r>
          </w:p>
        </w:tc>
      </w:tr>
      <w:tr>
        <w:trPr>
          <w:trHeight w:val="360" w:hRule="atLeast"/>
          <w:cantSplit/>
        </w:trPr>
        <w:tc>
          <w:tcPr>
            <w:tcW w:type="dxa" w:w="11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</w:t>
            </w:r>
          </w:p>
        </w:tc>
        <w:tc>
          <w:tcPr>
            <w:tcW w:type="dxa" w:w="273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买家（Buyer）</w:t>
            </w:r>
          </w:p>
        </w:tc>
        <w:tc>
          <w:tcPr>
            <w:tcW w:type="dxa" w:w="16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消费者</w:t>
            </w:r>
          </w:p>
        </w:tc>
        <w:tc>
          <w:tcPr>
            <w:tcW w:type="dxa" w:w="33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系统的主要使用者。浏览与检索商品、管理购物车、提交与支付订单、查询订单、确认收货、发起退款与评价</w:t>
            </w:r>
          </w:p>
        </w:tc>
      </w:tr>
      <w:tr>
        <w:trPr>
          <w:trHeight w:val="360" w:hRule="atLeast"/>
          <w:cantSplit/>
        </w:trPr>
        <w:tc>
          <w:tcPr>
            <w:tcW w:type="dxa" w:w="11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273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卖家（Seller）</w:t>
            </w:r>
          </w:p>
        </w:tc>
        <w:tc>
          <w:tcPr>
            <w:tcW w:type="dxa" w:w="16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平台入驻商家</w:t>
            </w:r>
          </w:p>
        </w:tc>
        <w:tc>
          <w:tcPr>
            <w:tcW w:type="dxa" w:w="33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商品的供给方。发布与维护商品信息、上传图片、调整可售库存、上下架、处理待发货订单、审核买家的退款申请</w:t>
            </w:r>
          </w:p>
        </w:tc>
      </w:tr>
      <w:tr>
        <w:trPr>
          <w:trHeight w:val="360" w:hRule="atLeast"/>
          <w:cantSplit/>
        </w:trPr>
        <w:tc>
          <w:tcPr>
            <w:tcW w:type="dxa" w:w="11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4</w:t>
            </w:r>
          </w:p>
        </w:tc>
        <w:tc>
          <w:tcPr>
            <w:tcW w:type="dxa" w:w="273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管理员（Admin）</w:t>
            </w:r>
          </w:p>
        </w:tc>
        <w:tc>
          <w:tcPr>
            <w:tcW w:type="dxa" w:w="16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平台运营方</w:t>
            </w:r>
          </w:p>
        </w:tc>
        <w:tc>
          <w:tcPr>
            <w:tcW w:type="dxa" w:w="33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平台的治理者。审核违规商品、维护商品分类、冻结违规账号、仲裁售后争议、导出交易流水用于对账</w:t>
            </w:r>
          </w:p>
        </w:tc>
      </w:tr>
      <w:tr>
        <w:trPr>
          <w:trHeight w:val="360" w:hRule="atLeast"/>
          <w:cantSplit/>
        </w:trPr>
        <w:tc>
          <w:tcPr>
            <w:tcW w:type="dxa" w:w="11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273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第三方支付平台</w:t>
            </w:r>
          </w:p>
        </w:tc>
        <w:tc>
          <w:tcPr>
            <w:tcW w:type="dxa" w:w="16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外部支付通道</w:t>
            </w:r>
          </w:p>
        </w:tc>
        <w:tc>
          <w:tcPr>
            <w:tcW w:type="dxa" w:w="33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系统外部参与者。接收支付请求、异步推送支付与退款结果回调，是支付状态变更的唯一可信来源</w:t>
            </w:r>
          </w:p>
        </w:tc>
      </w:tr>
      <w:tr>
        <w:trPr>
          <w:trHeight w:val="360" w:hRule="atLeast"/>
          <w:cantSplit/>
        </w:trPr>
        <w:tc>
          <w:tcPr>
            <w:tcW w:type="dxa" w:w="1100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6</w:t>
            </w:r>
          </w:p>
        </w:tc>
        <w:tc>
          <w:tcPr>
            <w:tcW w:type="dxa" w:w="2730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定时调度器</w:t>
            </w:r>
          </w:p>
        </w:tc>
        <w:tc>
          <w:tcPr>
            <w:tcW w:type="dxa" w:w="169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系统内部组件</w:t>
            </w:r>
          </w:p>
        </w:tc>
        <w:tc>
          <w:tcPr>
            <w:tcW w:type="dxa" w:w="33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系统内部的主动参与者。周期性扫描超时未支付订单并触发自动取消与库存释放</w:t>
            </w:r>
          </w:p>
        </w:tc>
      </w:tr>
    </w:tbl>
    <w:p>
      <w:r>
        <w:t xml:space="preserve">关于角色的两点设计说明：</w:t>
      </w:r>
    </w:p>
    <w:p>
      <w:r>
        <w:t xml:space="preserve">其一，</w:t>
      </w:r>
      <w:r>
        <w:rPr>
          <w:b/>
          <w:bCs/>
        </w:rPr>
        <w:t xml:space="preserve">买家与卖家不设为两个独立账号体系，而是同一用户实体的两种角色（role 字段）</w:t>
      </w:r>
      <w:r>
        <w:t xml:space="preserve">。调研中发现大量真实平台允许同一账号既买又卖；若拆成两套账号，登录、鉴权、订单归属都要分叉，且无法支持“卖家以买家身份购买他店商品”这类常见行为。</w:t>
      </w:r>
    </w:p>
    <w:p>
      <w:r>
        <w:t xml:space="preserve">其二，</w:t>
      </w:r>
      <w:r>
        <w:rPr>
          <w:b/>
          <w:bCs/>
        </w:rPr>
        <w:t xml:space="preserve">定时调度器被显式列为角色而非隐藏在代码里</w:t>
      </w:r>
      <w:r>
        <w:t xml:space="preserve">。它主动发起“超时取消”这一业务动作，会改变订单与库存状态，属于系统内的主动对象；在用例图中标出，可以让后续设计中“谁触发、失败谁负责”的责任边界清晰。</w:t>
      </w:r>
    </w:p>
    <w:p>
      <w:pPr>
        <w:pStyle w:val="Heading2"/>
        <w:keepNext/>
        <w:jc w:val="left"/>
      </w:pPr>
      <w:r>
        <w:rPr>
          <w:rFonts w:ascii="Times New Roman" w:hAnsi="Times New Roman" w:cs="Times New Roman"/>
        </w:rPr>
        <w:t>2.2 用例分析（Use Case Analysis）</w:t>
      </w:r>
    </w:p>
    <w:p>
      <w:r>
        <w:t xml:space="preserve">下表列出系统的基本用例（不含精化后的扩展用例，如“支付回调重试”“库存不足回补”等，这些在 2.3 的用例表中作为备选流出现）。优先级含义：高＝核心交易链路，缺失则系统不可用；中＝重要但可延后一个迭代；低＝运营增强，视余量实现。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1-5 用例列表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759"/>
        <w:gridCol w:w="1508"/>
        <w:gridCol w:w="1726"/>
        <w:gridCol w:w="1102"/>
        <w:gridCol w:w="2758"/>
      </w:tblGrid>
      <w:tr>
        <w:trPr>
          <w:trHeight w:val="360" w:hRule="atLeast"/>
          <w:cantSplit/>
          <w:tblHeader/>
        </w:trPr>
        <w:tc>
          <w:tcPr>
            <w:tcW w:type="dxa" w:w="175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编号</w:t>
            </w:r>
          </w:p>
        </w:tc>
        <w:tc>
          <w:tcPr>
            <w:tcW w:type="dxa" w:w="150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用例名称</w:t>
            </w:r>
          </w:p>
        </w:tc>
        <w:tc>
          <w:tcPr>
            <w:tcW w:type="dxa" w:w="172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角色</w:t>
            </w:r>
          </w:p>
        </w:tc>
        <w:tc>
          <w:tcPr>
            <w:tcW w:type="dxa" w:w="110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优先级</w:t>
            </w:r>
          </w:p>
        </w:tc>
        <w:tc>
          <w:tcPr>
            <w:tcW w:type="dxa" w:w="275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描述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UC-01</w:t>
            </w:r>
          </w:p>
        </w:tc>
        <w:tc>
          <w:tcPr>
            <w:tcW w:type="dxa" w:w="150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注册账号</w:t>
            </w:r>
          </w:p>
        </w:tc>
        <w:tc>
          <w:tcPr>
            <w:tcW w:type="dxa" w:w="1727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</w:t>
            </w:r>
          </w:p>
        </w:tc>
        <w:tc>
          <w:tcPr>
            <w:tcW w:type="dxa" w:w="110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填写账号、密码、昵称与手机号完成注册，系统校验账号唯一性并对密码加密存储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UC-02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账号登录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访客、买家、卖家、管理员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凭账号密码换取访问令牌，后续请求凭令牌识别身份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UC-03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找回密码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通过手机号验证身份后重置密码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UC-04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维护个人档案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买家、卖家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修改昵称、头像、手机号等个人信息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UC-05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维护收货地址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新增、修改、删除收货地址并设置默认地址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UC-06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冻结违规账号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管理员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低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对违规账号执行冻结，冻结后无法登录与下单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UC-07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浏览商品列表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访客、买家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分页查看在售商品，含价格、主图、销量摘要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UC-08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查看商品详情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访客、买家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查看单个商品的完整信息、规格与可售库存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UC-09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关键词搜索商品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访客、买家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按标题关键词检索商品，支持按价格与销量排序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UC-10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按分类筛选商品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访客、买家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按多级分类筛选商品列表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UC-11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发布商品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卖家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填写标题、价格、规格与库存并上传主图，创建待审核商品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UC-12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商品上下架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卖家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将商品在“在售”与“已下架”之间切换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UC-13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调整可售库存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卖家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增加或减少指定 SKU 的可售库存数量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UC-14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审核违规商品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管理员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低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对举报或抽检发现的违规商品执行下架与通知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UC-15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加入购物车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将指定 SKU 及数量加入购物车，同 SKU 则累加数量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UC-16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修改购物车数量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调整购物车中某项的数量，校验不超过可售库存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UC-17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移除购物车项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从购物车删除单项或清空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UC-18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勾选结算项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勾选部分购物车项进入结算，系统实时校验价格与库存有效性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UC-19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提交订单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依据勾选项生成订单、预占库存、锁定价格快照，返回待支付订单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UC-20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查询我的订单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按状态与时间分页查询本人订单及其明细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UC-21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取消订单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取消待支付订单并释放已预占库存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UC-22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卖家发货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卖家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对待发货订单填写物流单号并置为已发货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UC-23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确认收货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确认收到商品，订单置为已完成，触发结算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UC-24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超时自动取消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定时调度器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扫描超过支付时限的待支付订单，自动取消并释放库存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UC-25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发起支付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选择支付方式对指定订单发起支付，生成支付单并跳转收银台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UC-26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查询支付结果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轮询或主动查询指定订单的支付状态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UC-27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接收支付回调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第三方支付平台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高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接收支付结果异步通知，验签、幂等去重后更新支付单与订单状态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UC-28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发起退款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买家、卖家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对已支付订单申请退款，经卖家或管理员审核后原路退回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UC-29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处理售后工单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管理员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对买卖双方未达成一致的售后工单进行仲裁处理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UC-30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查看交易流水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管理员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低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按时间与渠道导出支付、退款流水用于对账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UC-31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查看用户信息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低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按账号或昵称检索用户，查看其基本信息、注册时间与账号状态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UC-32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查看操作日志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低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按操作人与时间范围查询后台关键操作记录，用于追责与审计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UC-33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查看商品评价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访客、买家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低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查看某商品下的买家评价列表与评分统计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UC-34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修改商品信息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卖家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编辑已发布商品的标题、价格、规格与图片，修改后重新进入审核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UC-35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维护商品分类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中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新增、调整、启停多级商品分类，维护分类间的层级与排序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UC-36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驳回待收货订单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卖家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低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对买家已申请退款但尚未收货的订单执行驳回，恢复到“已发货”</w:t>
            </w:r>
          </w:p>
        </w:tc>
      </w:tr>
      <w:tr>
        <w:trPr>
          <w:trHeight w:val="360" w:hRule="atLeast"/>
          <w:cantSplit/>
        </w:trPr>
        <w:tc>
          <w:tcPr>
            <w:tcW w:type="dxa" w:w="175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UC-37</w:t>
            </w:r>
          </w:p>
        </w:tc>
        <w:tc>
          <w:tcPr>
            <w:tcW w:type="dxa" w:w="150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关闭异常订单</w:t>
            </w:r>
          </w:p>
        </w:tc>
        <w:tc>
          <w:tcPr>
            <w:tcW w:type="dxa" w:w="172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管理员</w:t>
            </w:r>
          </w:p>
        </w:tc>
        <w:tc>
          <w:tcPr>
            <w:tcW w:type="dxa" w:w="11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低</w:t>
            </w:r>
          </w:p>
        </w:tc>
        <w:tc>
          <w:tcPr>
            <w:tcW w:type="dxa" w:w="275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对长期滞留或争议订单执行强制关闭，并触发退款与库存回补</w:t>
            </w:r>
          </w:p>
        </w:tc>
      </w:tr>
    </w:tbl>
    <w:p>
      <w:pPr>
        <w:pStyle w:val="Heading2"/>
        <w:keepNext/>
        <w:jc w:val="left"/>
      </w:pPr>
      <w:r>
        <w:rPr>
          <w:rFonts w:ascii="Times New Roman" w:hAnsi="Times New Roman" w:cs="Times New Roman"/>
        </w:rPr>
        <w:t>2.3 用例建模（Use Case Modeling）</w:t>
      </w:r>
    </w:p>
    <w:p>
      <w:r>
        <w:t xml:space="preserve">按指导书“不要将整个系统的所有用例集中在一张用例图中”的要求，本节按功能模块拆分为五张用例图，并对事件流较复杂的用例补充活动图。</w:t>
      </w:r>
    </w:p>
    <w:p>
      <w:r>
        <w:t xml:space="preserve">模块划分依据是</w:t>
      </w:r>
      <w:r>
        <w:rPr>
          <w:b/>
          <w:bCs/>
        </w:rPr>
        <w:t xml:space="preserve">微服务边界与服务所有者的职责边界</w:t>
      </w:r>
      <w:r>
        <w:t xml:space="preserve">，使每张用例图恰好对应一个未来要独立部署的服务，从而让用例模型与架构模型保持可追溯的一一对应关系：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1-6 功能模块划分与微服务映射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1446"/>
        <w:gridCol w:w="4505"/>
        <w:gridCol w:w="2902"/>
      </w:tblGrid>
      <w:tr>
        <w:trPr>
          <w:trHeight w:val="360" w:hRule="atLeast"/>
          <w:cantSplit/>
          <w:tblHeader/>
        </w:trPr>
        <w:tc>
          <w:tcPr>
            <w:tcW w:type="dxa" w:w="144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模块</w:t>
            </w:r>
          </w:p>
        </w:tc>
        <w:tc>
          <w:tcPr>
            <w:tcW w:type="dxa" w:w="450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对应微服务</w:t>
            </w:r>
          </w:p>
        </w:tc>
        <w:tc>
          <w:tcPr>
            <w:tcW w:type="dxa" w:w="290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用例范围</w:t>
            </w:r>
          </w:p>
        </w:tc>
      </w:tr>
      <w:tr>
        <w:trPr>
          <w:trHeight w:val="360" w:hRule="atLeast"/>
          <w:cantSplit/>
        </w:trPr>
        <w:tc>
          <w:tcPr>
            <w:tcW w:type="dxa" w:w="1447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用户与认证</w:t>
            </w:r>
          </w:p>
        </w:tc>
        <w:tc>
          <w:tcPr>
            <w:tcW w:type="dxa" w:w="45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user-service</w:t>
            </w:r>
          </w:p>
        </w:tc>
        <w:tc>
          <w:tcPr>
            <w:tcW w:type="dxa" w:w="29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UC-01 ~ UC-06、UC-31、UC-32</w:t>
            </w:r>
          </w:p>
        </w:tc>
      </w:tr>
      <w:tr>
        <w:trPr>
          <w:trHeight w:val="360" w:hRule="atLeast"/>
          <w:cantSplit/>
        </w:trPr>
        <w:tc>
          <w:tcPr>
            <w:tcW w:type="dxa" w:w="1447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商品与库存</w:t>
            </w:r>
          </w:p>
        </w:tc>
        <w:tc>
          <w:tcPr>
            <w:tcW w:type="dxa" w:w="45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product-service</w:t>
            </w:r>
          </w:p>
        </w:tc>
        <w:tc>
          <w:tcPr>
            <w:tcW w:type="dxa" w:w="29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UC-07 ~ UC-14、UC-33 ~ UC-35</w:t>
            </w:r>
          </w:p>
        </w:tc>
      </w:tr>
      <w:tr>
        <w:trPr>
          <w:trHeight w:val="360" w:hRule="atLeast"/>
          <w:cantSplit/>
        </w:trPr>
        <w:tc>
          <w:tcPr>
            <w:tcW w:type="dxa" w:w="1447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购物车</w:t>
            </w:r>
          </w:p>
        </w:tc>
        <w:tc>
          <w:tcPr>
            <w:tcW w:type="dxa" w:w="45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cart-service</w:t>
            </w:r>
          </w:p>
        </w:tc>
        <w:tc>
          <w:tcPr>
            <w:tcW w:type="dxa" w:w="29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UC-15 ~ UC-18</w:t>
            </w:r>
          </w:p>
        </w:tc>
      </w:tr>
      <w:tr>
        <w:trPr>
          <w:trHeight w:val="360" w:hRule="atLeast"/>
          <w:cantSplit/>
        </w:trPr>
        <w:tc>
          <w:tcPr>
            <w:tcW w:type="dxa" w:w="1447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订单与交易</w:t>
            </w:r>
          </w:p>
        </w:tc>
        <w:tc>
          <w:tcPr>
            <w:tcW w:type="dxa" w:w="45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order-service</w:t>
            </w:r>
          </w:p>
        </w:tc>
        <w:tc>
          <w:tcPr>
            <w:tcW w:type="dxa" w:w="29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UC-19 ~ UC-24、UC-29、UC-36、UC-37</w:t>
            </w:r>
          </w:p>
        </w:tc>
      </w:tr>
      <w:tr>
        <w:trPr>
          <w:trHeight w:val="360" w:hRule="atLeast"/>
          <w:cantSplit/>
        </w:trPr>
        <w:tc>
          <w:tcPr>
            <w:tcW w:type="dxa" w:w="1447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支付</w:t>
            </w:r>
          </w:p>
        </w:tc>
        <w:tc>
          <w:tcPr>
            <w:tcW w:type="dxa" w:w="450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payment-service</w:t>
            </w:r>
          </w:p>
        </w:tc>
        <w:tc>
          <w:tcPr>
            <w:tcW w:type="dxa" w:w="290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UC-25 ~ UC-28、UC-30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 w:cs="Times New Roman"/>
        </w:rPr>
        <w:t xml:space="preserve">2.3.1 用户与认证模块</w:t>
      </w:r>
    </w:p>
    <w:p>
      <w:pPr>
        <w:jc w:val="center"/>
        <w:keepNext/>
        <w:pageBreakBefore/>
      </w:pPr>
      <w:r>
        <w:drawing>
          <wp:inline distT="0" distB="0" distL="0" distR="0">
            <wp:extent cx="4481898" cy="6823365"/>
            <wp:effectExtent t="0" r="0" b="0" l="0"/>
            <wp:docPr id="3" name="图 2-1 用户与认证模块用例图" descr="图 2-1 用户与认证模块用例图" title="图 2-1 用户与认证模块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898" cy="6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1-3 用户与认证模块用例图</w:t>
      </w:r>
    </w:p>
    <w:p>
      <w:r>
        <w:t xml:space="preserve">该模块只包含 8 个用例，却是全系统的信任起点。图中用 </w:t>
      </w:r>
      <w:r>
        <w:rPr>
          <w:rFonts w:ascii="Consolas" w:cs="Consolas" w:eastAsia="Consolas" w:hAnsi="Consolas"/>
        </w:rPr>
        <w:t xml:space="preserve">&lt;&lt;include&gt;&gt;</w:t>
      </w:r>
      <w:r>
        <w:t xml:space="preserve"> 标出“维护个人档案”“维护收货地址”“冻结违规账号”等用例都隐含“已完成身份认证”，这一关系在设计中直接落地为网关层的令牌校验过滤器——业务代码不再重复校验登录态。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1-7 用例“注册账号”（UC-01）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66"/>
        <w:gridCol w:w="6588"/>
      </w:tblGrid>
      <w:tr>
        <w:trPr>
          <w:trHeight w:val="360" w:hRule="atLeast"/>
          <w:cantSplit/>
          <w:tblHeader/>
        </w:trPr>
        <w:tc>
          <w:tcPr>
            <w:tcW w:type="dxa" w:w="226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58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UC-01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注册账号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访客（主）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访客未登录；系统用户服务与数据库可用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系统中新增一条状态为“正常”的用户记录，密码以不可逆摘要形式存储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访客在注册页填写账号、密码、确认密码、昵称、手机号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前端校验格式（账号长度、密码强度、手机号格式）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系统校验账号与昵称未被占用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系统对密码加盐哈希后写入用户表，角色默认为“买家”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系统返回注册成功，引导至登录页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 步账号已存在：提示“该账号已被注册”，保留已填内容，返回第 1 步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 步昵称已被占用：提示更换昵称，返回第 1 步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A3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4 步数据库写入失败：事务回滚，提示“注册失败，请稍后重试”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BR-01 账号全局唯一且不可修改；BR-02 密码不得以明文或可逆加密存储；BR-03 新注册用户默认角色为买家，卖家权限需申请开通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 w:cs="Times New Roman"/>
        </w:rPr>
        <w:t xml:space="preserve">2.3.2 商品与库存模块</w:t>
      </w:r>
    </w:p>
    <w:p>
      <w:pPr>
        <w:jc w:val="center"/>
        <w:keepNext/>
        <w:pageBreakBefore/>
      </w:pPr>
      <w:r>
        <w:drawing>
          <wp:inline distT="0" distB="0" distL="0" distR="0">
            <wp:extent cx="3254220" cy="6823365"/>
            <wp:effectExtent t="0" r="0" b="0" l="0"/>
            <wp:docPr id="4" name="图 2-2 商品与库存模块用例图" descr="图 2-2 商品与库存模块用例图" title="图 2-2 商品与库存模块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220" cy="6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1-4 商品与库存模块用例图</w:t>
      </w:r>
    </w:p>
    <w:p>
      <w:r>
        <w:t xml:space="preserve">图中“关键词搜索商品”与“按分类筛选商品”以 </w:t>
      </w:r>
      <w:r>
        <w:rPr>
          <w:rFonts w:ascii="Consolas" w:cs="Consolas" w:eastAsia="Consolas" w:hAnsi="Consolas"/>
        </w:rPr>
        <w:t xml:space="preserve">&lt;&lt;extend&gt;&gt;</w:t>
      </w:r>
      <w:r>
        <w:t xml:space="preserve"> 指向“浏览商品列表”，因为它们都是浏览用例的可选增强，不改变浏览的主语义。“发布商品”与“修改商品信息”</w:t>
      </w:r>
      <w:r>
        <w:rPr>
          <w:rFonts w:ascii="Consolas" w:cs="Consolas" w:eastAsia="Consolas" w:hAnsi="Consolas"/>
        </w:rPr>
        <w:t xml:space="preserve">&lt;&lt;include&gt;&gt;</w:t>
      </w:r>
      <w:r>
        <w:t xml:space="preserve">“上传商品图片”，因为商品必须有主图才能上架。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1-8 用例“发布商品”（UC-11）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086"/>
        <w:gridCol w:w="6768"/>
      </w:tblGrid>
      <w:tr>
        <w:trPr>
          <w:trHeight w:val="360" w:hRule="atLeast"/>
          <w:cantSplit/>
          <w:tblHeader/>
        </w:trPr>
        <w:tc>
          <w:tcPr>
            <w:tcW w:type="dxa" w:w="208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76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UC-11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发布商品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卖家（主）、管理员（参与审核）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卖家已登录且账号状态正常；商品分类已存在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新增一条商品记录及至少一个 SKU 记录，商品状态为“待审核”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卖家进入发布页，填写标题、副标题、分类、价格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卖家选择规格（如颜色、容量）并按规格填写库存，系统生成对应 SKU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卖家上传主图，系统校验格式与大小并返回图片地址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系统校验价格与库存非负、必填项完整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系统写入商品与 SKU 记录，状态置为“待审核”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6. 系统提示提交成功，进入审核队列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4 步价格为空或为负：提示具体字段，返回第 1 步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 步图片格式非 JPG/PNG 或超出大小上限：拒绝上传并提示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A3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5 步同一商品下 SKU 规格重复：拒绝保存，提示“规格组合冲突”</w:t>
            </w:r>
          </w:p>
        </w:tc>
      </w:tr>
      <w:tr>
        <w:trPr>
          <w:trHeight w:val="360" w:hRule="atLeast"/>
          <w:cantSplit/>
        </w:trPr>
        <w:tc>
          <w:tcPr>
            <w:tcW w:type="dxa" w:w="208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76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BR-04 价格精确到分，上限 999999.99；BR-05 单个商品 SKU 数量不超过 20；BR-06 商品必须有且仅有一张主图；BR-07 未经审核的商品不可在列表中出现</w:t>
            </w:r>
          </w:p>
        </w:tc>
      </w:tr>
    </w:tbl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1-9 用例“关键词搜索商品”（UC-09）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66"/>
        <w:gridCol w:w="6588"/>
      </w:tblGrid>
      <w:tr>
        <w:trPr>
          <w:trHeight w:val="360" w:hRule="atLeast"/>
          <w:cantSplit/>
          <w:tblHeader/>
        </w:trPr>
        <w:tc>
          <w:tcPr>
            <w:tcW w:type="dxa" w:w="226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58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UC-09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关键词搜索商品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访客、买家（主）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无（无需登录）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返回按相关度或指定规则排序的商品分页结果，不修改任何业务数据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用户输入关键词并可选指定价格区间与排序方式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系统对关键词做去空格与长度截断处理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系统在在售商品范围内按标题模糊匹配，过滤掉已下架与库存为零的商品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系统按指定规则排序并分页返回结果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前端渲染结果列表，展示“无结果”提示或分页控件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1 步关键词为空：返回默认推荐列表而非报错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1 步关键词超长（&gt;50 字）：截断后检索，并在结果页提示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A3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4 步结果为空：展示同类目热销商品作为兜底推荐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BR-08 检索必须过滤已下架、库存为零、未通过审核的商品；BR-09 排序字段需在白名单内，防止注入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 w:cs="Times New Roman"/>
        </w:rPr>
        <w:t xml:space="preserve">2.3.3 购物车模块</w:t>
      </w:r>
    </w:p>
    <w:p>
      <w:pPr>
        <w:keepNext/>
        <w:jc w:val="center"/>
      </w:pPr>
      <w:r>
        <w:drawing>
          <wp:inline distT="0" distB="0" distL="0" distR="0">
            <wp:extent cx="5760085" cy="3836883"/>
            <wp:effectExtent t="0" r="0" b="0" l="0"/>
            <wp:docPr id="5" name="图 2-3 购物车模块用例图" descr="图 2-3 购物车模块用例图" title="图 2-3 购物车模块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3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1-5 购物车模块用例图</w:t>
      </w:r>
    </w:p>
    <w:p>
      <w:r>
        <w:t xml:space="preserve">购物车模块的复杂度不在功能，而在</w:t>
      </w:r>
      <w:r>
        <w:rPr>
          <w:b/>
          <w:bCs/>
        </w:rPr>
        <w:t xml:space="preserve">跨服务的数据有效性</w:t>
      </w:r>
      <w:r>
        <w:t xml:space="preserve">。图中“加入购物车”与“勾选结算项”都 </w:t>
      </w:r>
      <w:r>
        <w:rPr>
          <w:rFonts w:ascii="Consolas" w:cs="Consolas" w:eastAsia="Consolas" w:hAnsi="Consolas"/>
        </w:rPr>
        <w:t xml:space="preserve">&lt;&lt;include&gt;&gt;</w:t>
      </w:r>
      <w:r>
        <w:t xml:space="preserve"> “校验库存与价格”，后者又 </w:t>
      </w:r>
      <w:r>
        <w:rPr>
          <w:rFonts w:ascii="Consolas" w:cs="Consolas" w:eastAsia="Consolas" w:hAnsi="Consolas"/>
        </w:rPr>
        <w:t xml:space="preserve">&lt;&lt;include&gt;&gt;</w:t>
      </w:r>
      <w:r>
        <w:t xml:space="preserve"> “查看商品实时价格”——这一依赖链说明购物车不能缓存商品价格作为权威值，否则用户看到的将是下单前的过期价格。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1-10 用例“加入购物车”（UC-15）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66"/>
        <w:gridCol w:w="6588"/>
      </w:tblGrid>
      <w:tr>
        <w:trPr>
          <w:trHeight w:val="360" w:hRule="atLeast"/>
          <w:cantSplit/>
          <w:tblHeader/>
        </w:trPr>
        <w:tc>
          <w:tcPr>
            <w:tcW w:type="dxa" w:w="226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58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UC-15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加入购物车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买家（主）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买家已登录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购物车中该 SKU 新增一条记录或原有记录数量累加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买家在商品详情页选择规格与数量，点击“加入购物车”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系统向商品服务查询该 SKU 的当前状态与可售库存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系统校验商品为在售状态且库存充足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若购物车中已存在该 SKU，则在原数量上累加；否则新增一项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系统返回最新购物车条目数与合计金额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 步商品已下架：提示“商品已下架”，不写入购物车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 步累加后数量超过可售库存：将数量置为可售库存上限并提示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A3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2 步商品服务超时：降级为“先写入、结算时再校验”，并在购物车标记“待确认”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BR-10 单个 SKU 在购物车中的数量不超过 999 且不超过可售库存；BR-11 购物车不锁定库存，仅在下单时预占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 w:cs="Times New Roman"/>
        </w:rPr>
        <w:t xml:space="preserve">2.3.4 订单与交易模块</w:t>
      </w:r>
    </w:p>
    <w:p>
      <w:pPr>
        <w:jc w:val="center"/>
        <w:keepNext/>
        <w:pageBreakBefore/>
      </w:pPr>
      <w:r>
        <w:drawing>
          <wp:inline distT="0" distB="0" distL="0" distR="0">
            <wp:extent cx="5092336" cy="6823365"/>
            <wp:effectExtent t="0" r="0" b="0" l="0"/>
            <wp:docPr id="6" name="图 2-4 订单与交易模块用例图" descr="图 2-4 订单与交易模块用例图" title="图 2-4 订单与交易模块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336" cy="6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1-6 订单与交易模块用例图</w:t>
      </w:r>
    </w:p>
    <w:p>
      <w:r>
        <w:t xml:space="preserve">订单模块用例最多、事件流最复杂，因此四张活动图中有三张属于本模块及其与支付的协作。图中“提交订单”</w:t>
      </w:r>
      <w:r>
        <w:rPr>
          <w:rFonts w:ascii="Consolas" w:cs="Consolas" w:eastAsia="Consolas" w:hAnsi="Consolas"/>
        </w:rPr>
        <w:t xml:space="preserve">&lt;&lt;include&gt;&gt;</w:t>
      </w:r>
      <w:r>
        <w:t>“确认订单信息”——因为下单必须以确认页展示的价格与地址快照为准；“发起退款申请”</w:t>
      </w:r>
      <w:r>
        <w:rPr>
          <w:rFonts w:ascii="Consolas" w:cs="Consolas" w:eastAsia="Consolas" w:hAnsi="Consolas"/>
        </w:rPr>
        <w:t xml:space="preserve">&lt;&lt;extend&gt;&gt;</w:t>
      </w:r>
      <w:r>
        <w:t>“取消订单”，对应“已支付订单不能直接取消、必须走退款”这一业务约束。定时调度器作为独立参与者指向“超时自动取消”。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1-11 用例“提交订单”（UC-19）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70"/>
        <w:gridCol w:w="6584"/>
      </w:tblGrid>
      <w:tr>
        <w:trPr>
          <w:trHeight w:val="360" w:hRule="atLeast"/>
          <w:cantSplit/>
          <w:tblHeader/>
        </w:trPr>
        <w:tc>
          <w:tcPr>
            <w:tcW w:type="dxa" w:w="227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58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UC-19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提交订单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买家（主）；商品服务、购物车服务（协作者）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买家已登录；购物车中至少一项被勾选；收货地址已选定；请求携带唯一幂等令牌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生成一条状态为“待支付”的订单及若干订单明细；对应 SKU 库存转入预占；购物车中被结算项被清除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买家在确认页核对商品、数量、收货地址与应付金额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买家点击“提交订单”，前端生成并携带幂等令牌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系统校验幂等令牌，未处理过则继续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系统调用商品服务校验各 SKU 状态与价格有效性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系统创建订单主记录（状态＝待支付）与订单明细（含价格快照）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6. 系统调用商品服务按 SKU 预占库存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7. 系统生成支付超时任务，清除购物车对应项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8. 系统返回订单号并跳转收银台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 步幂等令牌已处理：直接返回首次创建结果，不重复建单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4 步某商品已下架：返回失效清单，提示重新选择，不进入第 5 步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A3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6 步库存不足：回滚本次已预占的库存，订单置为“创建失败”，提示库存不足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A4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6 步商品服务不可用：订单置为“待确认”，进入补偿队列重试，向买家返回“处理中”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BR-12 订单金额以提交瞬间的价格快照为准，商品后续调价不影响已生成订单；BR-13 收货地址以快照形式冗余存储于订单，避免地址修改影响历史订单；BR-14 订单号全局唯一且不可枚举；BR-15 库存预占失败必须回滚，不得留下半成品订单</w:t>
            </w:r>
          </w:p>
        </w:tc>
      </w:tr>
    </w:tbl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1-12 用例“超时自动取消”（UC-24）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70"/>
        <w:gridCol w:w="6584"/>
      </w:tblGrid>
      <w:tr>
        <w:trPr>
          <w:trHeight w:val="360" w:hRule="atLeast"/>
          <w:cantSplit/>
          <w:tblHeader/>
        </w:trPr>
        <w:tc>
          <w:tcPr>
            <w:tcW w:type="dxa" w:w="227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58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UC-24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超时自动取消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定时调度器（主）；商品服务（协作者）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调度任务已启动；存在创建超过 30 分钟且仍为“待支付”的订单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订单状态变为“已取消”，对应预占库存被释放，未支付的支付单被关闭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调度器每 60 秒触发一次扫描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系统查询创建时间早于（当前时间－30 分钟）且状态为“待支付”的订单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系统对每笔订单加分布式锁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系统重读订单状态，确认仍为“待支付”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系统以条件更新方式将订单置为“已取消”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6. 系统发布订单取消事件，商品服务订阅后释放预占库存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7. 系统释放分布式锁，关闭对应支付单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 步加锁失败（前一实例仍在处理）：跳过该订单，下一轮再试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4 步订单已被支付或已被取消：放弃本次处理，释放锁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A3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5 步条件更新影响 0 行：说明状态被并发修改，放弃本次处理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A4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6 步库存释放失败：事件进入重试队列，超过重试上限转人工处理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BR-16 超时时限默认 30 分钟，可配置；BR-17 取消操作必须幂等，重复执行不得重复释放库存；BR-18 已取消订单不可被支付回调“复活”，需走退款流程</w:t>
            </w:r>
          </w:p>
        </w:tc>
      </w:tr>
    </w:tbl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1-13 用例“确认收货”（UC-23）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61"/>
        <w:gridCol w:w="6593"/>
      </w:tblGrid>
      <w:tr>
        <w:trPr>
          <w:trHeight w:val="360" w:hRule="atLeast"/>
          <w:cantSplit/>
          <w:tblHeader/>
        </w:trPr>
        <w:tc>
          <w:tcPr>
            <w:tcW w:type="dxa" w:w="226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59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2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5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UC-23</w:t>
            </w:r>
          </w:p>
        </w:tc>
      </w:tr>
      <w:tr>
        <w:trPr>
          <w:trHeight w:val="360" w:hRule="atLeast"/>
          <w:cantSplit/>
        </w:trPr>
        <w:tc>
          <w:tcPr>
            <w:tcW w:type="dxa" w:w="22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5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确认收货</w:t>
            </w:r>
          </w:p>
        </w:tc>
      </w:tr>
      <w:tr>
        <w:trPr>
          <w:trHeight w:val="360" w:hRule="atLeast"/>
          <w:cantSplit/>
        </w:trPr>
        <w:tc>
          <w:tcPr>
            <w:tcW w:type="dxa" w:w="22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5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买家（主）、卖家（协作者）</w:t>
            </w:r>
          </w:p>
        </w:tc>
      </w:tr>
      <w:tr>
        <w:trPr>
          <w:trHeight w:val="360" w:hRule="atLeast"/>
          <w:cantSplit/>
        </w:trPr>
        <w:tc>
          <w:tcPr>
            <w:tcW w:type="dxa" w:w="22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5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买家已登录；订单状态为“已发货”</w:t>
            </w:r>
          </w:p>
        </w:tc>
      </w:tr>
      <w:tr>
        <w:trPr>
          <w:trHeight w:val="360" w:hRule="atLeast"/>
          <w:cantSplit/>
        </w:trPr>
        <w:tc>
          <w:tcPr>
            <w:tcW w:type="dxa" w:w="22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5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订单状态变为“已完成”，交易进入结算，评价入口开放</w:t>
            </w:r>
          </w:p>
        </w:tc>
      </w:tr>
      <w:tr>
        <w:trPr>
          <w:trHeight w:val="360" w:hRule="atLeast"/>
          <w:cantSplit/>
        </w:trPr>
        <w:tc>
          <w:tcPr>
            <w:tcW w:type="dxa" w:w="22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5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买家在订单详情点击“确认收货”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系统校验订单归属与当前状态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系统将订单置为“已完成”并记录完成时间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系统通知卖家该笔交易完成，开放评价入口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系统提示确认成功</w:t>
            </w:r>
          </w:p>
        </w:tc>
      </w:tr>
      <w:tr>
        <w:trPr>
          <w:trHeight w:val="360" w:hRule="atLeast"/>
          <w:cantSplit/>
        </w:trPr>
        <w:tc>
          <w:tcPr>
            <w:tcW w:type="dxa" w:w="22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5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2 步订单不属于当前用户：拒绝并记录越权访问日志</w:t>
            </w:r>
          </w:p>
        </w:tc>
      </w:tr>
      <w:tr>
        <w:trPr>
          <w:trHeight w:val="360" w:hRule="atLeast"/>
          <w:cantSplit/>
        </w:trPr>
        <w:tc>
          <w:tcPr>
            <w:tcW w:type="dxa" w:w="22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5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2 步订单状态不是“已发货”：提示当前状态不可确认收货</w:t>
            </w:r>
          </w:p>
        </w:tc>
      </w:tr>
      <w:tr>
        <w:trPr>
          <w:trHeight w:val="360" w:hRule="atLeast"/>
          <w:cantSplit/>
        </w:trPr>
        <w:tc>
          <w:tcPr>
            <w:tcW w:type="dxa" w:w="226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59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BR-19 发货后超过 15 天未确认，系统自动确认收货；BR-20 确认收货后不可再申请无理由退款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 w:cs="Times New Roman"/>
        </w:rPr>
        <w:t xml:space="preserve">2.3.5 支付模块</w:t>
      </w:r>
    </w:p>
    <w:p>
      <w:pPr>
        <w:keepNext/>
        <w:jc w:val="center"/>
      </w:pPr>
      <w:r>
        <w:drawing>
          <wp:inline distT="0" distB="0" distL="0" distR="0">
            <wp:extent cx="5760000" cy="3563507"/>
            <wp:effectExtent t="0" r="0" b="0" l="0"/>
            <wp:docPr id="7" name="图 2-5 支付模块用例图" descr="图 2-5 支付模块用例图" title="图 2-5 支付模块用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56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1-7 支付模块用例图</w:t>
      </w:r>
    </w:p>
    <w:p>
      <w:r>
        <w:t xml:space="preserve">支付模块最大的设计难点不是“付钱”，而是</w:t>
      </w:r>
      <w:r>
        <w:rPr>
          <w:b/>
          <w:bCs/>
        </w:rPr>
        <w:t xml:space="preserve">回调的可靠性与幂等性</w:t>
      </w:r>
      <w:r>
        <w:t xml:space="preserve">。第三方支付平台的异步通知会重发、乱序甚至伪造，因此图中“接收支付回调”</w:t>
      </w:r>
      <w:r>
        <w:rPr>
          <w:rFonts w:ascii="Consolas" w:cs="Consolas" w:eastAsia="Consolas" w:hAnsi="Consolas"/>
        </w:rPr>
        <w:t xml:space="preserve">&lt;&lt;include&gt;&gt;</w:t>
      </w:r>
      <w:r>
        <w:t xml:space="preserve">“校验回调签名”，并以 </w:t>
      </w:r>
      <w:r>
        <w:rPr>
          <w:rFonts w:ascii="Consolas" w:cs="Consolas" w:eastAsia="Consolas" w:hAnsi="Consolas"/>
        </w:rPr>
        <w:t xml:space="preserve">&lt;&lt;extend&gt;&gt;</w:t>
      </w:r>
      <w:r>
        <w:t xml:space="preserve"> 关联“处理重复回调”。这一结构在设计中落地为“回调流水表唯一约束 + 状态机条件更新”的双重保险。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1-14 用例“发起支付”（UC-25）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66"/>
        <w:gridCol w:w="6588"/>
      </w:tblGrid>
      <w:tr>
        <w:trPr>
          <w:trHeight w:val="360" w:hRule="atLeast"/>
          <w:cantSplit/>
          <w:tblHeader/>
        </w:trPr>
        <w:tc>
          <w:tcPr>
            <w:tcW w:type="dxa" w:w="226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58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UC-25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发起支付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买家（主）、第三方支付平台（协作者）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买家已登录；订单状态为“待支付”且未超时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生成一条状态为“支付中”的支付单，返回收银台地址或二维码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买家在收银台选择支付方式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系统校验订单归属、状态与应付金额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系统按“订单号＋支付方式”创建支付单，金额取订单应付金额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系统向支付平台请求下单，获得支付凭证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系统返回支付凭证，前端跳转或展示二维码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2 步订单已支付：提示“订单已支付”，不重复创建支付单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2 步订单已超时取消：提示订单已关闭，不再发起支付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A3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4 步支付平台无响应：支付单置为“创建失败”，提示稍后重试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BR-21 同一订单同一时刻只允许一个有效支付单；BR-22 支付金额必须等于订单应付金额，不得由前端传入</w:t>
            </w:r>
          </w:p>
        </w:tc>
      </w:tr>
    </w:tbl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1-15 用例“接收支付回调”（UC-27）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70"/>
        <w:gridCol w:w="6584"/>
      </w:tblGrid>
      <w:tr>
        <w:trPr>
          <w:trHeight w:val="360" w:hRule="atLeast"/>
          <w:cantSplit/>
          <w:tblHeader/>
        </w:trPr>
        <w:tc>
          <w:tcPr>
            <w:tcW w:type="dxa" w:w="2271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58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UC-27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接收支付回调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第三方支付平台（主）；订单服务、商品服务（协作者）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支付单已创建；第三方平台已完成用户付款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支付单状态更新为成功，订单状态更新为已支付，预占库存转为实际扣减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支付平台向系统推送支付结果报文（含签名与交易号）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系统校验签名与商户号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系统以交易号写入回调流水表，唯一约束保证只成功一次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系统核对回调金额与订单应付金额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系统更新支付单状态为“支付成功”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6. 系统发布“支付成功”领域事件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7. 订单服务订阅事件，将订单置为“已支付”，通知商品服务扣减预占库存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8. 系统向支付平台返回成功应答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2 步签名非法：记录非法回调日志，返回失败，不修改任何业务状态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 步交易号已存在（重复回调）：读取首次处理结果并原样返回成功，避免上游持续重推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A3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4 步金额不一致：标记异常交易进入人工对账队列，向平台返回成功但内部挂起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A4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7 步事件消费失败：消息重试，超过上限转人工；订单保持“待支付”直至补偿完成</w:t>
            </w:r>
          </w:p>
        </w:tc>
      </w:tr>
      <w:tr>
        <w:trPr>
          <w:trHeight w:val="360" w:hRule="atLeast"/>
          <w:cantSplit/>
        </w:trPr>
        <w:tc>
          <w:tcPr>
            <w:tcW w:type="dxa" w:w="2271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58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BR-23 支付状态只能以支付平台回调为准，不得由前端声明；BR-24 回调处理必须幂等，重复回调不得重复扣款或重复扣库存；BR-25 金额核对不一致时不得擅自更新订单状态</w:t>
            </w:r>
          </w:p>
        </w:tc>
      </w:tr>
    </w:tbl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1-16 用例“发起退款”（UC-28）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2266"/>
        <w:gridCol w:w="6588"/>
      </w:tblGrid>
      <w:tr>
        <w:trPr>
          <w:trHeight w:val="360" w:hRule="atLeast"/>
          <w:cantSplit/>
          <w:tblHeader/>
        </w:trPr>
        <w:tc>
          <w:tcPr>
            <w:tcW w:type="dxa" w:w="226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项目</w:t>
            </w:r>
          </w:p>
        </w:tc>
        <w:tc>
          <w:tcPr>
            <w:tcW w:type="dxa" w:w="658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内容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用例编号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UC-28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用例名称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发起退款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参与者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买家（主）、卖家（审核）、管理员（仲裁）、支付平台（协作者）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前置条件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买家已登录；订单状态为“已支付”或“已发货”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后置条件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售后工单建立；审核通过后退款原路退回，订单状态变为“已退款”，库存回补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基本事件流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1. 买家在订单详情选择“申请退款”，填写原因与凭证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2. 系统校验订单状态允许退款，创建售后工单（状态＝待卖家处理）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3. 卖家查看工单并同意退款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4. 系统调用支付服务按原支付单号发起退款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5. 支付服务记录退款流水，支付平台返回退款成功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6. 系统更新订单为“已退款”，发布事件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7. 商品服务订阅事件，回补可售库存并回退销量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t xml:space="preserve">8. 系统关闭工单并通知买家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A1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2 步订单状态为“已完成”超过 7 天：提示超出可退款期限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A2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3 步卖家拒绝：工单置为“已驳回”，买家可申请管理员仲裁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备选流 A3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第 5 步退款失败：工单置为“退款异常”，进入人工处理队列</w:t>
            </w:r>
          </w:p>
        </w:tc>
      </w:tr>
      <w:tr>
        <w:trPr>
          <w:trHeight w:val="360" w:hRule="atLeast"/>
          <w:cantSplit/>
        </w:trPr>
        <w:tc>
          <w:tcPr>
            <w:tcW w:type="dxa" w:w="226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业务规则</w:t>
            </w:r>
          </w:p>
        </w:tc>
        <w:tc>
          <w:tcPr>
            <w:tcW w:type="dxa" w:w="6589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BR-26 退款金额不得超过实付金额；BR-27 同一订单允许多次部分退款，累计不得超过实付；BR-28 库存回补以实际退款成功的明细为准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 w:cs="Times New Roman"/>
        </w:rPr>
        <w:t xml:space="preserve">2.3.6 复杂事件流活动图</w:t>
      </w:r>
    </w:p>
    <w:p>
      <w:r>
        <w:t xml:space="preserve">以下四张活动图对应事件流最复杂、异常分支最多的四个用例。图中采用泳道表示参与协作的系统角色与服务，使“谁在什么条件下做什么、失败由谁兜底”一目了然。</w:t>
      </w:r>
    </w:p>
    <w:p>
      <w:pPr>
        <w:jc w:val="center"/>
        <w:keepNext/>
        <w:pageBreakBefore/>
      </w:pPr>
      <w:r>
        <w:drawing>
          <wp:inline distT="0" distB="0" distL="0" distR="0">
            <wp:extent cx="3677035" cy="6823365"/>
            <wp:effectExtent t="0" r="0" b="0" l="0"/>
            <wp:docPr id="8" name="图 3-1 活动图：买家下单主流程" descr="图 3-1 活动图：买家下单主流程" title="图 3-1 活动图：买家下单主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035" cy="6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1-8 活动图：买家下单主流程（含库存预占与失败回滚）</w:t>
      </w:r>
    </w:p>
    <w:p>
      <w:r>
        <w:t xml:space="preserve">这张图是理解本项目分布式一致性方案的入口。图中三个泳道分别代表买家、订单服务、商品服务；四条终止路径分别是“幂等命中直接返回”“商品失效回退购物车”“库存不足回滚”“正常转入待支付”。设计中刻意把“创建订单”放在“预占库存”之前，原因是：先建单再预占，一旦预占失败只需把订单标记为失败，回滚范围最小；若先预占再建单，建单失败则需要在商品服务侧反向补偿，成本更高。</w:t>
      </w:r>
    </w:p>
    <w:p>
      <w:pPr>
        <w:jc w:val="center"/>
        <w:keepNext/>
        <w:pageBreakBefore/>
      </w:pPr>
      <w:r>
        <w:drawing>
          <wp:inline distT="0" distB="0" distL="0" distR="0">
            <wp:extent cx="2805161" cy="6823365"/>
            <wp:effectExtent t="0" r="0" b="0" l="0"/>
            <wp:docPr id="9" name="图 3-2 活动图：支付回调处理" descr="图 3-2 活动图：支付回调处理" title="图 3-2 活动图：支付回调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161" cy="6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1-9 活动图：支付回调处理（幂等与状态流转）</w:t>
      </w:r>
    </w:p>
    <w:p>
      <w:r>
        <w:t xml:space="preserve">图中把“验签”“去重”“金额核对”三道校验放在状态更新之前，任何一道不通过都直接终止且不修改业务状态。这是保证账目正确的关键顺序——若先更新再校验，非法回调就可能已经把订单改成“已支付”。</w:t>
      </w:r>
    </w:p>
    <w:p>
      <w:pPr>
        <w:jc w:val="center"/>
        <w:keepNext/>
        <w:pageBreakBefore/>
      </w:pPr>
      <w:r>
        <w:drawing>
          <wp:inline distT="0" distB="0" distL="0" distR="0">
            <wp:extent cx="2880976" cy="6823365"/>
            <wp:effectExtent t="0" r="0" b="0" l="0"/>
            <wp:docPr id="10" name="图 3-3 活动图：订单支付超时自动取消" descr="图 3-3 活动图：订单支付超时自动取消" title="图 3-3 活动图：订单支付超时自动取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76" cy="6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1-10 活动图：订单支付超时自动取消</w:t>
      </w:r>
    </w:p>
    <w:p>
      <w:r>
        <w:t xml:space="preserve">图中“加锁—重读—条件更新”三步缺一不可。分布式环境下，调度器可能多实例并发执行，也可能与用户的支付回调同时到达；只有“锁 + 重读 + 带状态条件的 UPDATE”三者叠加，才能保证同一笔订单不会被取消两次、也不会在已支付后被误取消。</w:t>
      </w:r>
    </w:p>
    <w:p>
      <w:pPr>
        <w:jc w:val="center"/>
        <w:keepNext/>
        <w:pageBreakBefore/>
      </w:pPr>
      <w:r>
        <w:drawing>
          <wp:inline distT="0" distB="0" distL="0" distR="0">
            <wp:extent cx="3555731" cy="6823365"/>
            <wp:effectExtent t="0" r="0" b="0" l="0"/>
            <wp:docPr id="11" name="图 3-4 活动图：售后退款申请与处理" descr="图 3-4 活动图：售后退款申请与处理" title="图 3-4 活动图：售后退款申请与处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731" cy="68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1-11 活动图：售后退款申请与处理</w:t>
      </w:r>
    </w:p>
    <w:p>
      <w:r>
        <w:t xml:space="preserve">退款是资金反向流动，风险高于正向支付，因此图中设置了“订单状态校验—卖家审核—退款执行—结果校验”四道关卡，并把失败分支导向人工处理队列，而不是自动重试。</w:t>
      </w:r>
    </w:p>
    <w:p>
      <w:pPr>
        <w:pStyle w:val="Heading2"/>
        <w:keepNext/>
        <w:jc w:val="left"/>
      </w:pPr>
      <w:r>
        <w:rPr>
          <w:rFonts w:ascii="Times New Roman" w:hAnsi="Times New Roman" w:cs="Times New Roman"/>
        </w:rPr>
        <w:t>2.4 数据建模（Data Modeling）</w:t>
      </w:r>
    </w:p>
    <w:p>
      <w:r>
        <w:t xml:space="preserve">按指导书要求，采用名词短语法结合 CRC 分析建立分析类模型（域模型）。</w:t>
      </w:r>
    </w:p>
    <w:p>
      <w:pPr>
        <w:pStyle w:val="Heading3"/>
        <w:keepNext/>
      </w:pPr>
      <w:r>
        <w:rPr>
          <w:rFonts w:ascii="Times New Roman" w:hAnsi="Times New Roman" w:cs="Times New Roman"/>
        </w:rPr>
        <w:t xml:space="preserve">2.4.1 名词短语分析</w:t>
      </w:r>
    </w:p>
    <w:p>
      <w:r>
        <w:t xml:space="preserve">从 2.2、2.3 节的用例描述与事件流文本中抽取名词短语，逐一判定其类别。判定原则：具备唯一标识、需要独立生命周期、且被多个用例引用者判为实体；只依附于某一实体存在、无独立标识者判为属性；描述某实体的状态枚举或度量值判为值对象；与系统职责无关的业务术语剔除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1-17 名词短语分析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38"/>
        <w:gridCol w:w="1367"/>
        <w:gridCol w:w="2931"/>
        <w:gridCol w:w="1002"/>
        <w:gridCol w:w="2614"/>
      </w:tblGrid>
      <w:tr>
        <w:trPr>
          <w:trHeight w:val="360" w:hRule="atLeast"/>
          <w:cantSplit/>
          <w:tblHeader/>
        </w:trPr>
        <w:tc>
          <w:tcPr>
            <w:tcW w:type="dxa" w:w="93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序号</w:t>
            </w:r>
          </w:p>
        </w:tc>
        <w:tc>
          <w:tcPr>
            <w:tcW w:type="dxa" w:w="1368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候选名词</w:t>
            </w:r>
          </w:p>
        </w:tc>
        <w:tc>
          <w:tcPr>
            <w:tcW w:type="dxa" w:w="293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出现位置</w:t>
            </w:r>
          </w:p>
        </w:tc>
        <w:tc>
          <w:tcPr>
            <w:tcW w:type="dxa" w:w="100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判定</w:t>
            </w:r>
          </w:p>
        </w:tc>
        <w:tc>
          <w:tcPr>
            <w:tcW w:type="dxa" w:w="261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说明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</w:t>
            </w:r>
          </w:p>
        </w:tc>
        <w:tc>
          <w:tcPr>
            <w:tcW w:type="dxa" w:w="1368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用户</w:t>
            </w:r>
          </w:p>
        </w:tc>
        <w:tc>
          <w:tcPr>
            <w:tcW w:type="dxa" w:w="293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UC-01/02</w:t>
            </w:r>
          </w:p>
        </w:tc>
        <w:tc>
          <w:tcPr>
            <w:tcW w:type="dxa" w:w="1002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有独立标识与生命周期，被订单、商品、购物车共同引用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账号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UC-01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属性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用户的唯一登录标识，随用户存在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密码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UC-01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属性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存储为哈希摘要，不适合独立成类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4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昵称、手机号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UC-01/04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属性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用户的可变描述信息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角色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UC-01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值对象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枚举值（买家/卖家/管理员），用字段表达即可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6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收货地址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UC-05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有独立标识，可多条并存，可被订单快照引用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7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UC-07/08/11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核心实体，含标题、价格区间、状态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8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规格（SKU）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UC-11/13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独立的库存与价格载体，与商品是一对多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9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分类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UC-10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有层级结构，被商品引用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10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商品图片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UC-11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属性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主图以 URL 存储于商品，多图场景后续扩展为从属实体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11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价格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UC-11/19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值对象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货币金额，需带精度约束（精确到分）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12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库存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UC-13/19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值对象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SKU 上的两个度量（可售/预占），非独立实体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13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销量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UC-07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属性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SKU 上的累计度量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14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购物车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UC-15/16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由购物车项聚合而成，对用户呈现为一个整体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15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购物车项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UC-15/17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有独立标识，含 SKU 与数量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16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UC-19/20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核心实体，有状态机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17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订单明细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UC-19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订单的组成项，含价格快照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18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订单号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UC-19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属性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订单的业务唯一标识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19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订单状态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UC-19/21/24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值对象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状态机枚举（待支付/已支付/已发货/已完成/已取消/已退款）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20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金额、应付金额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UC-19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值对象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由明细汇总计算得出，需与实付金额区分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21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地址快照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UC-19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值对象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下单瞬间的地址副本，独立于地址簿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22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支付单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UC-25/27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独立于订单存在，一笔订单可能对应多个支付尝试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23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支付方式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UC-25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值对象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枚举（模拟支付/支付宝/微信）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24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交易号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UC-27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属性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支付平台的唯一流水标识，用于幂等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25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支付回调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UC-27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需落库留痕，用于对账与重放排查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26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退款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UC-28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独立的资金反向流水，可多次部分退款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27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退款原因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UC-28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属性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售后工单的描述字段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28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售后工单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UC-28/29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有独立状态机与处理流程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29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库存预占记录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UC-19/24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连接订单与 SKU 的中间记录，是超时释放的依据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30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物流单号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UC-22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属性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订单上的外部引用字段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31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定时任务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UC-24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剔除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属实现机制，非业务概念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32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令牌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UC-02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剔除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属安全机制，不进入领域模型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33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评价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US-16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有独立生命周期并关联订单，规划于 Sprint 4</w:t>
            </w:r>
          </w:p>
        </w:tc>
      </w:tr>
      <w:tr>
        <w:trPr>
          <w:trHeight w:val="360" w:hRule="atLeast"/>
          <w:cantSplit/>
        </w:trPr>
        <w:tc>
          <w:tcPr>
            <w:tcW w:type="dxa" w:w="93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34</w:t>
            </w:r>
          </w:p>
        </w:tc>
        <w:tc>
          <w:tcPr>
            <w:tcW w:type="dxa" w:w="1368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优惠券</w:t>
            </w:r>
          </w:p>
        </w:tc>
        <w:tc>
          <w:tcPr>
            <w:tcW w:type="dxa" w:w="293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US-18</w:t>
            </w:r>
          </w:p>
        </w:tc>
        <w:tc>
          <w:tcPr>
            <w:tcW w:type="dxa" w:w="100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实体</w:t>
            </w:r>
          </w:p>
        </w:tc>
        <w:tc>
          <w:tcPr>
            <w:tcW w:type="dxa" w:w="261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独立生命周期与核销规则，规划于后续迭代</w:t>
            </w:r>
          </w:p>
        </w:tc>
      </w:tr>
    </w:tbl>
    <w:p>
      <w:r>
        <w:t>判定结果：实体 16 个（其中评价、优惠券属后续迭代，本期不建模），值对象 7 个，属性 9 个，剔除 2 个。</w:t>
      </w:r>
    </w:p>
    <w:p>
      <w:pPr>
        <w:pStyle w:val="Heading3"/>
        <w:keepNext/>
      </w:pPr>
      <w:r>
        <w:rPr>
          <w:rFonts w:ascii="Times New Roman" w:hAnsi="Times New Roman" w:cs="Times New Roman"/>
        </w:rPr>
        <w:t xml:space="preserve">2.4.2 CRC 卡片</w:t>
      </w:r>
    </w:p>
    <w:p>
      <w:r>
        <w:t xml:space="preserve">对每个实体类填写“类名—职责—协作者”卡片。职责只写该类自身应负的责任，协作者写该类需要向其发消息才能完成职责的类。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1-18 CRC 卡片汇总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388"/>
        <w:gridCol w:w="1642"/>
        <w:gridCol w:w="3824"/>
      </w:tblGrid>
      <w:tr>
        <w:trPr>
          <w:trHeight w:val="360" w:hRule="atLeast"/>
          <w:cantSplit/>
          <w:tblHeader/>
        </w:trPr>
        <w:tc>
          <w:tcPr>
            <w:tcW w:type="dxa" w:w="3389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类名</w:t>
            </w:r>
          </w:p>
        </w:tc>
        <w:tc>
          <w:tcPr>
            <w:tcW w:type="dxa" w:w="1642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职责</w:t>
            </w:r>
          </w:p>
        </w:tc>
        <w:tc>
          <w:tcPr>
            <w:tcW w:type="dxa" w:w="382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协作者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User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维护自身账号与档案；校验密码；判定自身角色与状态是否允许操作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Address、Order、Product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Address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保存收货信息；提供默认地址；生成下单所需的地址快照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User、Order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Product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维护标题、副标题、主图与上下架状态；对外提供可售性判定；聚合其 SKU 价格区间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Sku、Category、User（卖家）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Sku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维护规格、价格与库存三元组；执行库存预占、确认扣减与回补；以版本号实现乐观并发控制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Product、StockReservation、OrderItem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Category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维护分类层级与排序；提供分类下的商品归属判定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Product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Cart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维护某买家的购物车容器；在会话与持久化之间合并条目；为空时自动失效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>User（买家）、CartItem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CartItem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记录买家所选 SKU 与数量；在数量超出可售库存时自我修正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User（买家）、Sku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Order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维护订单状态机；汇总明细计算应付金额；保存地址与价格快照；判定当前状态是否允许取消、支付、发货、退款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OrderItem、Payment、StockReservation、AfterSaleTicket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OrderItem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保存下单瞬间的商品标题、单价与数量快照；计算自身小计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Order、Sku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StockReservation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记录某订单对某 SKU 的预占数量与到期时间；提供释放与转扣减操作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Order、Sku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Payment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维护支付单状态；与外部支付平台交互；核对回调金额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Order、PaymentCallback、Refund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PaymentCallback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留存回调原始报文与验签结果；以交易号保证处理唯一性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Payment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Refund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记录退款金额与原因；维护退款状态；控制累计退款不超过实付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Payment、Order、AfterSaleTicket</w:t>
            </w:r>
          </w:p>
        </w:tc>
      </w:tr>
      <w:tr>
        <w:trPr>
          <w:trHeight w:val="360" w:hRule="atLeast"/>
          <w:cantSplit/>
        </w:trPr>
        <w:tc>
          <w:tcPr>
            <w:tcW w:type="dxa" w:w="3389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AfterSaleTicket</w:t>
            </w:r>
          </w:p>
        </w:tc>
        <w:tc>
          <w:tcPr>
            <w:tcW w:type="dxa" w:w="1642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维护售后工单状态机；记录买卖双方协商结论；驱动退款流程</w:t>
            </w:r>
          </w:p>
        </w:tc>
        <w:tc>
          <w:tcPr>
            <w:tcW w:type="dxa" w:w="382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Order、Refund、User</w:t>
            </w:r>
          </w:p>
        </w:tc>
      </w:tr>
    </w:tbl>
    <w:p>
      <w:pPr>
        <w:pStyle w:val="Heading3"/>
        <w:keepNext/>
      </w:pPr>
      <w:r>
        <w:rPr>
          <w:rFonts w:ascii="Times New Roman" w:hAnsi="Times New Roman" w:cs="Times New Roman"/>
        </w:rPr>
        <w:t xml:space="preserve">2.4.3 域模型（分析类模型）</w:t>
      </w:r>
    </w:p>
    <w:p>
      <w:r>
        <w:t>将上述实体与关系用 UML 类图表达，得到图 1-12。图中按子域分包，包边界即后续微服务的划分依据。</w:t>
      </w:r>
    </w:p>
    <w:p>
      <w:pPr>
        <w:keepNext/>
        <w:jc w:val="center"/>
      </w:pPr>
      <w:r>
        <w:drawing>
          <wp:inline distT="0" distB="0" distL="0" distR="0">
            <wp:extent cx="5760000" cy="5125002"/>
            <wp:effectExtent t="0" r="0" b="0" l="0"/>
            <wp:docPr id="12" name="图 4-1 在线商城系统分析类模型（域模型）" descr="图 4-1 在线商城系统分析类模型（域模型）" title="图 4-1 在线商城系统分析类模型（域模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12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keepNext w:val="0"/>
        <w:spacing w:before="60" w:after="120" w:line="276" w:lineRule="auto"/>
        <w:ind w:firstLineChars="0" w:firstLine="0"/>
      </w:pPr>
      <w:r>
        <w:rPr>
          <w:b/>
          <w:bCs/>
        </w:rPr>
        <w:t>图 1-12 在线商城系统分析类模型（域模型）</w:t>
      </w:r>
    </w:p>
    <w:p>
      <w:r>
        <w:t xml:space="preserve">对模型的三点说明：</w:t>
      </w:r>
    </w:p>
    <w:p>
      <w:r>
        <w:rPr>
          <w:b/>
          <w:bCs/>
        </w:rPr>
        <w:t xml:space="preserve">第一，Order 与 OrderItem 是组合关系（实心菱形），而 Order 与 Payment 是普通关联。</w:t>
      </w:r>
      <w:r>
        <w:t xml:space="preserve"> 订单明细不能脱离订单存在，删单必须连带明细；但支付单有自己的生命周期，一笔订单可能先后产生多个支付尝试（首次失败重试），因此不能组合。</w:t>
      </w:r>
    </w:p>
    <w:p>
      <w:r>
        <w:rPr>
          <w:b/>
          <w:bCs/>
        </w:rPr>
        <w:t xml:space="preserve">第二，CartItem 与 OrderItem 都关联 Sku，但不互相关联。</w:t>
      </w:r>
      <w:r>
        <w:t xml:space="preserve"> 购物车是“意向”，订单是“承诺”，两者通过下单动作完成转换而不保留引用关系——这是购物车项在下单后被清除、而订单明细必须永久留存价格快照的原因。</w:t>
      </w:r>
    </w:p>
    <w:p>
      <w:r>
        <w:rPr>
          <w:b/>
          <w:bCs/>
        </w:rPr>
        <w:t xml:space="preserve">第三，StockReservation 是独立实体而非 Sku 上的计数字段。</w:t>
      </w:r>
      <w:r>
        <w:t xml:space="preserve"> 虽然实现上完全可以在 SKU 表上放两个字段（可售量、预占量）来提高性能，但分析阶段必须先把它识别为一个概念实体，否则“哪笔订单占用了多少库存、何时到期释放”这一信息无处安放，2.3.4 节的超时释放逻辑也就失去了依据。设计阶段允许做性能优化，但优化必须建立在对概念的完整识别之上。</w:t>
      </w:r>
    </w:p>
    <w:p>
      <w:pPr>
        <w:pStyle w:val="Heading1"/>
        <w:keepNext/>
        <w:jc w:val="left"/>
      </w:pPr>
      <w:r>
        <w:rPr>
          <w:rFonts w:ascii="Times New Roman" w:hAnsi="Times New Roman" w:cs="Times New Roman"/>
        </w:rPr>
        <w:t>3. 非功能需求（No-Functional Requirement）</w:t>
      </w:r>
    </w:p>
    <w:p>
      <w:r>
        <w:t xml:space="preserve">在线商城的非功能需求由业务特征直接推导：交易链路要求</w:t>
      </w:r>
      <w:r>
        <w:rPr>
          <w:b/>
          <w:bCs/>
        </w:rPr>
        <w:t xml:space="preserve">强正确性</w:t>
      </w:r>
      <w:r>
        <w:t xml:space="preserve">（不能超卖、不能重复扣款），大促场景要求</w:t>
      </w:r>
      <w:r>
        <w:rPr>
          <w:b/>
          <w:bCs/>
        </w:rPr>
        <w:t xml:space="preserve">弹性伸缩</w:t>
      </w:r>
      <w:r>
        <w:t xml:space="preserve">（峰值流量数倍于均值），微服务架构要求</w:t>
      </w:r>
      <w:r>
        <w:rPr>
          <w:b/>
          <w:bCs/>
        </w:rPr>
        <w:t xml:space="preserve">可观测性</w:t>
      </w:r>
      <w:r>
        <w:t xml:space="preserve">（跨服务故障定位）。</w:t>
      </w:r>
    </w:p>
    <w:p>
      <w:pPr>
        <w:jc w:val="center"/>
        <w:keepNext/>
        <w:spacing w:before="60" w:after="120" w:line="276" w:lineRule="auto"/>
        <w:ind w:firstLineChars="0" w:firstLine="0"/>
      </w:pPr>
      <w:r>
        <w:rPr>
          <w:b/>
          <w:bCs/>
        </w:rPr>
        <w:t>表 1-19 非功能需求清单</w:t>
      </w:r>
    </w:p>
    <w:tbl>
      <w:tblPr>
        <w:tblW w:type="dxa" w:w="8855"/>
        <w:jc w:val="center"/>
        <w:tblLayout w:type="fixed"/>
        <w:tblBorders>
          <w:top w:val="single" w:sz="12" w:color="000000" w:space="0"/>
          <w:bottom w:val="single" w:sz="12" w:color="000000" w:space="0"/>
          <w:left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895"/>
        <w:gridCol w:w="1576"/>
        <w:gridCol w:w="1164"/>
        <w:gridCol w:w="3393"/>
        <w:gridCol w:w="1825"/>
      </w:tblGrid>
      <w:tr>
        <w:trPr>
          <w:trHeight w:val="360" w:hRule="atLeast"/>
          <w:cantSplit/>
          <w:tblHeader/>
        </w:trPr>
        <w:tc>
          <w:tcPr>
            <w:tcW w:type="dxa" w:w="896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类别</w:t>
            </w:r>
          </w:p>
        </w:tc>
        <w:tc>
          <w:tcPr>
            <w:tcW w:type="dxa" w:w="1577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编号</w:t>
            </w:r>
          </w:p>
        </w:tc>
        <w:tc>
          <w:tcPr>
            <w:tcW w:type="dxa" w:w="1164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需求描述</w:t>
            </w:r>
          </w:p>
        </w:tc>
        <w:tc>
          <w:tcPr>
            <w:tcW w:type="dxa" w:w="3393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量化指标</w:t>
            </w:r>
          </w:p>
        </w:tc>
        <w:tc>
          <w:tcPr>
            <w:tcW w:type="dxa" w:w="1825"/>
            <w:shd w:fill="f2f2f2" w:val="clear"/>
            <w:tcBorders>
              <w:bottom w:val="single" w:sz="6" w:space="0" w:color="000000"/>
            </w:tcBorders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b/>
                <w:bCs/>
                <w:sz w:val="21"/>
              </w:rPr>
              <w:t xml:space="preserve">验证方式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keepNext/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性能</w:t>
            </w:r>
          </w:p>
        </w:tc>
        <w:tc>
          <w:tcPr>
            <w:tcW w:type="dxa" w:w="1577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NFR-01</w:t>
            </w:r>
          </w:p>
        </w:tc>
        <w:tc>
          <w:tcPr>
            <w:tcW w:type="dxa" w:w="1164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商品列表与详情查询响应及时</w:t>
            </w:r>
          </w:p>
        </w:tc>
        <w:tc>
          <w:tcPr>
            <w:tcW w:type="dxa" w:w="3393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P95 &lt; 500 ms，P99 &lt; 1 s（100 并发）</w:t>
            </w:r>
          </w:p>
        </w:tc>
        <w:tc>
          <w:tcPr>
            <w:tcW w:type="dxa" w:w="1825"/>
          </w:tcPr>
          <w:p>
            <w:pPr>
              <w:keepNext/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JMeter 压测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性能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NFR-02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下单接口在峰值下可用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50 TPS 持续 5 分钟，P95 &lt; 1 s，错误率 &lt; 0.1%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JMeter 压测 + 库存核对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性能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NFR-03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支付回调处理不阻塞上游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单次处理 &lt; 200 ms，含数据库写入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日志耗时统计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正确性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NFR-04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并发下单不超卖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100 并发抢购 10 件库存，成功订单数恰为 10，库存余量恰为 0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压测后核对数据库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正确性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NFR-05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支付回调幂等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同一交易号重复推送 10 次，仅产生 1 条扣减记录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构造重复回调测试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正确性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NFR-06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订单超时取消不误杀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已支付订单不被取消；取消后库存回补准确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交错时序测试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可用性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NFR-07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系统整体可用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月度可用性 ≥ 99.5%，单服务故障不导致全站不可用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故障注入演练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可用性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NFR-08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降级能力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商品服务不可用时，订单服务返回“处理中”而非报错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断服务测试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可扩展性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NFR-09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服务可水平扩容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无状态服务实例数可在 1→5 之间线性扩展，吞吐提升 ≥ 3 倍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扩容前后压测对比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可扩展性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NFR-10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功能可增量上线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新增一个微服务只需注册到注册中心并配置网关路由，不改动既有服务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代码评审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安全性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NFR-11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身份认证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除商品浏览与登录注册外，全部接口需携带有效令牌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越权访问测试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安全性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NFR-12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密码存储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密码以 bcrypt 等加盐哈希存储，不可逆；禁止明文与可逆加密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数据库抽检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安全性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NFR-13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敏感配置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数据库口令、令牌密钥、支付密钥不得写入代码仓库，须经环境变量注入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仓库敏感信息扫描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安全性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NFR-14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越权防护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买家不可操作他人订单与地址，越权请求返回 403 并记录日志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接口越权测试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安全性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NFR-15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传输安全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生产环境全站 HTTPS，令牌仅经 Authorization 头传递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配置核查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可维护性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NFR-16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代码规范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统一分层结构，关键业务方法有注释，单方法圈复杂度 ≤ 10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静态检查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可维护性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NFR-17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版本控制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全部源码纳入 Git，提交信息遵循约定式提交规范，主分支可构建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仓库检查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可观测性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NFR-18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日志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结构化日志，含链路标识，可按订单号串联全链路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日志检索验证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可观测性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NFR-19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链路追踪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跨服务调用可还原完整调用链与各段耗时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追踪平台验证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可观测性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NFR-20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健康检查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每个服务暴露健康检查端点，供网关与编排工具探活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端点访问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兼容性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NFR-21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浏览器兼容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支持 Chrome、Edge 最近两个大版本，页面在 1366×768 及以上正常显示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手工验证</w:t>
            </w:r>
          </w:p>
        </w:tc>
      </w:tr>
      <w:tr>
        <w:trPr>
          <w:trHeight w:val="360" w:hRule="atLeast"/>
          <w:cantSplit/>
        </w:trPr>
        <w:tc>
          <w:tcPr>
            <w:tcW w:type="dxa" w:w="896"/>
          </w:tcPr>
          <w:p>
            <w:pPr>
              <w:jc w:val="center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部署</w:t>
            </w:r>
          </w:p>
        </w:tc>
        <w:tc>
          <w:tcPr>
            <w:tcW w:type="dxa" w:w="1577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NFR-22</w:t>
            </w:r>
          </w:p>
        </w:tc>
        <w:tc>
          <w:tcPr>
            <w:tcW w:type="dxa" w:w="1164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一键部署</w:t>
            </w:r>
          </w:p>
        </w:tc>
        <w:tc>
          <w:tcPr>
            <w:tcW w:type="dxa" w:w="3393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通过编排文件一条命令启动全部服务与中间件</w:t>
            </w:r>
          </w:p>
        </w:tc>
        <w:tc>
          <w:tcPr>
            <w:tcW w:type="dxa" w:w="1825"/>
          </w:tcPr>
          <w:p>
            <w:pPr>
              <w:jc w:val="left"/>
              <w:spacing w:before="30" w:after="30" w:line="240" w:lineRule="auto"/>
              <w:ind w:firstLineChars="0" w:firstLine="0"/>
            </w:pPr>
            <w:r>
              <w:rPr>
                <w:sz w:val="21"/>
              </w:rPr>
              <w:t xml:space="preserve">全新环境验证</w:t>
            </w:r>
          </w:p>
        </w:tc>
      </w:tr>
    </w:tbl>
    <w:p>
      <w:r>
        <w:t xml:space="preserve">关于非功能需求的三点取舍说明：</w:t>
      </w:r>
    </w:p>
    <w:p>
      <w:r>
        <w:rPr>
          <w:b/>
          <w:bCs/>
        </w:rPr>
        <w:t xml:space="preserve">其一，性能指标按课程环境设定，而非按真实电商设定。</w:t>
      </w:r>
      <w:r>
        <w:t xml:space="preserve"> 50 TPS 的下单目标远低于工业生产水平，但已足以暴露“超卖”“缓存击穿”“连接池耗尽”这类典型的并发缺陷，符合课程实验“验证设计合理性”的目的。虚报一个自己压不出来的指标，比设定一个朴素指标更糟。</w:t>
      </w:r>
    </w:p>
    <w:p>
      <w:r>
        <w:rPr>
          <w:b/>
          <w:bCs/>
        </w:rPr>
        <w:t xml:space="preserve">其二，把“正确性”单列为一类而非并入功能需求。</w:t>
      </w:r>
      <w:r>
        <w:t xml:space="preserve"> 超卖与重复扣款在单用户手工测试中永远测不出来，只有并发与重复投递才能触发。单独成类是为了在测试报告中为它们预留专门的用例，而不是被“功能测试全部通过”掩盖。</w:t>
      </w:r>
    </w:p>
    <w:p>
      <w:r>
        <w:rPr>
          <w:b/>
          <w:bCs/>
        </w:rPr>
        <w:t xml:space="preserve">其三，安全需求中 NFR-13 是针对性补强项。</w:t>
      </w:r>
      <w:r>
        <w:t xml:space="preserve"> 本项目参考的既有原型曾出现数据库口令、令牌密钥硬编码于源码与配置文件中的问题；此类缺陷一旦进入版本库，后续任何安全设计都失去意义，因此在需求阶段就把它固化为可检查的验收项。</w:t>
      </w:r>
    </w:p>
    <w:p>
      <w:pPr>
        <w:pStyle w:val="Heading1"/>
        <w:keepNext/>
        <w:jc w:val="left"/>
      </w:pPr>
      <w:r>
        <w:rPr>
          <w:rFonts w:ascii="Times New Roman" w:hAnsi="Times New Roman" w:cs="Times New Roman"/>
        </w:rPr>
        <w:t>4. 参考资料（References）</w:t>
      </w:r>
    </w:p>
    <w:p>
      <w:pPr>
        <w:pStyle w:val="ListParagraph"/>
        <w:numPr>
          <w:ilvl w:val="0"/>
          <w:numId w:val="4"/>
        </w:numPr>
        <w:jc w:val="left"/>
      </w:pPr>
      <w:r>
        <w:t xml:space="preserve">国家统计局. 2024 年全国网上零售额 155225 亿元，比上年增长 7.2%[EB/OL]. 央视网, 2025-01-17. </w:t>
      </w:r>
      <w:hyperlink w:history="1" r:id="rIdtywbb6lj85vyvicbvvlqh">
        <w:r>
          <w:t xml:space="preserve">https://jingji.cctv.com/2025/01/17/ARTI7MvTXJb6gD0YQjI1whmv250117.shtml</w:t>
        </w:r>
      </w:hyperlink>
    </w:p>
    <w:p>
      <w:pPr>
        <w:pStyle w:val="ListParagraph"/>
        <w:numPr>
          <w:ilvl w:val="0"/>
          <w:numId w:val="4"/>
        </w:numPr>
        <w:jc w:val="left"/>
      </w:pPr>
      <w:r>
        <w:t xml:space="preserve">新华社. 网民规模超 11 亿！数字中国活力奔涌——第 55 次《中国互联网络发展状况统计报告》[EB/OL]. 新华网, 2025-01-17. </w:t>
      </w:r>
      <w:hyperlink w:history="1" r:id="rIdtrqdcshp_11iim4jfm-e0">
        <w:r>
          <w:t xml:space="preserve">https://www.news.cn/politics/20250117/f208db8cade545789410bac9d8e5266b/c.html</w:t>
        </w:r>
      </w:hyperlink>
    </w:p>
    <w:p>
      <w:pPr>
        <w:pStyle w:val="ListParagraph"/>
        <w:numPr>
          <w:ilvl w:val="0"/>
          <w:numId w:val="4"/>
        </w:numPr>
        <w:jc w:val="left"/>
      </w:pPr>
      <w:r>
        <w:t xml:space="preserve">Ruler Analytics / Thunderbit. 电商转化率平均值与统计数据[EB/OL]. 2026[2026-10-20]. </w:t>
      </w:r>
      <w:hyperlink w:history="1" r:id="rIdp2bi7fd_nxbf7pwidddvj">
        <w:r>
          <w:t xml:space="preserve">https://thunderbit.com/zh-Hans/blog/ecommerce-conversion-statistics</w:t>
        </w:r>
      </w:hyperlink>
    </w:p>
    <w:p>
      <w:pPr>
        <w:pStyle w:val="ListParagraph"/>
        <w:numPr>
          <w:ilvl w:val="0"/>
          <w:numId w:val="4"/>
        </w:numPr>
        <w:jc w:val="left"/>
      </w:pPr>
      <w:r>
        <w:t xml:space="preserve">阿里云开发者社区. 反向海淘系统微服务拆分实战：跨境代购平台架构拆解[EB/OL]. [2026-10-20]. </w:t>
      </w:r>
      <w:hyperlink w:history="1" r:id="rIdwiqb4embcgbg06g4qbw64">
        <w:r>
          <w:t xml:space="preserve">https://developer.aliyun.com/article/1741757</w:t>
        </w:r>
      </w:hyperlink>
    </w:p>
    <w:p>
      <w:pPr>
        <w:pStyle w:val="ListParagraph"/>
        <w:numPr>
          <w:ilvl w:val="0"/>
          <w:numId w:val="4"/>
        </w:numPr>
        <w:jc w:val="left"/>
      </w:pPr>
      <w:r>
        <w:t xml:space="preserve">腾讯云开发者社区. 秒杀、分库分表、全链路追踪：一个电商微服务的架构全拆解[EB/OL]. [2026-10-20]. </w:t>
      </w:r>
      <w:hyperlink w:history="1" r:id="rIdfs_lrrt0xwcvemrqg9bn6">
        <w:r>
          <w:t xml:space="preserve">https://cloud.tencent.com.cn/developer/article/2670700</w:t>
        </w:r>
      </w:hyperlink>
    </w:p>
    <w:p>
      <w:pPr>
        <w:pStyle w:val="ListParagraph"/>
        <w:numPr>
          <w:ilvl w:val="0"/>
          <w:numId w:val="4"/>
        </w:numPr>
        <w:jc w:val="left"/>
      </w:pPr>
      <w:r>
        <w:t xml:space="preserve">百度智能云. 双十一系统架构解析：淘宝双十一架构的深度拆解与优化实践[EB/OL]. [2026-10-20]. </w:t>
      </w:r>
      <w:hyperlink w:history="1" r:id="rId8iqq1anhko-nqn5moinxv">
        <w:r>
          <w:t xml:space="preserve">https://cloud.baidu.com/article/4091553</w:t>
        </w:r>
      </w:hyperlink>
    </w:p>
    <w:p>
      <w:pPr>
        <w:pStyle w:val="ListParagraph"/>
        <w:numPr>
          <w:ilvl w:val="0"/>
          <w:numId w:val="4"/>
        </w:numPr>
        <w:jc w:val="left"/>
      </w:pPr>
      <w:r>
        <w:t xml:space="preserve">河北工业大学. 2026 版《软件工程实验》实验指导书[Z]. 2026.</w:t>
      </w:r>
    </w:p>
    <w:sectPr>
      <w:footerReference w:type="default" r:id="rId7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0" w:after="0"/>
      <w:ind w:firstLineChars="0" w:firstLine="0"/>
    </w:pPr>
    <w:r>
      <w:rPr>
        <w:rFonts w:ascii="Times New Roman" w:hAnsi="Times New Roman" w:eastAsia="宋体"/>
        <w:sz w:val="21"/>
      </w:rPr>
      <w:t xml:space="preserve">— </w:t>
    </w:r>
    <w:r>
      <w:rPr>
        <w:rFonts w:ascii="Times New Roman" w:hAnsi="Times New Roman" w:eastAsia="宋体"/>
        <w:sz w:val="21"/>
      </w:rPr>
      <w:fldChar w:fldCharType="begin"/>
    </w:r>
    <w:r>
      <w:rPr>
        <w:rFonts w:ascii="Times New Roman" w:hAnsi="Times New Roman" w:eastAsia="宋体"/>
        <w:sz w:val="21"/>
      </w:rPr>
      <w:instrText xml:space="preserve"> PAGE </w:instrText>
    </w:r>
    <w:r>
      <w:rPr>
        <w:rFonts w:ascii="Times New Roman" w:hAnsi="Times New Roman" w:eastAsia="宋体"/>
        <w:sz w:val="21"/>
      </w:rP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  <w:r>
      <w:rPr>
        <w:rFonts w:ascii="Times New Roman" w:hAnsi="Times New Roman" w:eastAsia="宋体"/>
        <w:sz w:val="21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  <w:lvl w:ilvl="1" w:tentative="1">
      <w:start w:val="1"/>
      <w:numFmt w:val="bullet"/>
      <w:lvlText w:val="•"/>
      <w:lvlJc w:val="left"/>
      <w:pPr>
        <w:ind w:left="720" w:hanging="360"/>
      </w:pPr>
    </w:lvl>
    <w:lvl w:ilvl="2" w:tentative="1">
      <w:start w:val="1"/>
      <w:numFmt w:val="bullet"/>
      <w:lvlText w:val="•"/>
      <w:lvlJc w:val="left"/>
      <w:pPr>
        <w:ind w:left="1080" w:hanging="360"/>
      </w:pPr>
    </w:lvl>
    <w:lvl w:ilvl="3" w:tentative="1">
      <w:start w:val="1"/>
      <w:numFmt w:val="bullet"/>
      <w:lvlText w:val="•"/>
      <w:lvlJc w:val="left"/>
      <w:pPr>
        <w:ind w:left="1440" w:hanging="360"/>
      </w:pPr>
    </w:lvl>
    <w:lvl w:ilvl="4" w:tentative="1">
      <w:start w:val="1"/>
      <w:numFmt w:val="bullet"/>
      <w:lvlText w:val="•"/>
      <w:lvlJc w:val="left"/>
      <w:pPr>
        <w:ind w:left="1800" w:hanging="360"/>
      </w:pPr>
    </w:lvl>
    <w:lvl w:ilvl="5" w:tentative="1">
      <w:start w:val="1"/>
      <w:numFmt w:val="bullet"/>
      <w:lvlText w:val="•"/>
      <w:lvlJc w:val="left"/>
      <w:pPr>
        <w:ind w:left="2160" w:hanging="360"/>
      </w:pPr>
    </w:lvl>
    <w:lvl w:ilvl="6" w:tentative="1">
      <w:start w:val="1"/>
      <w:numFmt w:val="bullet"/>
      <w:lvlText w:val="•"/>
      <w:lvlJc w:val="left"/>
      <w:pPr>
        <w:ind w:left="2520" w:hanging="360"/>
      </w:pPr>
    </w:lvl>
    <w:lvl w:ilvl="7" w:tentative="1">
      <w:start w:val="1"/>
      <w:numFmt w:val="bullet"/>
      <w:lvlText w:val="•"/>
      <w:lvlJc w:val="left"/>
      <w:pPr>
        <w:ind w:left="2880" w:hanging="360"/>
      </w:pPr>
    </w:lvl>
    <w:lvl w:ilvl="8" w:tentative="1">
      <w:start w:val="1"/>
      <w:numFmt w:val="bullet"/>
      <w:lvlText w:val="•"/>
      <w:lvlJc w:val="left"/>
      <w:pPr>
        <w:ind w:left="32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ind w:left="1080" w:hanging="360"/>
      </w:pPr>
    </w:lvl>
    <w:lvl w:ilvl="3" w:tentative="1">
      <w:start w:val="1"/>
      <w:numFmt w:val="decimal"/>
      <w:lvlText w:val="%4."/>
      <w:lvlJc w:val="left"/>
      <w:pPr>
        <w:ind w:left="1440" w:hanging="360"/>
      </w:pPr>
    </w:lvl>
    <w:lvl w:ilvl="4" w:tentative="1">
      <w:start w:val="1"/>
      <w:numFmt w:val="decimal"/>
      <w:lvlText w:val="%5."/>
      <w:lvlJc w:val="left"/>
      <w:pPr>
        <w:ind w:left="1800" w:hanging="360"/>
      </w:pPr>
    </w:lvl>
    <w:lvl w:ilvl="5" w:tentative="1">
      <w:start w:val="1"/>
      <w:numFmt w:val="decimal"/>
      <w:lvlText w:val="%6."/>
      <w:lvlJc w:val="left"/>
      <w:pPr>
        <w:ind w:left="2160" w:hanging="360"/>
      </w:pPr>
    </w:lvl>
    <w:lvl w:ilvl="6" w:tentative="1">
      <w:start w:val="1"/>
      <w:numFmt w:val="decimal"/>
      <w:lvlText w:val="%7."/>
      <w:lvlJc w:val="left"/>
      <w:pPr>
        <w:ind w:left="2520" w:hanging="360"/>
      </w:pPr>
    </w:lvl>
    <w:lvl w:ilvl="7" w:tentative="1">
      <w:start w:val="1"/>
      <w:numFmt w:val="decimal"/>
      <w:lvlText w:val="%8."/>
      <w:lvlJc w:val="left"/>
      <w:pPr>
        <w:ind w:left="2880" w:hanging="360"/>
      </w:pPr>
    </w:lvl>
    <w:lvl w:ilvl="8" w:tentative="1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>
      <w:pPr>
        <w:spacing w:line="360" w:lineRule="auto"/>
        <w:ind w:firstLine="480"/>
        <w:jc w:val="both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/>
      <w:ind w:firstLine="0"/>
    </w:pPr>
    <w:rPr>
      <w:rFonts w:ascii="黑体" w:cs="黑体" w:eastAsia="黑体" w:hAnsi="黑体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ind w:firstLine="0"/>
    </w:pPr>
    <w:rPr>
      <w:rFonts w:ascii="黑体" w:cs="黑体" w:eastAsia="黑体" w:hAnsi="黑体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ind w:firstLine="0"/>
    </w:pPr>
    <w:rPr>
      <w:rFonts w:ascii="黑体" w:cs="黑体" w:eastAsia="黑体" w:hAnsi="黑体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ywbb6lj85vyvicbvvlqh" Type="http://schemas.openxmlformats.org/officeDocument/2006/relationships/hyperlink" Target="https://jingji.cctv.com/2025/01/17/ARTI7MvTXJb6gD0YQjI1whmv250117.shtml" TargetMode="External"/><Relationship Id="rIdtrqdcshp_11iim4jfm-e0" Type="http://schemas.openxmlformats.org/officeDocument/2006/relationships/hyperlink" Target="https://www.news.cn/politics/20250117/f208db8cade545789410bac9d8e5266b/c.html" TargetMode="External"/><Relationship Id="rIdp2bi7fd_nxbf7pwidddvj" Type="http://schemas.openxmlformats.org/officeDocument/2006/relationships/hyperlink" Target="https://thunderbit.com/zh-Hans/blog/ecommerce-conversion-statistics" TargetMode="External"/><Relationship Id="rIdwiqb4embcgbg06g4qbw64" Type="http://schemas.openxmlformats.org/officeDocument/2006/relationships/hyperlink" Target="https://developer.aliyun.com/article/1741757" TargetMode="External"/><Relationship Id="rIdfs_lrrt0xwcvemrqg9bn6" Type="http://schemas.openxmlformats.org/officeDocument/2006/relationships/hyperlink" Target="https://cloud.tencent.com.cn/developer/article/2670700" TargetMode="External"/><Relationship Id="rId8iqq1anhko-nqn5moinxv" Type="http://schemas.openxmlformats.org/officeDocument/2006/relationships/hyperlink" Target="https://cloud.baidu.com/article/4091553" TargetMode="External"/><Relationship Id="rId13" Type="http://schemas.openxmlformats.org/officeDocument/2006/relationships/image" Target="media/e25a3d5ed39bddeb0c8ded86adb5e0d4fd56f676.png"/><Relationship Id="rId14" Type="http://schemas.openxmlformats.org/officeDocument/2006/relationships/image" Target="media/c10942d2fda686bc731a13578f41e9a999a0590e.png"/><Relationship Id="rId15" Type="http://schemas.openxmlformats.org/officeDocument/2006/relationships/image" Target="media/d2ae40dc5e7b178b7dc2bcce178ca923d6048473.png"/><Relationship Id="rId16" Type="http://schemas.openxmlformats.org/officeDocument/2006/relationships/image" Target="media/ae8c3d2587199b13083bfae5b62b29ed5ad1b5de.png"/><Relationship Id="rId17" Type="http://schemas.openxmlformats.org/officeDocument/2006/relationships/image" Target="media/17aec781a070d111040b8ed283df101de1228517.png"/><Relationship Id="rId18" Type="http://schemas.openxmlformats.org/officeDocument/2006/relationships/image" Target="media/a34ab8a6bd4a2f64ee67a217405991f4a1fcbb20.png"/><Relationship Id="rId19" Type="http://schemas.openxmlformats.org/officeDocument/2006/relationships/image" Target="media/c0aeb13de2ab59c5ca12c8bed9d0c674f142537d.png"/><Relationship Id="rId20" Type="http://schemas.openxmlformats.org/officeDocument/2006/relationships/image" Target="media/721e9907f88bca5f14cebecaeb049143555e099a.png"/><Relationship Id="rId21" Type="http://schemas.openxmlformats.org/officeDocument/2006/relationships/image" Target="media/4f79e73108df114ea7369af555b909b3dee4beda.png"/><Relationship Id="rId22" Type="http://schemas.openxmlformats.org/officeDocument/2006/relationships/image" Target="media/5d8b5d730846fbd2519447964d167ecf845ed712.png"/><Relationship Id="rId23" Type="http://schemas.openxmlformats.org/officeDocument/2006/relationships/image" Target="media/c66cc13fbb668753380f23a4e9971a6d49fe9cf1.png"/><Relationship Id="rId24" Type="http://schemas.openxmlformats.org/officeDocument/2006/relationships/image" Target="media/ced323f6fe96e759caffca6a0598085528cb4681.png"/><Relationship Id="rId25" Type="http://schemas.openxmlformats.org/officeDocument/2006/relationships/fontTable" Target="fontTable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软件工程实验一：需求分析与迭代规划——云原生微服务架构实践：在线商城系统</dc:title>
  <dc:creator>Un-named</dc:creator>
  <cp:lastModifiedBy>Un-named</cp:lastModifiedBy>
  <cp:revision>1</cp:revision>
  <dcterms:created xsi:type="dcterms:W3CDTF">2026-10-20T06:01:48.894Z</dcterms:created>
  <dcterms:modified xsi:type="dcterms:W3CDTF">2026-10-20T06:01:48.894Z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