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（第三部分  系统原型构建与实现）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构建思路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本实验把实验二的设计方案落成可运行的原型。选题六要求「实现至少三个核心微服务，完成服务间联调，验证一个核心业务流程」，本项目实际完成了</w:t>
      </w:r>
      <w:r>
        <w:rPr>
          <w:rFonts w:ascii="Times New Roman" w:hAnsi="Times New Roman" w:eastAsia="宋体"/>
          <w:b/>
          <w:bCs/>
          <w:sz w:val="24"/>
        </w:rPr>
        <w:t xml:space="preserve">五个业务服务 + 一个网关 + 一个前端</w:t>
      </w:r>
      <w:r>
        <w:rPr>
          <w:rFonts w:ascii="Times New Roman" w:hAnsi="Times New Roman" w:eastAsia="宋体"/>
          <w:sz w:val="24"/>
        </w:rPr>
        <w:t xml:space="preserve">，并跑通了完整交易闭环。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构建顺序按依赖关系推进，每个阶段都要求「能跑起来」而不是「代码写完」：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3-1 构建阶段与完成判据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51"/>
        <w:gridCol w:w="4344"/>
        <w:gridCol w:w="3359"/>
      </w:tblGrid>
      <w:tr>
        <w:trPr>
          <w:cantSplit/>
          <w:tblHeader/>
        </w:trPr>
        <w:tc>
          <w:tcPr>
            <w:tcW w:type="dxa" w:w="115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阶段</w:t>
            </w:r>
          </w:p>
        </w:tc>
        <w:tc>
          <w:tcPr>
            <w:tcW w:type="dxa" w:w="43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内容</w:t>
            </w:r>
          </w:p>
        </w:tc>
        <w:tc>
          <w:tcPr>
            <w:tcW w:type="dxa" w:w="336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完成判据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43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 + Nacos + 空服务骨架</w:t>
            </w:r>
          </w:p>
        </w:tc>
        <w:tc>
          <w:tcPr>
            <w:tcW w:type="dxa" w:w="33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服务能注册、网关能路由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43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用户服务：注册、登录、JWT</w:t>
            </w:r>
          </w:p>
        </w:tc>
        <w:tc>
          <w:tcPr>
            <w:tcW w:type="dxa" w:w="33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能拿到令牌并访问受保护接口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43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商品服务：商品、SKU、库存预占</w:t>
            </w:r>
          </w:p>
        </w:tc>
        <w:tc>
          <w:tcPr>
            <w:tcW w:type="dxa" w:w="33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能查商品、能预占与释放库存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43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购物车服务</w:t>
            </w:r>
          </w:p>
        </w:tc>
        <w:tc>
          <w:tcPr>
            <w:tcW w:type="dxa" w:w="33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能加购、改数量、勾选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43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订单服务：下单、幂等、状态机、超时取消</w:t>
            </w:r>
          </w:p>
        </w:tc>
        <w:tc>
          <w:tcPr>
            <w:tcW w:type="dxa" w:w="33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能下单并看到订单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43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支付服务：支付单、回调、退款</w:t>
            </w:r>
          </w:p>
        </w:tc>
        <w:tc>
          <w:tcPr>
            <w:tcW w:type="dxa" w:w="33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支付后订单状态联动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43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前端三个角色页面</w:t>
            </w:r>
          </w:p>
        </w:tc>
        <w:tc>
          <w:tcPr>
            <w:tcW w:type="dxa" w:w="33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买家/卖家/管理员都能完成主要操作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实现范围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3-2 各模块实现范围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152"/>
        <w:gridCol w:w="1451"/>
        <w:gridCol w:w="1159"/>
        <w:gridCol w:w="2091"/>
      </w:tblGrid>
      <w:tr>
        <w:trPr>
          <w:cantSplit/>
          <w:tblHeader/>
        </w:trPr>
        <w:tc>
          <w:tcPr>
            <w:tcW w:type="dxa" w:w="415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模块</w:t>
            </w:r>
          </w:p>
        </w:tc>
        <w:tc>
          <w:tcPr>
            <w:tcW w:type="dxa" w:w="145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主代码文件数</w:t>
            </w:r>
          </w:p>
        </w:tc>
        <w:tc>
          <w:tcPr>
            <w:tcW w:type="dxa" w:w="116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测试文件数</w:t>
            </w:r>
          </w:p>
        </w:tc>
        <w:tc>
          <w:tcPr>
            <w:tcW w:type="dxa" w:w="209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153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gateway</w:t>
            </w:r>
          </w:p>
        </w:tc>
        <w:tc>
          <w:tcPr>
            <w:tcW w:type="dxa" w:w="1451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160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2091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路由、JWT 鉴权、跨域、异常处理</w:t>
            </w:r>
          </w:p>
        </w:tc>
      </w:tr>
      <w:tr>
        <w:trPr>
          <w:cantSplit/>
        </w:trPr>
        <w:tc>
          <w:tcPr>
            <w:tcW w:type="dxa" w:w="415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4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32</w:t>
            </w:r>
          </w:p>
        </w:tc>
        <w:tc>
          <w:tcPr>
            <w:tcW w:type="dxa" w:w="11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0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用户、地址、认证</w:t>
            </w:r>
          </w:p>
        </w:tc>
      </w:tr>
      <w:tr>
        <w:trPr>
          <w:cantSplit/>
        </w:trPr>
        <w:tc>
          <w:tcPr>
            <w:tcW w:type="dxa" w:w="415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4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45</w:t>
            </w:r>
          </w:p>
        </w:tc>
        <w:tc>
          <w:tcPr>
            <w:tcW w:type="dxa" w:w="11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0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商品、SKU、分类、库存预占</w:t>
            </w:r>
          </w:p>
        </w:tc>
      </w:tr>
      <w:tr>
        <w:trPr>
          <w:cantSplit/>
        </w:trPr>
        <w:tc>
          <w:tcPr>
            <w:tcW w:type="dxa" w:w="415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4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23</w:t>
            </w:r>
          </w:p>
        </w:tc>
        <w:tc>
          <w:tcPr>
            <w:tcW w:type="dxa" w:w="11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0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</w:t>
            </w:r>
          </w:p>
        </w:tc>
      </w:tr>
      <w:tr>
        <w:trPr>
          <w:cantSplit/>
        </w:trPr>
        <w:tc>
          <w:tcPr>
            <w:tcW w:type="dxa" w:w="415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4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43</w:t>
            </w:r>
          </w:p>
        </w:tc>
        <w:tc>
          <w:tcPr>
            <w:tcW w:type="dxa" w:w="11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0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订单、幂等、状态机、补偿</w:t>
            </w:r>
          </w:p>
        </w:tc>
      </w:tr>
      <w:tr>
        <w:trPr>
          <w:cantSplit/>
        </w:trPr>
        <w:tc>
          <w:tcPr>
            <w:tcW w:type="dxa" w:w="415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4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</w:t>
            </w:r>
          </w:p>
        </w:tc>
        <w:tc>
          <w:tcPr>
            <w:tcW w:type="dxa" w:w="11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20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支付、回调、退款</w:t>
            </w:r>
          </w:p>
        </w:tc>
      </w:tr>
      <w:tr>
        <w:trPr>
          <w:cantSplit/>
        </w:trPr>
        <w:tc>
          <w:tcPr>
            <w:tcW w:type="dxa" w:w="415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web（前端）</w:t>
            </w:r>
          </w:p>
        </w:tc>
        <w:tc>
          <w:tcPr>
            <w:tcW w:type="dxa" w:w="14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17 个页面 + 2 个组件</w:t>
            </w:r>
          </w:p>
        </w:tc>
        <w:tc>
          <w:tcPr>
            <w:tcW w:type="dxa" w:w="116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—</w:t>
            </w:r>
          </w:p>
        </w:tc>
        <w:tc>
          <w:tcPr>
            <w:tcW w:type="dxa" w:w="209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买家/卖家/管理员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技术栈</w:t>
      </w:r>
      <w:r>
        <w:rPr>
          <w:rFonts w:ascii="Times New Roman" w:hAnsi="Times New Roman" w:eastAsia="宋体"/>
          <w:sz w:val="24"/>
        </w:rPr>
        <w:t xml:space="preserve">：JDK 17、Spring Boot 3.2.5、Spring Cloud 2023.0.1、Spring Cloud Alibaba 2023.0.3.2、Nacos 2.3.2、MySQL 8.4.9、MyBatis 3.0.3、Vue 3 + Vite + Tailwind CSS 4。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模块实现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买家端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2.1.1 商品浏览与搜索</w:t>
      </w:r>
    </w:p>
    <w:p>
      <w:pPr>
        <w:keepNext/>
        <w:jc w:val="center"/>
      </w:pPr>
      <w:r>
        <w:drawing>
          <wp:inline distT="0" distB="0" distL="0" distR="0">
            <wp:extent cx="5760085" cy="3189468"/>
            <wp:effectExtent t="0" r="0" b="0" l="0"/>
            <wp:docPr id="11" name="图 3-1 商品列表" descr="图 3-1 商品列表" title="图 3-1 商品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8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3-1 商品列表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商品列表支持关键词搜索、分类筛选、价格区间、排序（默认/最新/价格升降），分页返回。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实现在哪</w:t>
      </w:r>
      <w:r>
        <w:rPr>
          <w:rFonts w:ascii="Times New Roman" w:hAnsi="Times New Roman" w:eastAsia="宋体"/>
          <w:sz w:val="24"/>
        </w:rPr>
        <w:t xml:space="preserve">：</w:t>
      </w:r>
      <w:r>
        <w:rPr>
          <w:rFonts w:ascii="Times New Roman" w:cs="Consolas" w:eastAsia="宋体" w:hAnsi="Times New Roman"/>
          <w:sz w:val="24"/>
        </w:rPr>
        <w:t xml:space="preserve">views/ProductList.vue</w:t>
      </w:r>
      <w:r>
        <w:rPr>
          <w:rFonts w:ascii="Times New Roman" w:hAnsi="Times New Roman" w:eastAsia="宋体"/>
          <w:sz w:val="24"/>
        </w:rPr>
        <w:t xml:space="preserve"> 调 </w:t>
      </w:r>
      <w:r>
        <w:rPr>
          <w:rFonts w:ascii="Times New Roman" w:cs="Consolas" w:eastAsia="宋体" w:hAnsi="Times New Roman"/>
          <w:sz w:val="24"/>
        </w:rPr>
        <w:t xml:space="preserve">GET /api/products</w:t>
      </w:r>
      <w:r>
        <w:rPr>
          <w:rFonts w:ascii="Times New Roman" w:hAnsi="Times New Roman" w:eastAsia="宋体"/>
          <w:sz w:val="24"/>
        </w:rPr>
        <w:t xml:space="preserve">，网关路由到 product-service。列表只返回在售且在库的商品（BR-08），未审核、已下架、库存为零的商品不出现在买家视野里。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2.1.2 商品详情</w:t>
      </w:r>
    </w:p>
    <w:p>
      <w:pPr>
        <w:keepNext/>
        <w:jc w:val="center"/>
      </w:pPr>
      <w:r>
        <w:drawing>
          <wp:inline distT="0" distB="0" distL="0" distR="0">
            <wp:extent cx="5760085" cy="3018094"/>
            <wp:effectExtent t="0" r="0" b="0" l="0"/>
            <wp:docPr id="12" name="图 3-2 商品详情" descr="图 3-2 商品详情" title="图 3-2 商品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1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3-2 商品详情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详情页展示标题、副标题、价格、分类、卖家、SKU 规格、库存，并提供「立即购买」与「加入购物车」。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分类名的处理</w:t>
      </w:r>
      <w:r>
        <w:rPr>
          <w:rFonts w:ascii="Times New Roman" w:hAnsi="Times New Roman" w:eastAsia="宋体"/>
          <w:sz w:val="24"/>
        </w:rPr>
        <w:t xml:space="preserve">：商品详情接口只返回 categoryId，前端额外拉一次分类列表把 ID 翻译成名称。这是开发后期发现的问题——之前一直显示「未分类」。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2.1.3 购物车</w:t>
      </w:r>
    </w:p>
    <w:p>
      <w:pPr>
        <w:keepNext/>
        <w:jc w:val="center"/>
      </w:pPr>
      <w:r>
        <w:drawing>
          <wp:inline distT="0" distB="0" distL="0" distR="0">
            <wp:extent cx="5760085" cy="2170742"/>
            <wp:effectExtent t="0" r="0" b="0" l="0"/>
            <wp:docPr id="13" name="图 3-3 购物车" descr="图 3-3 购物车" title="图 3-3 购物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17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3-3 购物车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购物车支持勾选、改数量、删除、失效商品置灰。同一 SKU 重复加购会累加数量。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跨服务取数</w:t>
      </w:r>
      <w:r>
        <w:rPr>
          <w:rFonts w:ascii="Times New Roman" w:hAnsi="Times New Roman" w:eastAsia="宋体"/>
          <w:sz w:val="24"/>
        </w:rPr>
        <w:t xml:space="preserve">：购物车只存 skuId，标题、价格、库存由 cart-service 调 product-service 补齐。这样商品改价后购物车显示的价格始终是最新的。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2.1.4 确认订单</w:t>
      </w:r>
    </w:p>
    <w:p>
      <w:pPr>
        <w:keepNext/>
        <w:jc w:val="center"/>
      </w:pPr>
      <w:r>
        <w:drawing>
          <wp:inline distT="0" distB="0" distL="0" distR="0">
            <wp:extent cx="5760085" cy="2332596"/>
            <wp:effectExtent t="0" r="0" b="0" l="0"/>
            <wp:docPr id="14" name="图 3-4 确认订单" descr="图 3-4 确认订单" title="图 3-4 确认订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33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3-4 确认订单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确认页展示收货地址、商品清单、应付总额，提交时生成幂等键。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地址校验</w:t>
      </w:r>
      <w:r>
        <w:rPr>
          <w:rFonts w:ascii="Times New Roman" w:hAnsi="Times New Roman" w:eastAsia="宋体"/>
          <w:sz w:val="24"/>
        </w:rPr>
        <w:t xml:space="preserve">：未选地址直接提示「请选择收货地址」，不发起请求。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2.1.5 支付</w:t>
      </w:r>
    </w:p>
    <w:p>
      <w:pPr>
        <w:keepNext/>
        <w:jc w:val="center"/>
      </w:pPr>
      <w:r>
        <w:drawing>
          <wp:inline distT="0" distB="0" distL="0" distR="0">
            <wp:extent cx="5760085" cy="2170742"/>
            <wp:effectExtent t="0" r="0" b="0" l="0"/>
            <wp:docPr id="15" name="图 3-5 支付页" descr="图 3-5 支付页" title="图 3-5 支付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17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3-5 支付页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支付页显示订单号、状态、金额，点击「创建支付单」后返回支付单号与「模拟支付成功」按钮。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MOCK 渠道走完整回调流程</w:t>
      </w:r>
      <w:r>
        <w:rPr>
          <w:rFonts w:ascii="Times New Roman" w:hAnsi="Times New Roman" w:eastAsia="宋体"/>
          <w:sz w:val="24"/>
        </w:rPr>
        <w:t xml:space="preserve">：不是直接把支付单改成 SUCCESS，而是构造回调报文 → 验签 → 幂等去重 → 金额核对 → 更新状态 → 通知订单。这样回调链路的逻辑才算真正被测到。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2.1.6 订单详情与状态联动</w:t>
      </w:r>
    </w:p>
    <w:p>
      <w:pPr>
        <w:keepNext/>
        <w:jc w:val="center"/>
      </w:pPr>
      <w:r>
        <w:drawing>
          <wp:inline distT="0" distB="0" distL="0" distR="0">
            <wp:extent cx="5760085" cy="2418283"/>
            <wp:effectExtent t="0" r="0" b="0" l="0"/>
            <wp:docPr id="16" name="图 3-6 支付成功后的订单详情" descr="图 3-6 支付成功后的订单详情" title="图 3-6 支付成功后的订单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1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3-6 支付成功后的订单详情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支付成功后订单状态从「待支付」变为「待发货」，可申请退款。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数据库核对</w:t>
      </w:r>
      <w:r>
        <w:rPr>
          <w:rFonts w:ascii="Times New Roman" w:hAnsi="Times New Roman" w:eastAsia="宋体"/>
          <w:sz w:val="24"/>
        </w:rPr>
        <w:t xml:space="preserve">（与截图为同一时刻）：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订单 20261027202933769688，状态 PAID，金额 17700 分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 stock_available 从 10 变为 7，stock_locked 归零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卖家端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2.2.1 商品管理</w:t>
      </w:r>
    </w:p>
    <w:p>
      <w:pPr>
        <w:keepNext/>
        <w:jc w:val="center"/>
      </w:pPr>
      <w:r>
        <w:drawing>
          <wp:inline distT="0" distB="0" distL="0" distR="0">
            <wp:extent cx="5760085" cy="1570932"/>
            <wp:effectExtent t="0" r="0" b="0" l="0"/>
            <wp:docPr id="17" name="图 3-7 卖家商品管理" descr="图 3-7 卖家商品管理" title="图 3-7 卖家商品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57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3-7 卖家商品管理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卖家可以查看自己的商品、编辑、上下架、发布新商品。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数据隔离</w:t>
      </w:r>
      <w:r>
        <w:rPr>
          <w:rFonts w:ascii="Times New Roman" w:hAnsi="Times New Roman" w:eastAsia="宋体"/>
          <w:sz w:val="24"/>
        </w:rPr>
        <w:t xml:space="preserve">：</w:t>
      </w:r>
      <w:r>
        <w:rPr>
          <w:rFonts w:ascii="Times New Roman" w:cs="Consolas" w:eastAsia="宋体" w:hAnsi="Times New Roman"/>
          <w:sz w:val="24"/>
        </w:rPr>
        <w:t xml:space="preserve">GET /api/products/mine</w:t>
      </w:r>
      <w:r>
        <w:rPr>
          <w:rFonts w:ascii="Times New Roman" w:hAnsi="Times New Roman" w:eastAsia="宋体"/>
          <w:sz w:val="24"/>
        </w:rPr>
        <w:t xml:space="preserve"> 按当前登录用户的 sellerId 过滤，卖家只能看到自己的商品。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 管理端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2.3.1 资金对账</w:t>
      </w:r>
    </w:p>
    <w:p>
      <w:pPr>
        <w:keepNext/>
        <w:jc w:val="center"/>
      </w:pPr>
      <w:r>
        <w:drawing>
          <wp:inline distT="0" distB="0" distL="0" distR="0">
            <wp:extent cx="5760085" cy="1827993"/>
            <wp:effectExtent t="0" r="0" b="0" l="0"/>
            <wp:docPr id="18" name="图 3-8 资金对账" descr="图 3-8 资金对账" title="图 3-8 资金对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2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3-8 资金对账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对账页按订单口径汇总下单总额、已收、已退、净入账，并给出订单状态分布与按日对账表。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：已收按订单状态统计（已支付/已发货/已完成/已退款），已退只统计审核通过的退款单，待审核退款单独列出，避免把「还没退的钱」算进去。</w:t>
      </w:r>
    </w:p>
    <w:p>
      <w:pPr>
        <w:pStyle w:val="Heading4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2.3.2 基础风控</w:t>
      </w:r>
    </w:p>
    <w:p>
      <w:pPr>
        <w:keepNext/>
        <w:jc w:val="center"/>
      </w:pPr>
      <w:r>
        <w:drawing>
          <wp:inline distT="0" distB="0" distL="0" distR="0">
            <wp:extent cx="5760085" cy="1656619"/>
            <wp:effectExtent t="0" r="0" b="0" l="0"/>
            <wp:docPr id="19" name="图 3-9 基础风控" descr="图 3-9 基础风控" title="图 3-9 基础风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65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图 3-9 基础风控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风控用 5 条可解释规则扫描全平台数据：高频退款、大额退款、价格异常、库存告罄、冻结账号在售。截图扫出 1 条中危——某买家累计 2 笔退款 118 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为什么用规则而不是模型</w:t>
      </w:r>
      <w:r>
        <w:rPr>
          <w:rFonts w:ascii="Times New Roman" w:hAnsi="Times New Roman" w:eastAsia="宋体"/>
          <w:sz w:val="24"/>
        </w:rPr>
        <w:t xml:space="preserve">：规则可解释、可复现、可调阈值，答辩时能逐条讲清判断依据；黑盒模型在课程规模下既没有训练数据，也无法解释单条命中。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核心代码片段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防超卖：条件 UPDATE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这是整个系统最关键的 SQL。把「库存是否足够」写进 WHERE，由数据库行锁保证原子性：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&lt;update id="reserve"&gt;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UPDATE sku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SET stock_locked = stock_locked + #{quantity},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stock_available = stock_available - #{quantity},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version = version + 1,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updated_at = NOW()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WHERE sku_id = #{skuId}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AND is_deleted = 0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AND stock_available &amp;gt;= #{quantity}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AND EXISTS (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SELECT 1 FROM product p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WHERE p.product_id = sku.product_id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AND p.is_deleted = 0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AND p.status = 'ON_SALE'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&lt;/update&gt;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影响行数为 0 即库存不足或商品已下架，直接返回 30003。</w:t>
      </w:r>
      <w:r>
        <w:rPr>
          <w:rFonts w:ascii="Times New Roman" w:hAnsi="Times New Roman" w:eastAsia="宋体"/>
          <w:b/>
          <w:bCs/>
          <w:sz w:val="24"/>
        </w:rPr>
        <w:t xml:space="preserve">不需要分布式锁</w:t>
      </w:r>
      <w:r>
        <w:rPr>
          <w:rFonts w:ascii="Times New Roman" w:hAnsi="Times New Roman" w:eastAsia="宋体"/>
          <w:sz w:val="24"/>
        </w:rPr>
        <w:t xml:space="preserve">，也不需要「先查再扣」。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下单幂等：唯一键兜底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try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idempotencyMapper.insert(OrderIdempotency.builder()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.idemKey(key)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.buyerId(buyerId)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.requestHash(requestHash)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.orderId(orderId)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.status(IdempotencyStatus.PROCESSING)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.build());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} catch (DataIntegrityViolationException e)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// 并发下另一个请求已插入，取它的结果返回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OrderIdempotency winner = idempotencyMapper.selectByKey(key);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return resume(winner, requestHash, buyerId);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}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靠 uk_idem_key 唯一索引去重，而不是「先 select 再 insert」——后者在并发下会两个请求同时查不到再同时插入。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 支付回调：固定顺序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// 1. 验签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if (!signatureService.verify(payload))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throw new BizException(ErrorCode.CALLBACK_SIGN_INVALID, "回调验签失败");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// 2. 幂等去重：uk_trade_no 唯一键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try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callbackMapper.insert(callback);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} catch (DataIntegrityViolationException e)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return Result.success(null);   // 重复回调，直接返回成功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// 3. 金额核对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if (!payment.getAmount().equals(callbackAmount))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throw new BizException(ErrorCode.CALLBACK_AMOUNT_MISMATCH, "回调金额不一致");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// 4. 更新支付单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// 5. 事务提交后通知订单（远程调用不进事务）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顺序不能换</w:t>
      </w:r>
      <w:r>
        <w:rPr>
          <w:rFonts w:ascii="Times New Roman" w:hAnsi="Times New Roman" w:eastAsia="宋体"/>
          <w:sz w:val="24"/>
        </w:rPr>
        <w:t xml:space="preserve">：先验签再谈幂等，否则伪造的回调会污染去重表；金额核对放在更新状态之前，避免「先改状态再发现金额不对」。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3.4 退款回补库存：状态抢占保证幂等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-- 第一步：抢状态，只有一次调用会成功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UPDATE stock_reservation SET status = 'REFUNDED'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WHERE order_id = ? AND status = 'CONFIRMED';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-- 第二步：仅当第一步影响行数 &gt; 0 才回补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UPDATE sku SET stock_available = stock_available + #{quantity}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WHERE sku_id = ? AND is_deleted = 0;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如果直接「先查状态再回补」，两次并发退款会重复加库存。用条件更新抢状态，天然只有一个赢家。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3.5 网关白名单：带令牌也注入身份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if (isWhiteListed(request.getMethod(), path))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String auth = request.getHeaders().getFirst(HttpHeaders.AUTHORIZATION);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if (auth != null &amp;&amp; auth.startsWith("Bearer "))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Claims claims = tryParse(auth.substring(7), path);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if (claims != null) {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return chain.filter(exchange.mutate()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        .request(withIdentity(request, claims))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            .build());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    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}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    return chain.filter(exchange);   // 无令牌按匿名放行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}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为什么需要这段</w:t>
      </w:r>
      <w:r>
        <w:rPr>
          <w:rFonts w:ascii="Times New Roman" w:hAnsi="Times New Roman" w:eastAsia="宋体"/>
          <w:sz w:val="24"/>
        </w:rPr>
        <w:t xml:space="preserve">：白名单接口原本「直接放行、完全不解析令牌」，导致卖家访问自己待审核的商品时，下游收到的 userId 是 null，被当成匿名访客拒绝。修复后白名单仍允许匿名，但带有效令牌时会注入身份。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联调与问题记录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开发过程中遇到并修复的问题，按发现顺序：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3-3 联调中发现的问题与修复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790"/>
        <w:gridCol w:w="2568"/>
        <w:gridCol w:w="3151"/>
        <w:gridCol w:w="2344"/>
      </w:tblGrid>
      <w:tr>
        <w:trPr>
          <w:cantSplit/>
          <w:tblHeader/>
        </w:trPr>
        <w:tc>
          <w:tcPr>
            <w:tcW w:type="dxa" w:w="7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序号</w:t>
            </w:r>
          </w:p>
        </w:tc>
        <w:tc>
          <w:tcPr>
            <w:tcW w:type="dxa" w:w="256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现象</w:t>
            </w:r>
          </w:p>
        </w:tc>
        <w:tc>
          <w:tcPr>
            <w:tcW w:type="dxa" w:w="315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根因</w:t>
            </w:r>
          </w:p>
        </w:tc>
        <w:tc>
          <w:tcPr>
            <w:tcW w:type="dxa" w:w="234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790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2569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加购/立即购买提示「缺少 productId」</w:t>
            </w:r>
          </w:p>
        </w:tc>
        <w:tc>
          <w:tcPr>
            <w:tcW w:type="dxa" w:w="3151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前端只传 skuId，漏了 productId</w:t>
            </w:r>
          </w:p>
        </w:tc>
        <w:tc>
          <w:tcPr>
            <w:tcW w:type="dxa" w:w="234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 productId</w:t>
            </w:r>
          </w:p>
        </w:tc>
      </w:tr>
      <w:tr>
        <w:trPr>
          <w:cantSplit/>
        </w:trPr>
        <w:tc>
          <w:tcPr>
            <w:tcW w:type="dxa" w:w="7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5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卖家打不开自己待审核商品的编辑页</w:t>
            </w:r>
          </w:p>
        </w:tc>
        <w:tc>
          <w:tcPr>
            <w:tcW w:type="dxa" w:w="31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白名单不解析令牌，下游拿不到身份</w:t>
            </w:r>
          </w:p>
        </w:tc>
        <w:tc>
          <w:tcPr>
            <w:tcW w:type="dxa" w:w="23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白名单带令牌时注入身份</w:t>
            </w:r>
          </w:p>
        </w:tc>
      </w:tr>
      <w:tr>
        <w:trPr>
          <w:cantSplit/>
        </w:trPr>
        <w:tc>
          <w:tcPr>
            <w:tcW w:type="dxa" w:w="7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5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商品详情分类一直显示「未分类」</w:t>
            </w:r>
          </w:p>
        </w:tc>
        <w:tc>
          <w:tcPr>
            <w:tcW w:type="dxa" w:w="31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接口只返回 categoryId，前端取 categoryName</w:t>
            </w:r>
          </w:p>
        </w:tc>
        <w:tc>
          <w:tcPr>
            <w:tcW w:type="dxa" w:w="23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前端加分类映射</w:t>
            </w:r>
          </w:p>
        </w:tc>
      </w:tr>
      <w:tr>
        <w:trPr>
          <w:cantSplit/>
        </w:trPr>
        <w:tc>
          <w:tcPr>
            <w:tcW w:type="dxa" w:w="7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25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退款后库存不恢复</w:t>
            </w:r>
          </w:p>
        </w:tc>
        <w:tc>
          <w:tcPr>
            <w:tcW w:type="dxa" w:w="31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 与 product 之间没有回补通道</w:t>
            </w:r>
          </w:p>
        </w:tc>
        <w:tc>
          <w:tcPr>
            <w:tcW w:type="dxa" w:w="23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新增回补接口 + 状态抢占</w:t>
            </w:r>
          </w:p>
        </w:tc>
      </w:tr>
      <w:tr>
        <w:trPr>
          <w:cantSplit/>
        </w:trPr>
        <w:tc>
          <w:tcPr>
            <w:tcW w:type="dxa" w:w="7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25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下单报「缺少请求头 X-User-Id」</w:t>
            </w:r>
          </w:p>
        </w:tc>
        <w:tc>
          <w:tcPr>
            <w:tcW w:type="dxa" w:w="315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调 user 查地址时未传该头</w:t>
            </w:r>
          </w:p>
        </w:tc>
        <w:tc>
          <w:tcPr>
            <w:tcW w:type="dxa" w:w="234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补传请求头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共同点</w:t>
      </w:r>
      <w:r>
        <w:rPr>
          <w:rFonts w:ascii="Times New Roman" w:hAnsi="Times New Roman" w:eastAsia="宋体"/>
          <w:sz w:val="24"/>
        </w:rPr>
        <w:t xml:space="preserve">：这些问题代码「看起来都对」，只有真正跑起来才发现。其中第 2、4 条是链路级缺陷，单看某一层完全正常。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5. 运行验证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本地环境启动 Nacos + MySQL + 六个 JVM 进程 + 前端，跑通完整链路：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3-4 完整链路运行验证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84"/>
        <w:gridCol w:w="1108"/>
        <w:gridCol w:w="6462"/>
      </w:tblGrid>
      <w:tr>
        <w:trPr>
          <w:cantSplit/>
          <w:tblHeader/>
        </w:trPr>
        <w:tc>
          <w:tcPr>
            <w:tcW w:type="dxa" w:w="128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环节</w:t>
            </w:r>
          </w:p>
        </w:tc>
        <w:tc>
          <w:tcPr>
            <w:tcW w:type="dxa" w:w="110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  <w:tc>
          <w:tcPr>
            <w:tcW w:type="dxa" w:w="64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证据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注册登录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 签发与校验正常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购物车显示 3 件、177 元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 20261027202933769688，库存预占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支付单创建、MOCK 回调成功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状态联动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 PENDING_PAYMENT 变为 PAID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库存联动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 10 变为 7，锁定归零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全额退款后订单变为 REFUNDED，库存回补</w:t>
            </w:r>
          </w:p>
        </w:tc>
      </w:tr>
      <w:tr>
        <w:trPr>
          <w:cantSplit/>
        </w:trPr>
        <w:tc>
          <w:tcPr>
            <w:tcW w:type="dxa" w:w="128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角色隔离</w:t>
            </w:r>
          </w:p>
        </w:tc>
        <w:tc>
          <w:tcPr>
            <w:tcW w:type="dxa" w:w="110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  <w:tc>
          <w:tcPr>
            <w:tcW w:type="dxa" w:w="64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卖家只见自己的商品与退款，管理员全量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6. 原型访问方式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src\scripts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start      :: 启动 Nacos + 六个服务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status     :: 查看端口与注册状态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前端单独启动：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src\web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pnpm install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pnpm dev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访问 </w:t>
      </w:r>
      <w:hyperlink w:history="1" r:id="rId4as6g4vh9jp4c6kujv9sp">
        <w:r>
          <w:t xml:space="preserve">http://localhost:5173</w:t>
        </w:r>
      </w:hyperlink>
      <w:r>
        <w:rPr>
          <w:rFonts w:ascii="Times New Roman" w:hAnsi="Times New Roman" w:eastAsia="宋体"/>
          <w:sz w:val="24"/>
        </w:rPr>
        <w:t xml:space="preserve"> 。详细步骤见《本地启动指南》。</w:t>
      </w:r>
    </w:p>
    <w:sectPr>
      <w:footerReference w:type="default" r:id="rId7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as6g4vh9jp4c6kujv9sp" Type="http://schemas.openxmlformats.org/officeDocument/2006/relationships/hyperlink" Target="http://localhost:5173" TargetMode="External"/><Relationship Id="rId8" Type="http://schemas.openxmlformats.org/officeDocument/2006/relationships/image" Target="media/f61b41f1327c23894b003b7c57cabb7e50f01aff.png"/><Relationship Id="rId9" Type="http://schemas.openxmlformats.org/officeDocument/2006/relationships/image" Target="media/7b1c2130b8c9f674219ba5df3cc87f7e98b7e0b8.png"/><Relationship Id="rId10" Type="http://schemas.openxmlformats.org/officeDocument/2006/relationships/image" Target="media/76bc2ee458dcddbd8b6deee0c1bf12b355ce27da.png"/><Relationship Id="rId11" Type="http://schemas.openxmlformats.org/officeDocument/2006/relationships/image" Target="media/2dd442656962ec845e910fecd5b650ddccdbba0c.png"/><Relationship Id="rId12" Type="http://schemas.openxmlformats.org/officeDocument/2006/relationships/image" Target="media/648b8a65bcc390a26a245094085c54647a562eb2.png"/><Relationship Id="rId13" Type="http://schemas.openxmlformats.org/officeDocument/2006/relationships/image" Target="media/cdc2a84354e38e4523e2951ffb11be5aecbe8821.png"/><Relationship Id="rId14" Type="http://schemas.openxmlformats.org/officeDocument/2006/relationships/image" Target="media/fac939c7c16a04bad184d3e8e1dd8b6ce713b809.png"/><Relationship Id="rId15" Type="http://schemas.openxmlformats.org/officeDocument/2006/relationships/image" Target="media/c99e45384e160cf10228cd983607d4bffedc28aa.png"/><Relationship Id="rId16" Type="http://schemas.openxmlformats.org/officeDocument/2006/relationships/image" Target="media/b5015396925c9296902d90b24dde30b02504d12d.png"/><Relationship Id="rId17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2026-10-27T12:44:52.239Z</dcterms:created>
  <dcterms:modified xsi:type="dcterms:W3CDTF">2026-10-27T12:44:52.239Z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