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  <w:spacing w:before="0" w:after="0" w:line="360" w:lineRule="auto"/>
        <w:ind w:firstLineChars="0" w:firstLine="0"/>
      </w:pPr>
      <w:r>
        <w:rPr>
          <w:rFonts w:ascii="Times New Roman" w:hAnsi="Times New Roman" w:eastAsia="宋体"/>
          <w:b w:val="0"/>
          <w:sz w:val="24"/>
        </w:rPr>
      </w:r>
    </w:p>
    <w:p>
      <w:pPr>
        <w:jc w:val="center"/>
        <w:spacing w:before="0" w:after="160" w:line="360" w:lineRule="auto"/>
        <w:ind w:firstLineChars="0" w:firstLine="0"/>
      </w:pPr>
      <w:r>
        <w:rPr>
          <w:rFonts w:ascii="SimHei" w:hAnsi="SimHei" w:eastAsia="黑体"/>
          <w:b/>
          <w:sz w:val="52"/>
        </w:rPr>
        <w:t>河北工业大学</w:t>
      </w:r>
    </w:p>
    <w:p>
      <w:pPr>
        <w:jc w:val="center"/>
        <w:spacing w:before="0" w:after="440" w:line="360" w:lineRule="auto"/>
        <w:ind w:firstLineChars="0" w:firstLine="0"/>
      </w:pPr>
      <w:r>
        <w:rPr>
          <w:rFonts w:ascii="SimHei" w:hAnsi="SimHei" w:eastAsia="黑体"/>
          <w:b/>
          <w:sz w:val="52"/>
        </w:rPr>
        <w:t>软件工程课程实验</w:t>
      </w:r>
    </w:p>
    <w:p>
      <w:pPr>
        <w:jc w:val="center"/>
        <w:spacing w:before="0" w:after="240" w:line="360" w:lineRule="auto"/>
        <w:ind w:firstLineChars="0" w:firstLine="0"/>
      </w:pPr>
      <w:r>
        <w:rPr>
          <w:rFonts w:ascii="SimHei" w:hAnsi="SimHei" w:eastAsia="黑体"/>
          <w:b/>
          <w:sz w:val="68"/>
        </w:rPr>
        <w:t>实  验  报  告</w:t>
      </w:r>
    </w:p>
    <w:p>
      <w:pPr>
        <w:jc w:val="center"/>
        <w:spacing w:before="0" w:after="760" w:line="360" w:lineRule="auto"/>
        <w:ind w:firstLineChars="0" w:firstLine="0"/>
      </w:pPr>
      <w:r>
        <w:rPr>
          <w:rFonts w:ascii="Times New Roman" w:hAnsi="Times New Roman" w:eastAsia="楷体"/>
          <w:b w:val="0"/>
          <w:sz w:val="26"/>
        </w:rPr>
        <w:t>（第四部分  测试报告）</w:t>
      </w:r>
    </w:p>
    <w:p>
      <w:pPr>
        <w:jc w:val="center"/>
        <w:spacing w:before="0" w:after="880" w:line="360" w:lineRule="auto"/>
        <w:ind w:firstLineChars="0" w:firstLine="0"/>
      </w:pPr>
      <w:r>
        <w:rPr>
          <w:rFonts w:ascii="SimHei" w:hAnsi="SimHei" w:eastAsia="黑体"/>
          <w:b w:val="0"/>
          <w:sz w:val="32"/>
        </w:rPr>
        <w:t>题目：</w:t>
      </w:r>
      <w:r>
        <w:rPr>
          <w:rFonts w:ascii="SimHei" w:hAnsi="SimHei" w:eastAsia="黑体"/>
          <w:b/>
          <w:sz w:val="32"/>
        </w:rPr>
        <w:t>云原生微服务架构实践——在线商城系统</w:t>
      </w:r>
    </w:p>
    <w:p>
      <w:pPr>
        <w:jc w:val="center"/>
        <w:spacing w:before="0" w:after="180" w:line="336" w:lineRule="auto"/>
        <w:ind w:firstLineChars="0" w:firstLine="0"/>
      </w:pPr>
      <w:r>
        <w:rPr>
          <w:rFonts w:ascii="Times New Roman" w:hAnsi="Times New Roman" w:eastAsia="宋体"/>
          <w:b w:val="0"/>
          <w:sz w:val="28"/>
        </w:rPr>
        <w:t>专　　业：</w:t>
      </w:r>
      <w:r>
        <w:rPr>
          <w:rFonts w:ascii="Times New Roman" w:hAnsi="Times New Roman" w:eastAsia="宋体"/>
          <w:b w:val="0"/>
          <w:sz w:val="28"/>
          <w:u w:val="single"/>
        </w:rPr>
        <w:t xml:space="preserve">                </w:t>
      </w:r>
    </w:p>
    <w:p>
      <w:pPr>
        <w:jc w:val="center"/>
        <w:spacing w:before="0" w:after="180" w:line="336" w:lineRule="auto"/>
        <w:ind w:firstLineChars="0" w:firstLine="0"/>
      </w:pPr>
      <w:r>
        <w:rPr>
          <w:rFonts w:ascii="Times New Roman" w:hAnsi="Times New Roman" w:eastAsia="宋体"/>
          <w:b w:val="0"/>
          <w:sz w:val="28"/>
        </w:rPr>
        <w:t>班　　级：</w:t>
      </w:r>
      <w:r>
        <w:rPr>
          <w:rFonts w:ascii="Times New Roman" w:hAnsi="Times New Roman" w:eastAsia="宋体"/>
          <w:b w:val="0"/>
          <w:sz w:val="28"/>
          <w:u w:val="single"/>
        </w:rPr>
        <w:t xml:space="preserve">                </w:t>
      </w:r>
    </w:p>
    <w:p>
      <w:pPr>
        <w:jc w:val="center"/>
        <w:spacing w:before="0" w:after="180" w:line="336" w:lineRule="auto"/>
        <w:ind w:firstLineChars="0" w:firstLine="0"/>
      </w:pPr>
      <w:r>
        <w:rPr>
          <w:rFonts w:ascii="Times New Roman" w:hAnsi="Times New Roman" w:eastAsia="宋体"/>
          <w:b w:val="0"/>
          <w:sz w:val="28"/>
        </w:rPr>
        <w:t>组　　　：</w:t>
      </w:r>
      <w:r>
        <w:rPr>
          <w:rFonts w:ascii="Times New Roman" w:hAnsi="Times New Roman" w:eastAsia="宋体"/>
          <w:b w:val="0"/>
          <w:sz w:val="28"/>
          <w:u w:val="single"/>
        </w:rPr>
        <w:t xml:space="preserve">                </w:t>
      </w:r>
    </w:p>
    <w:p>
      <w:pPr>
        <w:jc w:val="center"/>
        <w:spacing w:before="0" w:after="180" w:line="336" w:lineRule="auto"/>
        <w:ind w:firstLineChars="0" w:firstLine="0"/>
      </w:pPr>
      <w:r>
        <w:rPr>
          <w:rFonts w:ascii="Times New Roman" w:hAnsi="Times New Roman" w:eastAsia="宋体"/>
          <w:b w:val="0"/>
          <w:sz w:val="28"/>
        </w:rPr>
        <w:t>组　　长：</w:t>
      </w:r>
      <w:r>
        <w:rPr>
          <w:rFonts w:ascii="Times New Roman" w:hAnsi="Times New Roman" w:eastAsia="宋体"/>
          <w:b w:val="0"/>
          <w:sz w:val="28"/>
          <w:u w:val="single"/>
        </w:rPr>
        <w:t xml:space="preserve">                </w:t>
      </w:r>
    </w:p>
    <w:p>
      <w:pPr>
        <w:jc w:val="center"/>
        <w:spacing w:before="0" w:after="180" w:line="336" w:lineRule="auto"/>
        <w:ind w:firstLineChars="0" w:firstLine="0"/>
      </w:pPr>
      <w:r>
        <w:rPr>
          <w:rFonts w:ascii="Times New Roman" w:hAnsi="Times New Roman" w:eastAsia="宋体"/>
          <w:b w:val="0"/>
          <w:sz w:val="28"/>
        </w:rPr>
        <w:t>成　　员：</w:t>
      </w:r>
      <w:r>
        <w:rPr>
          <w:rFonts w:ascii="Times New Roman" w:hAnsi="Times New Roman" w:eastAsia="宋体"/>
          <w:b w:val="0"/>
          <w:sz w:val="28"/>
          <w:u w:val="single"/>
        </w:rPr>
        <w:t xml:space="preserve">                </w:t>
      </w:r>
    </w:p>
    <w:p>
      <w:pPr>
        <w:jc w:val="center"/>
        <w:spacing w:before="0" w:after="180" w:line="336" w:lineRule="auto"/>
        <w:ind w:firstLineChars="0" w:firstLine="0"/>
      </w:pPr>
      <w:r>
        <w:rPr>
          <w:rFonts w:ascii="Times New Roman" w:hAnsi="Times New Roman" w:eastAsia="宋体"/>
          <w:b w:val="0"/>
          <w:sz w:val="28"/>
        </w:rPr>
        <w:t>指导教师：</w:t>
      </w:r>
      <w:r>
        <w:rPr>
          <w:rFonts w:ascii="Times New Roman" w:hAnsi="Times New Roman" w:eastAsia="宋体"/>
          <w:b w:val="0"/>
          <w:sz w:val="28"/>
          <w:u w:val="single"/>
        </w:rPr>
        <w:t xml:space="preserve">                </w:t>
      </w:r>
    </w:p>
    <w:p>
      <w:pPr>
        <w:jc w:val="center"/>
        <w:spacing w:before="0" w:after="180" w:line="336" w:lineRule="auto"/>
        <w:ind w:firstLineChars="0" w:firstLine="0"/>
      </w:pPr>
      <w:r>
        <w:rPr>
          <w:rFonts w:ascii="Times New Roman" w:hAnsi="Times New Roman" w:eastAsia="宋体"/>
          <w:b w:val="0"/>
          <w:sz w:val="28"/>
        </w:rPr>
        <w:t>完成日期：</w:t>
      </w:r>
      <w:r>
        <w:rPr>
          <w:rFonts w:ascii="Times New Roman" w:hAnsi="Times New Roman" w:eastAsia="宋体"/>
          <w:b w:val="0"/>
          <w:sz w:val="28"/>
          <w:u w:val="single"/>
        </w:rPr>
        <w:t xml:space="preserve">                </w:t>
      </w:r>
    </w:p>
    <w:p>
      <w:pPr>
        <w:spacing w:before="0" w:after="0"/>
        <w:ind w:firstLineChars="0" w:firstLine="0"/>
      </w:pPr>
      <w:r>
        <w:br w:type="page"/>
      </w:r>
    </w:p>
    <w:p>
      <w:pPr>
        <w:pStyle w:val="Heading2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8"/>
        </w:rPr>
        <w:t xml:space="preserve">1. 引言</w:t>
      </w:r>
    </w:p>
    <w:p>
      <w:pPr>
        <w:pStyle w:val="Heading3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4"/>
        </w:rPr>
        <w:t xml:space="preserve">1.1 测试方法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本项目采用「单元测试 + 集成测试 + 并发测试」三层验证：</w:t>
      </w:r>
    </w:p>
    <w:p>
      <w:pPr>
        <w:spacing w:line="360" w:lineRule="auto" w:before="120" w:after="60"/>
        <w:ind w:firstLine="0"/>
        <w:jc w:val="center"/>
      </w:pPr>
      <w:r>
        <w:rPr>
          <w:rFonts w:ascii="Times New Roman" w:hAnsi="Times New Roman" w:eastAsia="宋体"/>
          <w:b/>
          <w:sz w:val="24"/>
        </w:rPr>
        <w:t>表 4-1 三层测试策略</w:t>
      </w:r>
    </w:p>
    <w:tbl>
      <w:tblPr>
        <w:tblW w:type="dxa" w:w="8855"/>
        <w:jc w:val="center"/>
        <w:tblLayout w:type="fixed"/>
        <w:tblBorders>
          <w:top w:val="single" w:sz="12" w:color="000000" w:space="0"/>
          <w:bottom w:val="single" w:sz="12" w:color="000000" w:space="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1125"/>
        <w:gridCol w:w="1618"/>
        <w:gridCol w:w="4052"/>
        <w:gridCol w:w="2058"/>
      </w:tblGrid>
      <w:tr>
        <w:trPr>
          <w:cantSplit/>
          <w:tblHeader/>
        </w:trPr>
        <w:tc>
          <w:tcPr>
            <w:tcW w:type="dxa" w:w="1126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层次</w:t>
            </w:r>
          </w:p>
        </w:tc>
        <w:tc>
          <w:tcPr>
            <w:tcW w:type="dxa" w:w="1619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目的</w:t>
            </w:r>
          </w:p>
        </w:tc>
        <w:tc>
          <w:tcPr>
            <w:tcW w:type="dxa" w:w="4052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工具</w:t>
            </w:r>
          </w:p>
        </w:tc>
        <w:tc>
          <w:tcPr>
            <w:tcW w:type="dxa" w:w="2058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数据来源</w:t>
            </w:r>
          </w:p>
        </w:tc>
      </w:tr>
      <w:tr>
        <w:trPr>
          <w:cantSplit/>
        </w:trPr>
        <w:tc>
          <w:tcPr>
            <w:tcW w:type="dxa" w:w="1126"/>
          </w:tcPr>
          <w:p>
            <w:pPr>
              <w:keepNext/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单元测试</w:t>
            </w:r>
          </w:p>
        </w:tc>
        <w:tc>
          <w:tcPr>
            <w:tcW w:type="dxa" w:w="1619"/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验证单个类的逻辑正确性</w:t>
            </w:r>
          </w:p>
        </w:tc>
        <w:tc>
          <w:tcPr>
            <w:tcW w:type="dxa" w:w="4052"/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JUnit 5 + Mockito</w:t>
            </w:r>
          </w:p>
        </w:tc>
        <w:tc>
          <w:tcPr>
            <w:tcW w:type="dxa" w:w="2058"/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纯内存，不连数据库</w:t>
            </w:r>
          </w:p>
        </w:tc>
      </w:tr>
      <w:tr>
        <w:trPr>
          <w:cantSplit/>
        </w:trPr>
        <w:tc>
          <w:tcPr>
            <w:tcW w:type="dxa" w:w="1126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集成测试</w:t>
            </w:r>
          </w:p>
        </w:tc>
        <w:tc>
          <w:tcPr>
            <w:tcW w:type="dxa" w:w="1619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验证服务的接口与持久化</w:t>
            </w:r>
          </w:p>
        </w:tc>
        <w:tc>
          <w:tcPr>
            <w:tcW w:type="dxa" w:w="405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Spring Boot Test + H2</w:t>
            </w:r>
          </w:p>
        </w:tc>
        <w:tc>
          <w:tcPr>
            <w:tcW w:type="dxa" w:w="205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H2 内存库，表结构与生产一致</w:t>
            </w:r>
          </w:p>
        </w:tc>
      </w:tr>
      <w:tr>
        <w:trPr>
          <w:cantSplit/>
        </w:trPr>
        <w:tc>
          <w:tcPr>
            <w:tcW w:type="dxa" w:w="1126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并发测试</w:t>
            </w:r>
          </w:p>
        </w:tc>
        <w:tc>
          <w:tcPr>
            <w:tcW w:type="dxa" w:w="1619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验证竞态条件下的数据正确性</w:t>
            </w:r>
          </w:p>
        </w:tc>
        <w:tc>
          <w:tcPr>
            <w:tcW w:type="dxa" w:w="405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多线程 + CountDownLatch</w:t>
            </w:r>
          </w:p>
        </w:tc>
        <w:tc>
          <w:tcPr>
            <w:tcW w:type="dxa" w:w="205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H2 隔离库 + Mock 下游</w:t>
            </w:r>
          </w:p>
        </w:tc>
      </w:tr>
    </w:tbl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/>
          <w:bCs/>
          <w:sz w:val="24"/>
        </w:rPr>
        <w:t xml:space="preserve">为什么不只用单元测试</w:t>
      </w:r>
      <w:r>
        <w:rPr>
          <w:rFonts w:ascii="Times New Roman" w:hAnsi="Times New Roman" w:eastAsia="宋体"/>
          <w:sz w:val="24"/>
        </w:rPr>
        <w:t xml:space="preserve">：微服务的主要风险不是单个方法写错，而是「并发下的数据竞争」和「跨服务调用断链」。这两类问题单测测不出来，必须靠并发测试和真实联调。</w:t>
      </w:r>
    </w:p>
    <w:p>
      <w:pPr>
        <w:pStyle w:val="Heading3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4"/>
        </w:rPr>
        <w:t xml:space="preserve">1.2 测试过程</w:t>
      </w:r>
    </w:p>
    <w:p>
      <w:pPr>
        <w:pStyle w:val="ListParagraph"/>
        <w:numPr>
          <w:ilvl w:val="0"/>
          <w:numId w:val="2"/>
        </w:numPr>
        <w:spacing w:line="360" w:lineRule="auto"/>
        <w:ind w:firstLine="480"/>
        <w:jc w:val="both"/>
      </w:pPr>
      <w:r>
        <w:rPr>
          <w:rFonts w:ascii="Times New Roman" w:hAnsi="Times New Roman" w:eastAsia="宋体"/>
          <w:b/>
          <w:bCs/>
          <w:sz w:val="24"/>
        </w:rPr>
        <w:t xml:space="preserve">随开发同步补充</w:t>
      </w:r>
      <w:r>
        <w:rPr>
          <w:rFonts w:ascii="Times New Roman" w:hAnsi="Times New Roman" w:eastAsia="宋体"/>
          <w:sz w:val="24"/>
        </w:rPr>
        <w:t xml:space="preserve">：每个功能开发时同时写对应测试，不留到最后补</w:t>
      </w:r>
    </w:p>
    <w:p>
      <w:pPr>
        <w:pStyle w:val="ListParagraph"/>
        <w:numPr>
          <w:ilvl w:val="0"/>
          <w:numId w:val="2"/>
        </w:numPr>
        <w:spacing w:line="360" w:lineRule="auto"/>
        <w:ind w:firstLine="480"/>
        <w:jc w:val="both"/>
      </w:pPr>
      <w:r>
        <w:rPr>
          <w:rFonts w:ascii="Times New Roman" w:hAnsi="Times New Roman" w:eastAsia="宋体"/>
          <w:b/>
          <w:bCs/>
          <w:sz w:val="24"/>
        </w:rPr>
        <w:t xml:space="preserve">修复前先构造失败用例</w:t>
      </w:r>
      <w:r>
        <w:rPr>
          <w:rFonts w:ascii="Times New Roman" w:hAnsi="Times New Roman" w:eastAsia="宋体"/>
          <w:sz w:val="24"/>
        </w:rPr>
        <w:t xml:space="preserve">：发现缺陷时先写出能复现的测试，再改代码，确保修复有效</w:t>
      </w:r>
    </w:p>
    <w:p>
      <w:pPr>
        <w:pStyle w:val="ListParagraph"/>
        <w:numPr>
          <w:ilvl w:val="0"/>
          <w:numId w:val="2"/>
        </w:numPr>
        <w:spacing w:line="360" w:lineRule="auto"/>
        <w:ind w:firstLine="480"/>
        <w:jc w:val="both"/>
      </w:pPr>
      <w:r>
        <w:rPr>
          <w:rFonts w:ascii="Times New Roman" w:hAnsi="Times New Roman" w:eastAsia="宋体"/>
          <w:b/>
          <w:bCs/>
          <w:sz w:val="24"/>
        </w:rPr>
        <w:t xml:space="preserve">回归验证</w:t>
      </w:r>
      <w:r>
        <w:rPr>
          <w:rFonts w:ascii="Times New Roman" w:hAnsi="Times New Roman" w:eastAsia="宋体"/>
          <w:sz w:val="24"/>
        </w:rPr>
        <w:t xml:space="preserve">：每次改动后跑全量测试，确认没破坏既有功能</w:t>
      </w:r>
    </w:p>
    <w:p>
      <w:pPr>
        <w:pStyle w:val="Heading3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4"/>
        </w:rPr>
        <w:t xml:space="preserve">1.3 测试工具</w:t>
      </w:r>
    </w:p>
    <w:p>
      <w:pPr>
        <w:pStyle w:val="Heading2"/>
        <w:keepNext/>
        <w:spacing w:before="120" w:after="60" w:line="360" w:lineRule="auto"/>
        <w:ind w:firstLine="0"/>
        <w:jc w:val="center"/>
      </w:pPr>
      <w:r>
        <w:rPr>
          <w:rFonts w:ascii="Times New Roman" w:hAnsi="Times New Roman" w:eastAsia="宋体"/>
          <w:b/>
          <w:sz w:val="24"/>
        </w:rPr>
        <w:t>表 4-2 测试工具与版本</w:t>
      </w:r>
    </w:p>
    <w:tbl>
      <w:tblPr>
        <w:tblW w:type="dxa" w:w="8855"/>
        <w:jc w:val="center"/>
        <w:tblLayout w:type="fixed"/>
        <w:tblBorders>
          <w:top w:val="single" w:sz="12" w:color="000000" w:space="0"/>
          <w:bottom w:val="single" w:sz="12" w:color="000000" w:space="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2883"/>
        <w:gridCol w:w="3031"/>
        <w:gridCol w:w="2940"/>
      </w:tblGrid>
      <w:tr>
        <w:trPr>
          <w:cantSplit/>
          <w:tblHeader/>
        </w:trPr>
        <w:tc>
          <w:tcPr>
            <w:tcW w:type="dxa" w:w="2883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工具</w:t>
            </w:r>
          </w:p>
        </w:tc>
        <w:tc>
          <w:tcPr>
            <w:tcW w:type="dxa" w:w="3031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版本</w:t>
            </w:r>
          </w:p>
        </w:tc>
        <w:tc>
          <w:tcPr>
            <w:tcW w:type="dxa" w:w="2941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用途</w:t>
            </w:r>
          </w:p>
        </w:tc>
      </w:tr>
      <w:tr>
        <w:trPr>
          <w:cantSplit/>
        </w:trPr>
        <w:tc>
          <w:tcPr>
            <w:tcW w:type="dxa" w:w="2883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JUnit 5</w:t>
            </w:r>
          </w:p>
        </w:tc>
        <w:tc>
          <w:tcPr>
            <w:tcW w:type="dxa" w:w="3031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Spring Boot 3.2.5 内置</w:t>
            </w:r>
          </w:p>
        </w:tc>
        <w:tc>
          <w:tcPr>
            <w:tcW w:type="dxa" w:w="2941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测试框架</w:t>
            </w:r>
          </w:p>
        </w:tc>
      </w:tr>
      <w:tr>
        <w:trPr>
          <w:cantSplit/>
        </w:trPr>
        <w:tc>
          <w:tcPr>
            <w:tcW w:type="dxa" w:w="2883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Mockito</w:t>
            </w:r>
          </w:p>
        </w:tc>
        <w:tc>
          <w:tcPr>
            <w:tcW w:type="dxa" w:w="3031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Spring Boot 3.2.5 内置</w:t>
            </w:r>
          </w:p>
        </w:tc>
        <w:tc>
          <w:tcPr>
            <w:tcW w:type="dxa" w:w="2941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桩与验证</w:t>
            </w:r>
          </w:p>
        </w:tc>
      </w:tr>
      <w:tr>
        <w:trPr>
          <w:cantSplit/>
        </w:trPr>
        <w:tc>
          <w:tcPr>
            <w:tcW w:type="dxa" w:w="2883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AssertJ</w:t>
            </w:r>
          </w:p>
        </w:tc>
        <w:tc>
          <w:tcPr>
            <w:tcW w:type="dxa" w:w="3031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Spring Boot 3.2.5 内置</w:t>
            </w:r>
          </w:p>
        </w:tc>
        <w:tc>
          <w:tcPr>
            <w:tcW w:type="dxa" w:w="2941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流式断言</w:t>
            </w:r>
          </w:p>
        </w:tc>
      </w:tr>
      <w:tr>
        <w:trPr>
          <w:cantSplit/>
        </w:trPr>
        <w:tc>
          <w:tcPr>
            <w:tcW w:type="dxa" w:w="2883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H2</w:t>
            </w:r>
          </w:p>
        </w:tc>
        <w:tc>
          <w:tcPr>
            <w:tcW w:type="dxa" w:w="3031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Spring Boot 3.2.5 内置</w:t>
            </w:r>
          </w:p>
        </w:tc>
        <w:tc>
          <w:tcPr>
            <w:tcW w:type="dxa" w:w="2941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内存数据库（MySQL 兼容模式）</w:t>
            </w:r>
          </w:p>
        </w:tc>
      </w:tr>
      <w:tr>
        <w:trPr>
          <w:cantSplit/>
        </w:trPr>
        <w:tc>
          <w:tcPr>
            <w:tcW w:type="dxa" w:w="2883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Maven Surefire</w:t>
            </w:r>
          </w:p>
        </w:tc>
        <w:tc>
          <w:tcPr>
            <w:tcW w:type="dxa" w:w="3031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3.1.2</w:t>
            </w:r>
          </w:p>
        </w:tc>
        <w:tc>
          <w:tcPr>
            <w:tcW w:type="dxa" w:w="2941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测试执行与报告</w:t>
            </w:r>
          </w:p>
        </w:tc>
      </w:tr>
    </w:tbl>
    <w:p>
      <w:pPr>
        <w:pStyle w:val="Heading2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8"/>
        </w:rPr>
        <w:t xml:space="preserve">2. 模块测试</w:t>
      </w:r>
    </w:p>
    <w:p>
      <w:pPr>
        <w:pStyle w:val="Heading3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4"/>
        </w:rPr>
        <w:t xml:space="preserve">2.1 测试总览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六个后端模块共 </w:t>
      </w:r>
      <w:r>
        <w:rPr>
          <w:rFonts w:ascii="Times New Roman" w:hAnsi="Times New Roman" w:eastAsia="宋体"/>
          <w:b/>
          <w:bCs/>
          <w:sz w:val="24"/>
        </w:rPr>
        <w:t xml:space="preserve">18 个测试类、79 个测试用例，全部通过</w:t>
      </w:r>
      <w:r>
        <w:rPr>
          <w:rFonts w:ascii="Times New Roman" w:hAnsi="Times New Roman" w:eastAsia="宋体"/>
          <w:sz w:val="24"/>
        </w:rPr>
        <w:t xml:space="preserve">。</w:t>
      </w:r>
    </w:p>
    <w:p>
      <w:pPr>
        <w:pStyle w:val="Heading3"/>
        <w:keepNext/>
        <w:spacing w:before="120" w:after="60" w:line="360" w:lineRule="auto"/>
        <w:ind w:firstLine="0"/>
        <w:jc w:val="center"/>
      </w:pPr>
      <w:r>
        <w:rPr>
          <w:rFonts w:ascii="Times New Roman" w:hAnsi="Times New Roman" w:eastAsia="宋体"/>
          <w:b/>
          <w:sz w:val="24"/>
        </w:rPr>
        <w:t>表 4-3 各模块测试总览</w:t>
      </w:r>
    </w:p>
    <w:tbl>
      <w:tblPr>
        <w:tblW w:type="dxa" w:w="8855"/>
        <w:jc w:val="center"/>
        <w:tblLayout w:type="fixed"/>
        <w:tblBorders>
          <w:top w:val="single" w:sz="12" w:color="000000" w:space="0"/>
          <w:bottom w:val="single" w:sz="12" w:color="000000" w:space="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807"/>
        <w:gridCol w:w="1393"/>
        <w:gridCol w:w="1288"/>
        <w:gridCol w:w="1365"/>
      </w:tblGrid>
      <w:tr>
        <w:trPr>
          <w:cantSplit/>
          <w:tblHeader/>
        </w:trPr>
        <w:tc>
          <w:tcPr>
            <w:tcW w:type="dxa" w:w="4808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模块</w:t>
            </w:r>
          </w:p>
        </w:tc>
        <w:tc>
          <w:tcPr>
            <w:tcW w:type="dxa" w:w="1393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测试类数</w:t>
            </w:r>
          </w:p>
        </w:tc>
        <w:tc>
          <w:tcPr>
            <w:tcW w:type="dxa" w:w="1288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用例数</w:t>
            </w:r>
          </w:p>
        </w:tc>
        <w:tc>
          <w:tcPr>
            <w:tcW w:type="dxa" w:w="1366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结果</w:t>
            </w:r>
          </w:p>
        </w:tc>
      </w:tr>
      <w:tr>
        <w:trPr>
          <w:cantSplit/>
        </w:trPr>
        <w:tc>
          <w:tcPr>
            <w:tcW w:type="dxa" w:w="4808"/>
          </w:tcPr>
          <w:p>
            <w:pPr>
              <w:keepNext/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gateway</w:t>
            </w:r>
          </w:p>
        </w:tc>
        <w:tc>
          <w:tcPr>
            <w:tcW w:type="dxa" w:w="1393"/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1</w:t>
            </w:r>
          </w:p>
        </w:tc>
        <w:tc>
          <w:tcPr>
            <w:tcW w:type="dxa" w:w="1288"/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9</w:t>
            </w:r>
          </w:p>
        </w:tc>
        <w:tc>
          <w:tcPr>
            <w:tcW w:type="dxa" w:w="1366"/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type="dxa" w:w="4808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user-service</w:t>
            </w:r>
          </w:p>
        </w:tc>
        <w:tc>
          <w:tcPr>
            <w:tcW w:type="dxa" w:w="1393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2</w:t>
            </w:r>
          </w:p>
        </w:tc>
        <w:tc>
          <w:tcPr>
            <w:tcW w:type="dxa" w:w="128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6</w:t>
            </w:r>
          </w:p>
        </w:tc>
        <w:tc>
          <w:tcPr>
            <w:tcW w:type="dxa" w:w="136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type="dxa" w:w="4808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product-service</w:t>
            </w:r>
          </w:p>
        </w:tc>
        <w:tc>
          <w:tcPr>
            <w:tcW w:type="dxa" w:w="1393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4</w:t>
            </w:r>
          </w:p>
        </w:tc>
        <w:tc>
          <w:tcPr>
            <w:tcW w:type="dxa" w:w="128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9</w:t>
            </w:r>
          </w:p>
        </w:tc>
        <w:tc>
          <w:tcPr>
            <w:tcW w:type="dxa" w:w="136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type="dxa" w:w="4808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cart-service</w:t>
            </w:r>
          </w:p>
        </w:tc>
        <w:tc>
          <w:tcPr>
            <w:tcW w:type="dxa" w:w="1393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3</w:t>
            </w:r>
          </w:p>
        </w:tc>
        <w:tc>
          <w:tcPr>
            <w:tcW w:type="dxa" w:w="128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20</w:t>
            </w:r>
          </w:p>
        </w:tc>
        <w:tc>
          <w:tcPr>
            <w:tcW w:type="dxa" w:w="136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type="dxa" w:w="4808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order-service</w:t>
            </w:r>
          </w:p>
        </w:tc>
        <w:tc>
          <w:tcPr>
            <w:tcW w:type="dxa" w:w="1393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5</w:t>
            </w:r>
          </w:p>
        </w:tc>
        <w:tc>
          <w:tcPr>
            <w:tcW w:type="dxa" w:w="128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20</w:t>
            </w:r>
          </w:p>
        </w:tc>
        <w:tc>
          <w:tcPr>
            <w:tcW w:type="dxa" w:w="136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type="dxa" w:w="4808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payment-service</w:t>
            </w:r>
          </w:p>
        </w:tc>
        <w:tc>
          <w:tcPr>
            <w:tcW w:type="dxa" w:w="1393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5</w:t>
            </w:r>
          </w:p>
        </w:tc>
        <w:tc>
          <w:tcPr>
            <w:tcW w:type="dxa" w:w="128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26</w:t>
            </w:r>
          </w:p>
        </w:tc>
        <w:tc>
          <w:tcPr>
            <w:tcW w:type="dxa" w:w="136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type="dxa" w:w="4808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合计</w:t>
            </w:r>
          </w:p>
        </w:tc>
        <w:tc>
          <w:tcPr>
            <w:tcW w:type="dxa" w:w="1393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18</w:t>
            </w:r>
          </w:p>
        </w:tc>
        <w:tc>
          <w:tcPr>
            <w:tcW w:type="dxa" w:w="128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79</w:t>
            </w:r>
          </w:p>
        </w:tc>
        <w:tc>
          <w:tcPr>
            <w:tcW w:type="dxa" w:w="136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0 失败</w:t>
            </w:r>
          </w:p>
        </w:tc>
      </w:tr>
    </w:tbl>
    <w:p>
      <w:pPr>
        <w:pStyle w:val="Heading3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4"/>
        </w:rPr>
        <w:t xml:space="preserve">2.2 各模块测试明细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/>
          <w:bCs/>
          <w:sz w:val="24"/>
        </w:rPr>
        <w:t xml:space="preserve">gateway（9 个）</w:t>
      </w:r>
    </w:p>
    <w:p>
      <w:pPr>
        <w:spacing w:line="360" w:lineRule="auto" w:before="120" w:after="60"/>
        <w:ind w:firstLine="0"/>
        <w:jc w:val="center"/>
      </w:pPr>
      <w:r>
        <w:rPr>
          <w:rFonts w:ascii="Times New Roman" w:hAnsi="Times New Roman" w:eastAsia="宋体"/>
          <w:b/>
          <w:sz w:val="24"/>
        </w:rPr>
        <w:t>表 4-4 gateway 测试明细</w:t>
      </w:r>
    </w:p>
    <w:tbl>
      <w:tblPr>
        <w:tblW w:type="dxa" w:w="8855"/>
        <w:jc w:val="center"/>
        <w:tblLayout w:type="fixed"/>
        <w:tblBorders>
          <w:top w:val="single" w:sz="12" w:color="000000" w:space="0"/>
          <w:bottom w:val="single" w:sz="12" w:color="000000" w:space="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6101"/>
        <w:gridCol w:w="959"/>
        <w:gridCol w:w="1794"/>
      </w:tblGrid>
      <w:tr>
        <w:trPr>
          <w:cantSplit/>
          <w:tblHeader/>
        </w:trPr>
        <w:tc>
          <w:tcPr>
            <w:tcW w:type="dxa" w:w="6101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测试类</w:t>
            </w:r>
          </w:p>
        </w:tc>
        <w:tc>
          <w:tcPr>
            <w:tcW w:type="dxa" w:w="959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用例数</w:t>
            </w:r>
          </w:p>
        </w:tc>
        <w:tc>
          <w:tcPr>
            <w:tcW w:type="dxa" w:w="1795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覆盖内容</w:t>
            </w:r>
          </w:p>
        </w:tc>
      </w:tr>
      <w:tr>
        <w:trPr>
          <w:cantSplit/>
        </w:trPr>
        <w:tc>
          <w:tcPr>
            <w:tcW w:type="dxa" w:w="6101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JwtAuthFilterWhiteListTest</w:t>
            </w:r>
          </w:p>
        </w:tc>
        <w:tc>
          <w:tcPr>
            <w:tcW w:type="dxa" w:w="959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9</w:t>
            </w:r>
          </w:p>
        </w:tc>
        <w:tc>
          <w:tcPr>
            <w:tcW w:type="dxa" w:w="1795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白名单判定：匿名放行的路径、必须登录的路径、保留段排除、跨域预检</w:t>
            </w:r>
          </w:p>
        </w:tc>
      </w:tr>
    </w:tbl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/>
          <w:bCs/>
          <w:sz w:val="24"/>
        </w:rPr>
        <w:t xml:space="preserve">user-service（6 个）</w:t>
      </w:r>
    </w:p>
    <w:p>
      <w:pPr>
        <w:spacing w:line="360" w:lineRule="auto" w:before="120" w:after="60"/>
        <w:ind w:firstLine="0"/>
        <w:jc w:val="center"/>
      </w:pPr>
      <w:r>
        <w:rPr>
          <w:rFonts w:ascii="Times New Roman" w:hAnsi="Times New Roman" w:eastAsia="宋体"/>
          <w:b/>
          <w:sz w:val="24"/>
        </w:rPr>
        <w:t>表 4-5 user-service 测试明细</w:t>
      </w:r>
    </w:p>
    <w:tbl>
      <w:tblPr>
        <w:tblW w:type="dxa" w:w="8855"/>
        <w:jc w:val="center"/>
        <w:tblLayout w:type="fixed"/>
        <w:tblBorders>
          <w:top w:val="single" w:sz="12" w:color="000000" w:space="0"/>
          <w:bottom w:val="single" w:sz="12" w:color="000000" w:space="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6490"/>
        <w:gridCol w:w="816"/>
        <w:gridCol w:w="1548"/>
      </w:tblGrid>
      <w:tr>
        <w:trPr>
          <w:cantSplit/>
          <w:tblHeader/>
        </w:trPr>
        <w:tc>
          <w:tcPr>
            <w:tcW w:type="dxa" w:w="6490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测试类</w:t>
            </w:r>
          </w:p>
        </w:tc>
        <w:tc>
          <w:tcPr>
            <w:tcW w:type="dxa" w:w="817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用例数</w:t>
            </w:r>
          </w:p>
        </w:tc>
        <w:tc>
          <w:tcPr>
            <w:tcW w:type="dxa" w:w="1548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覆盖内容</w:t>
            </w:r>
          </w:p>
        </w:tc>
      </w:tr>
      <w:tr>
        <w:trPr>
          <w:cantSplit/>
        </w:trPr>
        <w:tc>
          <w:tcPr>
            <w:tcW w:type="dxa" w:w="6490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UserAuthIntegrationTest</w:t>
            </w:r>
          </w:p>
        </w:tc>
        <w:tc>
          <w:tcPr>
            <w:tcW w:type="dxa" w:w="817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3</w:t>
            </w:r>
          </w:p>
        </w:tc>
        <w:tc>
          <w:tcPr>
            <w:tcW w:type="dxa" w:w="154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注册、登录、JWT 签发与校验</w:t>
            </w:r>
          </w:p>
        </w:tc>
      </w:tr>
      <w:tr>
        <w:trPr>
          <w:cantSplit/>
        </w:trPr>
        <w:tc>
          <w:tcPr>
            <w:tcW w:type="dxa" w:w="6490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UserRoleManagementIntegrationTest</w:t>
            </w:r>
          </w:p>
        </w:tc>
        <w:tc>
          <w:tcPr>
            <w:tcW w:type="dxa" w:w="817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3</w:t>
            </w:r>
          </w:p>
        </w:tc>
        <w:tc>
          <w:tcPr>
            <w:tcW w:type="dxa" w:w="154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角色变更、账号冻结</w:t>
            </w:r>
          </w:p>
        </w:tc>
      </w:tr>
    </w:tbl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/>
          <w:bCs/>
          <w:sz w:val="24"/>
        </w:rPr>
        <w:t xml:space="preserve">product-service（9 个）</w:t>
      </w:r>
    </w:p>
    <w:p>
      <w:pPr>
        <w:spacing w:line="360" w:lineRule="auto" w:before="120" w:after="60"/>
        <w:ind w:firstLine="0"/>
        <w:jc w:val="center"/>
      </w:pPr>
      <w:r>
        <w:rPr>
          <w:rFonts w:ascii="Times New Roman" w:hAnsi="Times New Roman" w:eastAsia="宋体"/>
          <w:b/>
          <w:sz w:val="24"/>
        </w:rPr>
        <w:t>表 4-6 product-service 测试明细</w:t>
      </w:r>
    </w:p>
    <w:tbl>
      <w:tblPr>
        <w:tblW w:type="dxa" w:w="8855"/>
        <w:jc w:val="center"/>
        <w:tblLayout w:type="fixed"/>
        <w:tblBorders>
          <w:top w:val="single" w:sz="12" w:color="000000" w:space="0"/>
          <w:bottom w:val="single" w:sz="12" w:color="000000" w:space="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5820"/>
        <w:gridCol w:w="765"/>
        <w:gridCol w:w="2269"/>
      </w:tblGrid>
      <w:tr>
        <w:trPr>
          <w:cantSplit/>
          <w:tblHeader/>
        </w:trPr>
        <w:tc>
          <w:tcPr>
            <w:tcW w:type="dxa" w:w="5820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测试类</w:t>
            </w:r>
          </w:p>
        </w:tc>
        <w:tc>
          <w:tcPr>
            <w:tcW w:type="dxa" w:w="765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用例数</w:t>
            </w:r>
          </w:p>
        </w:tc>
        <w:tc>
          <w:tcPr>
            <w:tcW w:type="dxa" w:w="2270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覆盖内容</w:t>
            </w:r>
          </w:p>
        </w:tc>
      </w:tr>
      <w:tr>
        <w:trPr>
          <w:cantSplit/>
        </w:trPr>
        <w:tc>
          <w:tcPr>
            <w:tcW w:type="dxa" w:w="5820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ProductServiceTest</w:t>
            </w:r>
          </w:p>
        </w:tc>
        <w:tc>
          <w:tcPr>
            <w:tcW w:type="dxa" w:w="765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3</w:t>
            </w:r>
          </w:p>
        </w:tc>
        <w:tc>
          <w:tcPr>
            <w:tcW w:type="dxa" w:w="2270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商品创建、SKU 管理、管理员按状态查询</w:t>
            </w:r>
          </w:p>
        </w:tc>
      </w:tr>
      <w:tr>
        <w:trPr>
          <w:cantSplit/>
        </w:trPr>
        <w:tc>
          <w:tcPr>
            <w:tcW w:type="dxa" w:w="5820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StockServiceConcurrencyTest</w:t>
            </w:r>
          </w:p>
        </w:tc>
        <w:tc>
          <w:tcPr>
            <w:tcW w:type="dxa" w:w="765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2</w:t>
            </w:r>
          </w:p>
        </w:tc>
        <w:tc>
          <w:tcPr>
            <w:tcW w:type="dxa" w:w="2270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并发预占不超卖</w:t>
            </w:r>
          </w:p>
        </w:tc>
      </w:tr>
      <w:tr>
        <w:trPr>
          <w:cantSplit/>
        </w:trPr>
        <w:tc>
          <w:tcPr>
            <w:tcW w:type="dxa" w:w="5820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Issue48InventoryConcurrencyTest</w:t>
            </w:r>
          </w:p>
        </w:tc>
        <w:tc>
          <w:tcPr>
            <w:tcW w:type="dxa" w:w="765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2</w:t>
            </w:r>
          </w:p>
        </w:tc>
        <w:tc>
          <w:tcPr>
            <w:tcW w:type="dxa" w:w="2270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100/500 并发预占的库存上限验证</w:t>
            </w:r>
          </w:p>
        </w:tc>
      </w:tr>
      <w:tr>
        <w:trPr>
          <w:cantSplit/>
        </w:trPr>
        <w:tc>
          <w:tcPr>
            <w:tcW w:type="dxa" w:w="5820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StockAlertServiceTest</w:t>
            </w:r>
          </w:p>
        </w:tc>
        <w:tc>
          <w:tcPr>
            <w:tcW w:type="dxa" w:w="765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2</w:t>
            </w:r>
          </w:p>
        </w:tc>
        <w:tc>
          <w:tcPr>
            <w:tcW w:type="dxa" w:w="2270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低库存阈值与预警查询</w:t>
            </w:r>
          </w:p>
        </w:tc>
      </w:tr>
    </w:tbl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/>
          <w:bCs/>
          <w:sz w:val="24"/>
        </w:rPr>
        <w:t xml:space="preserve">cart-service（20 个）</w:t>
      </w:r>
    </w:p>
    <w:p>
      <w:pPr>
        <w:spacing w:line="360" w:lineRule="auto" w:before="120" w:after="60"/>
        <w:ind w:firstLine="0"/>
        <w:jc w:val="center"/>
      </w:pPr>
      <w:r>
        <w:rPr>
          <w:rFonts w:ascii="Times New Roman" w:hAnsi="Times New Roman" w:eastAsia="宋体"/>
          <w:b/>
          <w:sz w:val="24"/>
        </w:rPr>
        <w:t>表 4-7 cart-service 测试明细</w:t>
      </w:r>
    </w:p>
    <w:tbl>
      <w:tblPr>
        <w:tblW w:type="dxa" w:w="8855"/>
        <w:jc w:val="center"/>
        <w:tblLayout w:type="fixed"/>
        <w:tblBorders>
          <w:top w:val="single" w:sz="12" w:color="000000" w:space="0"/>
          <w:bottom w:val="single" w:sz="12" w:color="000000" w:space="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5978"/>
        <w:gridCol w:w="924"/>
        <w:gridCol w:w="1952"/>
      </w:tblGrid>
      <w:tr>
        <w:trPr>
          <w:cantSplit/>
          <w:tblHeader/>
        </w:trPr>
        <w:tc>
          <w:tcPr>
            <w:tcW w:type="dxa" w:w="5979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测试类</w:t>
            </w:r>
          </w:p>
        </w:tc>
        <w:tc>
          <w:tcPr>
            <w:tcW w:type="dxa" w:w="924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用例数</w:t>
            </w:r>
          </w:p>
        </w:tc>
        <w:tc>
          <w:tcPr>
            <w:tcW w:type="dxa" w:w="1952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覆盖内容</w:t>
            </w:r>
          </w:p>
        </w:tc>
      </w:tr>
      <w:tr>
        <w:trPr>
          <w:cantSplit/>
        </w:trPr>
        <w:tc>
          <w:tcPr>
            <w:tcW w:type="dxa" w:w="5979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CartControllerTest</w:t>
            </w:r>
          </w:p>
        </w:tc>
        <w:tc>
          <w:tcPr>
            <w:tcW w:type="dxa" w:w="924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5</w:t>
            </w:r>
          </w:p>
        </w:tc>
        <w:tc>
          <w:tcPr>
            <w:tcW w:type="dxa" w:w="195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加购、改数量、勾选、删除的接口层</w:t>
            </w:r>
          </w:p>
        </w:tc>
      </w:tr>
      <w:tr>
        <w:trPr>
          <w:cantSplit/>
        </w:trPr>
        <w:tc>
          <w:tcPr>
            <w:tcW w:type="dxa" w:w="5979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CartServiceIntegrationTest</w:t>
            </w:r>
          </w:p>
        </w:tc>
        <w:tc>
          <w:tcPr>
            <w:tcW w:type="dxa" w:w="924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14</w:t>
            </w:r>
          </w:p>
        </w:tc>
        <w:tc>
          <w:tcPr>
            <w:tcW w:type="dxa" w:w="195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购物车完整流程、失效商品处理、跨服务取数</w:t>
            </w:r>
          </w:p>
        </w:tc>
      </w:tr>
      <w:tr>
        <w:trPr>
          <w:cantSplit/>
        </w:trPr>
        <w:tc>
          <w:tcPr>
            <w:tcW w:type="dxa" w:w="5979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ProductDetailDTOJsonTest</w:t>
            </w:r>
          </w:p>
        </w:tc>
        <w:tc>
          <w:tcPr>
            <w:tcW w:type="dxa" w:w="924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1</w:t>
            </w:r>
          </w:p>
        </w:tc>
        <w:tc>
          <w:tcPr>
            <w:tcW w:type="dxa" w:w="195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下游 DTO 反序列化兼容性</w:t>
            </w:r>
          </w:p>
        </w:tc>
      </w:tr>
    </w:tbl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/>
          <w:bCs/>
          <w:sz w:val="24"/>
        </w:rPr>
        <w:t xml:space="preserve">order-service（20 个）</w:t>
      </w:r>
    </w:p>
    <w:p>
      <w:pPr>
        <w:spacing w:line="360" w:lineRule="auto" w:before="120" w:after="60"/>
        <w:ind w:firstLine="0"/>
        <w:jc w:val="center"/>
      </w:pPr>
      <w:r>
        <w:rPr>
          <w:rFonts w:ascii="Times New Roman" w:hAnsi="Times New Roman" w:eastAsia="宋体"/>
          <w:b/>
          <w:sz w:val="24"/>
        </w:rPr>
        <w:t>表 4-8 order-service 测试明细</w:t>
      </w:r>
    </w:p>
    <w:tbl>
      <w:tblPr>
        <w:tblW w:type="dxa" w:w="8855"/>
        <w:jc w:val="center"/>
        <w:tblLayout w:type="fixed"/>
        <w:tblBorders>
          <w:top w:val="single" w:sz="12" w:color="000000" w:space="0"/>
          <w:bottom w:val="single" w:sz="12" w:color="000000" w:space="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6278"/>
        <w:gridCol w:w="931"/>
        <w:gridCol w:w="1644"/>
      </w:tblGrid>
      <w:tr>
        <w:trPr>
          <w:cantSplit/>
          <w:tblHeader/>
        </w:trPr>
        <w:tc>
          <w:tcPr>
            <w:tcW w:type="dxa" w:w="6279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测试类</w:t>
            </w:r>
          </w:p>
        </w:tc>
        <w:tc>
          <w:tcPr>
            <w:tcW w:type="dxa" w:w="932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用例数</w:t>
            </w:r>
          </w:p>
        </w:tc>
        <w:tc>
          <w:tcPr>
            <w:tcW w:type="dxa" w:w="1644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覆盖内容</w:t>
            </w:r>
          </w:p>
        </w:tc>
      </w:tr>
      <w:tr>
        <w:trPr>
          <w:cantSplit/>
        </w:trPr>
        <w:tc>
          <w:tcPr>
            <w:tcW w:type="dxa" w:w="6279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OrderServiceTest</w:t>
            </w:r>
          </w:p>
        </w:tc>
        <w:tc>
          <w:tcPr>
            <w:tcW w:type="dxa" w:w="93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6</w:t>
            </w:r>
          </w:p>
        </w:tc>
        <w:tc>
          <w:tcPr>
            <w:tcW w:type="dxa" w:w="1644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下单流程、金额校验、地址校验</w:t>
            </w:r>
          </w:p>
        </w:tc>
      </w:tr>
      <w:tr>
        <w:trPr>
          <w:cantSplit/>
        </w:trPr>
        <w:tc>
          <w:tcPr>
            <w:tcW w:type="dxa" w:w="6279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OrderStateMachineTest</w:t>
            </w:r>
          </w:p>
        </w:tc>
        <w:tc>
          <w:tcPr>
            <w:tcW w:type="dxa" w:w="93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2</w:t>
            </w:r>
          </w:p>
        </w:tc>
        <w:tc>
          <w:tcPr>
            <w:tcW w:type="dxa" w:w="1644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状态机合法/非法流转</w:t>
            </w:r>
          </w:p>
        </w:tc>
      </w:tr>
      <w:tr>
        <w:trPr>
          <w:cantSplit/>
        </w:trPr>
        <w:tc>
          <w:tcPr>
            <w:tcW w:type="dxa" w:w="6279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OrderInternalTokenTest</w:t>
            </w:r>
          </w:p>
        </w:tc>
        <w:tc>
          <w:tcPr>
            <w:tcW w:type="dxa" w:w="93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3</w:t>
            </w:r>
          </w:p>
        </w:tc>
        <w:tc>
          <w:tcPr>
            <w:tcW w:type="dxa" w:w="1644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内部接口令牌校验</w:t>
            </w:r>
          </w:p>
        </w:tc>
      </w:tr>
      <w:tr>
        <w:trPr>
          <w:cantSplit/>
        </w:trPr>
        <w:tc>
          <w:tcPr>
            <w:tcW w:type="dxa" w:w="6279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PlatformConfigServiceTest</w:t>
            </w:r>
          </w:p>
        </w:tc>
        <w:tc>
          <w:tcPr>
            <w:tcW w:type="dxa" w:w="93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7</w:t>
            </w:r>
          </w:p>
        </w:tc>
        <w:tc>
          <w:tcPr>
            <w:tcW w:type="dxa" w:w="1644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配置解析、越界拒绝、未知键拒绝</w:t>
            </w:r>
          </w:p>
        </w:tc>
      </w:tr>
      <w:tr>
        <w:trPr>
          <w:cantSplit/>
        </w:trPr>
        <w:tc>
          <w:tcPr>
            <w:tcW w:type="dxa" w:w="6279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Issue48OrderConcurrencyTest</w:t>
            </w:r>
          </w:p>
        </w:tc>
        <w:tc>
          <w:tcPr>
            <w:tcW w:type="dxa" w:w="93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2</w:t>
            </w:r>
          </w:p>
        </w:tc>
        <w:tc>
          <w:tcPr>
            <w:tcW w:type="dxa" w:w="1644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取消竞态、重复幂等键并发</w:t>
            </w:r>
          </w:p>
        </w:tc>
      </w:tr>
    </w:tbl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/>
          <w:bCs/>
          <w:sz w:val="24"/>
        </w:rPr>
        <w:t xml:space="preserve">payment-service（26 个）</w:t>
      </w:r>
    </w:p>
    <w:p>
      <w:pPr>
        <w:pStyle w:val="Heading2"/>
        <w:keepNext/>
        <w:spacing w:before="120" w:after="60" w:line="360" w:lineRule="auto"/>
        <w:ind w:firstLine="0"/>
        <w:jc w:val="center"/>
      </w:pPr>
      <w:r>
        <w:rPr>
          <w:rFonts w:ascii="Times New Roman" w:hAnsi="Times New Roman" w:eastAsia="宋体"/>
          <w:b/>
          <w:sz w:val="24"/>
        </w:rPr>
        <w:t>表 4-9 payment-service 测试明细</w:t>
      </w:r>
    </w:p>
    <w:tbl>
      <w:tblPr>
        <w:tblW w:type="dxa" w:w="8855"/>
        <w:jc w:val="center"/>
        <w:tblLayout w:type="fixed"/>
        <w:tblBorders>
          <w:top w:val="single" w:sz="12" w:color="000000" w:space="0"/>
          <w:bottom w:val="single" w:sz="12" w:color="000000" w:space="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6122"/>
        <w:gridCol w:w="820"/>
        <w:gridCol w:w="1912"/>
      </w:tblGrid>
      <w:tr>
        <w:trPr>
          <w:cantSplit/>
          <w:tblHeader/>
        </w:trPr>
        <w:tc>
          <w:tcPr>
            <w:tcW w:type="dxa" w:w="6122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测试类</w:t>
            </w:r>
          </w:p>
        </w:tc>
        <w:tc>
          <w:tcPr>
            <w:tcW w:type="dxa" w:w="820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用例数</w:t>
            </w:r>
          </w:p>
        </w:tc>
        <w:tc>
          <w:tcPr>
            <w:tcW w:type="dxa" w:w="1913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覆盖内容</w:t>
            </w:r>
          </w:p>
        </w:tc>
      </w:tr>
      <w:tr>
        <w:trPr>
          <w:cantSplit/>
        </w:trPr>
        <w:tc>
          <w:tcPr>
            <w:tcW w:type="dxa" w:w="6122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PaymentCallbackIntegrationTest</w:t>
            </w:r>
          </w:p>
        </w:tc>
        <w:tc>
          <w:tcPr>
            <w:tcW w:type="dxa" w:w="820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8</w:t>
            </w:r>
          </w:p>
        </w:tc>
        <w:tc>
          <w:tcPr>
            <w:tcW w:type="dxa" w:w="1913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回调验签、幂等去重、金额核对、状态更新</w:t>
            </w:r>
          </w:p>
        </w:tc>
      </w:tr>
      <w:tr>
        <w:trPr>
          <w:cantSplit/>
        </w:trPr>
        <w:tc>
          <w:tcPr>
            <w:tcW w:type="dxa" w:w="6122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PaymentCreationIntegrationTest</w:t>
            </w:r>
          </w:p>
        </w:tc>
        <w:tc>
          <w:tcPr>
            <w:tcW w:type="dxa" w:w="820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6</w:t>
            </w:r>
          </w:p>
        </w:tc>
        <w:tc>
          <w:tcPr>
            <w:tcW w:type="dxa" w:w="1913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支付单创建、重复创建拦截</w:t>
            </w:r>
          </w:p>
        </w:tc>
      </w:tr>
      <w:tr>
        <w:trPr>
          <w:cantSplit/>
        </w:trPr>
        <w:tc>
          <w:tcPr>
            <w:tcW w:type="dxa" w:w="6122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RefundServiceIntegrationTest</w:t>
            </w:r>
          </w:p>
        </w:tc>
        <w:tc>
          <w:tcPr>
            <w:tcW w:type="dxa" w:w="820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6</w:t>
            </w:r>
          </w:p>
        </w:tc>
        <w:tc>
          <w:tcPr>
            <w:tcW w:type="dxa" w:w="1913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退款申请、审核、超额退款拦截</w:t>
            </w:r>
          </w:p>
        </w:tc>
      </w:tr>
      <w:tr>
        <w:trPr>
          <w:cantSplit/>
        </w:trPr>
        <w:tc>
          <w:tcPr>
            <w:tcW w:type="dxa" w:w="6122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SignatureServiceTest</w:t>
            </w:r>
          </w:p>
        </w:tc>
        <w:tc>
          <w:tcPr>
            <w:tcW w:type="dxa" w:w="820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4</w:t>
            </w:r>
          </w:p>
        </w:tc>
        <w:tc>
          <w:tcPr>
            <w:tcW w:type="dxa" w:w="1913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MOCK 签名算法</w:t>
            </w:r>
          </w:p>
        </w:tc>
      </w:tr>
      <w:tr>
        <w:trPr>
          <w:cantSplit/>
        </w:trPr>
        <w:tc>
          <w:tcPr>
            <w:tcW w:type="dxa" w:w="6122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PaymentPathIntegrationTest</w:t>
            </w:r>
          </w:p>
        </w:tc>
        <w:tc>
          <w:tcPr>
            <w:tcW w:type="dxa" w:w="820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2</w:t>
            </w:r>
          </w:p>
        </w:tc>
        <w:tc>
          <w:tcPr>
            <w:tcW w:type="dxa" w:w="1913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接口路径双前缀兼容</w:t>
            </w:r>
          </w:p>
        </w:tc>
      </w:tr>
    </w:tbl>
    <w:p>
      <w:pPr>
        <w:pStyle w:val="Heading2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8"/>
        </w:rPr>
        <w:t xml:space="preserve">3. 功能测试</w:t>
      </w:r>
    </w:p>
    <w:p>
      <w:pPr>
        <w:pStyle w:val="Heading3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4"/>
        </w:rPr>
        <w:t xml:space="preserve">3.1 测试记录表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按业务流程串起来测，覆盖买家、卖家、管理员三个角色。</w:t>
      </w:r>
    </w:p>
    <w:p>
      <w:pPr>
        <w:pStyle w:val="Heading3"/>
        <w:keepNext/>
        <w:spacing w:before="120" w:after="60" w:line="360" w:lineRule="auto"/>
        <w:ind w:firstLine="0"/>
        <w:jc w:val="center"/>
      </w:pPr>
      <w:r>
        <w:rPr>
          <w:rFonts w:ascii="Times New Roman" w:hAnsi="Times New Roman" w:eastAsia="宋体"/>
          <w:b/>
          <w:sz w:val="24"/>
        </w:rPr>
        <w:t>表 4-10 功能测试记录</w:t>
      </w:r>
    </w:p>
    <w:tbl>
      <w:tblPr>
        <w:tblW w:type="dxa" w:w="8855"/>
        <w:jc w:val="center"/>
        <w:tblLayout w:type="fixed"/>
        <w:tblBorders>
          <w:top w:val="single" w:sz="12" w:color="000000" w:space="0"/>
          <w:bottom w:val="single" w:sz="12" w:color="000000" w:space="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1194"/>
        <w:gridCol w:w="1497"/>
        <w:gridCol w:w="1075"/>
        <w:gridCol w:w="2111"/>
        <w:gridCol w:w="2026"/>
        <w:gridCol w:w="948"/>
      </w:tblGrid>
      <w:tr>
        <w:trPr>
          <w:cantSplit/>
          <w:tblHeader/>
        </w:trPr>
        <w:tc>
          <w:tcPr>
            <w:tcW w:type="dxa" w:w="1195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编号</w:t>
            </w:r>
          </w:p>
        </w:tc>
        <w:tc>
          <w:tcPr>
            <w:tcW w:type="dxa" w:w="1498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功能/输入</w:t>
            </w:r>
          </w:p>
        </w:tc>
        <w:tc>
          <w:tcPr>
            <w:tcW w:type="dxa" w:w="1076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前置条件</w:t>
            </w:r>
          </w:p>
        </w:tc>
        <w:tc>
          <w:tcPr>
            <w:tcW w:type="dxa" w:w="2112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预期结果</w:t>
            </w:r>
          </w:p>
        </w:tc>
        <w:tc>
          <w:tcPr>
            <w:tcW w:type="dxa" w:w="2027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实际结果</w:t>
            </w:r>
          </w:p>
        </w:tc>
        <w:tc>
          <w:tcPr>
            <w:tcW w:type="dxa" w:w="948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结论</w:t>
            </w:r>
          </w:p>
        </w:tc>
      </w:tr>
      <w:tr>
        <w:trPr>
          <w:cantSplit/>
        </w:trPr>
        <w:tc>
          <w:tcPr>
            <w:tcW w:type="dxa" w:w="1195"/>
          </w:tcPr>
          <w:p>
            <w:pPr>
              <w:keepNext/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F-01</w:t>
            </w:r>
          </w:p>
        </w:tc>
        <w:tc>
          <w:tcPr>
            <w:tcW w:type="dxa" w:w="1498"/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注册新账号</w:t>
            </w:r>
          </w:p>
        </w:tc>
        <w:tc>
          <w:tcPr>
            <w:tcW w:type="dxa" w:w="1076"/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无</w:t>
            </w:r>
          </w:p>
        </w:tc>
        <w:tc>
          <w:tcPr>
            <w:tcW w:type="dxa" w:w="2112"/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返回 userId，密码 BCrypt 存储</w:t>
            </w:r>
          </w:p>
        </w:tc>
        <w:tc>
          <w:tcPr>
            <w:tcW w:type="dxa" w:w="2027"/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返回 userId，库中为哈希</w:t>
            </w:r>
          </w:p>
        </w:tc>
        <w:tc>
          <w:tcPr>
            <w:tcW w:type="dxa" w:w="948"/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type="dxa" w:w="1195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F-02</w:t>
            </w:r>
          </w:p>
        </w:tc>
        <w:tc>
          <w:tcPr>
            <w:tcW w:type="dxa" w:w="149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用错误密码登录</w:t>
            </w:r>
          </w:p>
        </w:tc>
        <w:tc>
          <w:tcPr>
            <w:tcW w:type="dxa" w:w="107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账号存在</w:t>
            </w:r>
          </w:p>
        </w:tc>
        <w:tc>
          <w:tcPr>
            <w:tcW w:type="dxa" w:w="211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提示「账号或密码错误」</w:t>
            </w:r>
          </w:p>
        </w:tc>
        <w:tc>
          <w:tcPr>
            <w:tcW w:type="dxa" w:w="2027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提示一致</w:t>
            </w:r>
          </w:p>
        </w:tc>
        <w:tc>
          <w:tcPr>
            <w:tcW w:type="dxa" w:w="94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type="dxa" w:w="1195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F-03</w:t>
            </w:r>
          </w:p>
        </w:tc>
        <w:tc>
          <w:tcPr>
            <w:tcW w:type="dxa" w:w="149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未带令牌访问购物车</w:t>
            </w:r>
          </w:p>
        </w:tc>
        <w:tc>
          <w:tcPr>
            <w:tcW w:type="dxa" w:w="107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未登录</w:t>
            </w:r>
          </w:p>
        </w:tc>
        <w:tc>
          <w:tcPr>
            <w:tcW w:type="dxa" w:w="211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返回 401</w:t>
            </w:r>
          </w:p>
        </w:tc>
        <w:tc>
          <w:tcPr>
            <w:tcW w:type="dxa" w:w="2027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返回 401 与未登录提示</w:t>
            </w:r>
          </w:p>
        </w:tc>
        <w:tc>
          <w:tcPr>
            <w:tcW w:type="dxa" w:w="94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type="dxa" w:w="1195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F-04</w:t>
            </w:r>
          </w:p>
        </w:tc>
        <w:tc>
          <w:tcPr>
            <w:tcW w:type="dxa" w:w="149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商品列表筛选</w:t>
            </w:r>
          </w:p>
        </w:tc>
        <w:tc>
          <w:tcPr>
            <w:tcW w:type="dxa" w:w="107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有在售商品</w:t>
            </w:r>
          </w:p>
        </w:tc>
        <w:tc>
          <w:tcPr>
            <w:tcW w:type="dxa" w:w="211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只返回命中条件的商品</w:t>
            </w:r>
          </w:p>
        </w:tc>
        <w:tc>
          <w:tcPr>
            <w:tcW w:type="dxa" w:w="2027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各组合正确</w:t>
            </w:r>
          </w:p>
        </w:tc>
        <w:tc>
          <w:tcPr>
            <w:tcW w:type="dxa" w:w="94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type="dxa" w:w="1195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F-05</w:t>
            </w:r>
          </w:p>
        </w:tc>
        <w:tc>
          <w:tcPr>
            <w:tcW w:type="dxa" w:w="149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加购同一 SKU 两次</w:t>
            </w:r>
          </w:p>
        </w:tc>
        <w:tc>
          <w:tcPr>
            <w:tcW w:type="dxa" w:w="107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已登录</w:t>
            </w:r>
          </w:p>
        </w:tc>
        <w:tc>
          <w:tcPr>
            <w:tcW w:type="dxa" w:w="211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数量累加而非新增条目</w:t>
            </w:r>
          </w:p>
        </w:tc>
        <w:tc>
          <w:tcPr>
            <w:tcW w:type="dxa" w:w="2027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数量累加，条目仍 1 条</w:t>
            </w:r>
          </w:p>
        </w:tc>
        <w:tc>
          <w:tcPr>
            <w:tcW w:type="dxa" w:w="94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type="dxa" w:w="1195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F-06</w:t>
            </w:r>
          </w:p>
        </w:tc>
        <w:tc>
          <w:tcPr>
            <w:tcW w:type="dxa" w:w="149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未选地址提交订单</w:t>
            </w:r>
          </w:p>
        </w:tc>
        <w:tc>
          <w:tcPr>
            <w:tcW w:type="dxa" w:w="107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已登录</w:t>
            </w:r>
          </w:p>
        </w:tc>
        <w:tc>
          <w:tcPr>
            <w:tcW w:type="dxa" w:w="211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提示选择地址，不发请求</w:t>
            </w:r>
          </w:p>
        </w:tc>
        <w:tc>
          <w:tcPr>
            <w:tcW w:type="dxa" w:w="2027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提示正确</w:t>
            </w:r>
          </w:p>
        </w:tc>
        <w:tc>
          <w:tcPr>
            <w:tcW w:type="dxa" w:w="94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type="dxa" w:w="1195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F-07</w:t>
            </w:r>
          </w:p>
        </w:tc>
        <w:tc>
          <w:tcPr>
            <w:tcW w:type="dxa" w:w="149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提交订单</w:t>
            </w:r>
          </w:p>
        </w:tc>
        <w:tc>
          <w:tcPr>
            <w:tcW w:type="dxa" w:w="107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购物车有商品、地址已选</w:t>
            </w:r>
          </w:p>
        </w:tc>
        <w:tc>
          <w:tcPr>
            <w:tcW w:type="dxa" w:w="211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生成订单，库存预占</w:t>
            </w:r>
          </w:p>
        </w:tc>
        <w:tc>
          <w:tcPr>
            <w:tcW w:type="dxa" w:w="2027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订单生成，库存 10 变为 6</w:t>
            </w:r>
          </w:p>
        </w:tc>
        <w:tc>
          <w:tcPr>
            <w:tcW w:type="dxa" w:w="94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type="dxa" w:w="1195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F-08</w:t>
            </w:r>
          </w:p>
        </w:tc>
        <w:tc>
          <w:tcPr>
            <w:tcW w:type="dxa" w:w="149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同一幂等键重复下单</w:t>
            </w:r>
          </w:p>
        </w:tc>
        <w:tc>
          <w:tcPr>
            <w:tcW w:type="dxa" w:w="107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已有订单</w:t>
            </w:r>
          </w:p>
        </w:tc>
        <w:tc>
          <w:tcPr>
            <w:tcW w:type="dxa" w:w="211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返回首次结果</w:t>
            </w:r>
          </w:p>
        </w:tc>
        <w:tc>
          <w:tcPr>
            <w:tcW w:type="dxa" w:w="2027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返回同一 orderId</w:t>
            </w:r>
          </w:p>
        </w:tc>
        <w:tc>
          <w:tcPr>
            <w:tcW w:type="dxa" w:w="94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type="dxa" w:w="1195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F-09</w:t>
            </w:r>
          </w:p>
        </w:tc>
        <w:tc>
          <w:tcPr>
            <w:tcW w:type="dxa" w:w="149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发起支付</w:t>
            </w:r>
          </w:p>
        </w:tc>
        <w:tc>
          <w:tcPr>
            <w:tcW w:type="dxa" w:w="107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订单待支付</w:t>
            </w:r>
          </w:p>
        </w:tc>
        <w:tc>
          <w:tcPr>
            <w:tcW w:type="dxa" w:w="211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生成支付单，金额一致</w:t>
            </w:r>
          </w:p>
        </w:tc>
        <w:tc>
          <w:tcPr>
            <w:tcW w:type="dxa" w:w="2027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金额与订单一致</w:t>
            </w:r>
          </w:p>
        </w:tc>
        <w:tc>
          <w:tcPr>
            <w:tcW w:type="dxa" w:w="94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type="dxa" w:w="1195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F-10</w:t>
            </w:r>
          </w:p>
        </w:tc>
        <w:tc>
          <w:tcPr>
            <w:tcW w:type="dxa" w:w="149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MOCK 支付回调</w:t>
            </w:r>
          </w:p>
        </w:tc>
        <w:tc>
          <w:tcPr>
            <w:tcW w:type="dxa" w:w="107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支付单待支付</w:t>
            </w:r>
          </w:p>
        </w:tc>
        <w:tc>
          <w:tcPr>
            <w:tcW w:type="dxa" w:w="211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支付单 SUCCESS，订单 PAID</w:t>
            </w:r>
          </w:p>
        </w:tc>
        <w:tc>
          <w:tcPr>
            <w:tcW w:type="dxa" w:w="2027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状态联动正确</w:t>
            </w:r>
          </w:p>
        </w:tc>
        <w:tc>
          <w:tcPr>
            <w:tcW w:type="dxa" w:w="94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type="dxa" w:w="1195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F-11</w:t>
            </w:r>
          </w:p>
        </w:tc>
        <w:tc>
          <w:tcPr>
            <w:tcW w:type="dxa" w:w="149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重复推送同一回调 3 次</w:t>
            </w:r>
          </w:p>
        </w:tc>
        <w:tc>
          <w:tcPr>
            <w:tcW w:type="dxa" w:w="107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已处理过的回调</w:t>
            </w:r>
          </w:p>
        </w:tc>
        <w:tc>
          <w:tcPr>
            <w:tcW w:type="dxa" w:w="211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不重复处理</w:t>
            </w:r>
          </w:p>
        </w:tc>
        <w:tc>
          <w:tcPr>
            <w:tcW w:type="dxa" w:w="2027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回调表仅 1 条</w:t>
            </w:r>
          </w:p>
        </w:tc>
        <w:tc>
          <w:tcPr>
            <w:tcW w:type="dxa" w:w="94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type="dxa" w:w="1195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F-12</w:t>
            </w:r>
          </w:p>
        </w:tc>
        <w:tc>
          <w:tcPr>
            <w:tcW w:type="dxa" w:w="149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买家取消订单</w:t>
            </w:r>
          </w:p>
        </w:tc>
        <w:tc>
          <w:tcPr>
            <w:tcW w:type="dxa" w:w="107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订单待支付</w:t>
            </w:r>
          </w:p>
        </w:tc>
        <w:tc>
          <w:tcPr>
            <w:tcW w:type="dxa" w:w="211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订单取消，库存释放</w:t>
            </w:r>
          </w:p>
        </w:tc>
        <w:tc>
          <w:tcPr>
            <w:tcW w:type="dxa" w:w="2027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库存 9/1 变为 10/0</w:t>
            </w:r>
          </w:p>
        </w:tc>
        <w:tc>
          <w:tcPr>
            <w:tcW w:type="dxa" w:w="94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type="dxa" w:w="1195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F-13</w:t>
            </w:r>
          </w:p>
        </w:tc>
        <w:tc>
          <w:tcPr>
            <w:tcW w:type="dxa" w:w="149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重复取消同一订单</w:t>
            </w:r>
          </w:p>
        </w:tc>
        <w:tc>
          <w:tcPr>
            <w:tcW w:type="dxa" w:w="107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已取消</w:t>
            </w:r>
          </w:p>
        </w:tc>
        <w:tc>
          <w:tcPr>
            <w:tcW w:type="dxa" w:w="211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幂等返回</w:t>
            </w:r>
          </w:p>
        </w:tc>
        <w:tc>
          <w:tcPr>
            <w:tcW w:type="dxa" w:w="2027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库存不变</w:t>
            </w:r>
          </w:p>
        </w:tc>
        <w:tc>
          <w:tcPr>
            <w:tcW w:type="dxa" w:w="94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type="dxa" w:w="1195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F-14</w:t>
            </w:r>
          </w:p>
        </w:tc>
        <w:tc>
          <w:tcPr>
            <w:tcW w:type="dxa" w:w="149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超时自动取消</w:t>
            </w:r>
          </w:p>
        </w:tc>
        <w:tc>
          <w:tcPr>
            <w:tcW w:type="dxa" w:w="107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订单超时</w:t>
            </w:r>
          </w:p>
        </w:tc>
        <w:tc>
          <w:tcPr>
            <w:tcW w:type="dxa" w:w="211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定时任务取消并释放</w:t>
            </w:r>
          </w:p>
        </w:tc>
        <w:tc>
          <w:tcPr>
            <w:tcW w:type="dxa" w:w="2027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15 秒内取消</w:t>
            </w:r>
          </w:p>
        </w:tc>
        <w:tc>
          <w:tcPr>
            <w:tcW w:type="dxa" w:w="94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type="dxa" w:w="1195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F-15</w:t>
            </w:r>
          </w:p>
        </w:tc>
        <w:tc>
          <w:tcPr>
            <w:tcW w:type="dxa" w:w="149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卖家发货</w:t>
            </w:r>
          </w:p>
        </w:tc>
        <w:tc>
          <w:tcPr>
            <w:tcW w:type="dxa" w:w="107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订单已支付</w:t>
            </w:r>
          </w:p>
        </w:tc>
        <w:tc>
          <w:tcPr>
            <w:tcW w:type="dxa" w:w="211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状态已发货，记录单号</w:t>
            </w:r>
          </w:p>
        </w:tc>
        <w:tc>
          <w:tcPr>
            <w:tcW w:type="dxa" w:w="2027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状态与单号正确</w:t>
            </w:r>
          </w:p>
        </w:tc>
        <w:tc>
          <w:tcPr>
            <w:tcW w:type="dxa" w:w="94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type="dxa" w:w="1195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F-16</w:t>
            </w:r>
          </w:p>
        </w:tc>
        <w:tc>
          <w:tcPr>
            <w:tcW w:type="dxa" w:w="149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申请退款（部分）</w:t>
            </w:r>
          </w:p>
        </w:tc>
        <w:tc>
          <w:tcPr>
            <w:tcW w:type="dxa" w:w="107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订单已发货</w:t>
            </w:r>
          </w:p>
        </w:tc>
        <w:tc>
          <w:tcPr>
            <w:tcW w:type="dxa" w:w="211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生成待审核退款单</w:t>
            </w:r>
          </w:p>
        </w:tc>
        <w:tc>
          <w:tcPr>
            <w:tcW w:type="dxa" w:w="2027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生成成功</w:t>
            </w:r>
          </w:p>
        </w:tc>
        <w:tc>
          <w:tcPr>
            <w:tcW w:type="dxa" w:w="94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type="dxa" w:w="1195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F-17</w:t>
            </w:r>
          </w:p>
        </w:tc>
        <w:tc>
          <w:tcPr>
            <w:tcW w:type="dxa" w:w="149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卖家审核退款通过</w:t>
            </w:r>
          </w:p>
        </w:tc>
        <w:tc>
          <w:tcPr>
            <w:tcW w:type="dxa" w:w="107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退款单待审核</w:t>
            </w:r>
          </w:p>
        </w:tc>
        <w:tc>
          <w:tcPr>
            <w:tcW w:type="dxa" w:w="211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退款成功，全额时订单退款</w:t>
            </w:r>
          </w:p>
        </w:tc>
        <w:tc>
          <w:tcPr>
            <w:tcW w:type="dxa" w:w="2027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状态正确</w:t>
            </w:r>
          </w:p>
        </w:tc>
        <w:tc>
          <w:tcPr>
            <w:tcW w:type="dxa" w:w="94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type="dxa" w:w="1195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F-18</w:t>
            </w:r>
          </w:p>
        </w:tc>
        <w:tc>
          <w:tcPr>
            <w:tcW w:type="dxa" w:w="149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退款后库存回补</w:t>
            </w:r>
          </w:p>
        </w:tc>
        <w:tc>
          <w:tcPr>
            <w:tcW w:type="dxa" w:w="107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全额退款完成</w:t>
            </w:r>
          </w:p>
        </w:tc>
        <w:tc>
          <w:tcPr>
            <w:tcW w:type="dxa" w:w="211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库存加回</w:t>
            </w:r>
          </w:p>
        </w:tc>
        <w:tc>
          <w:tcPr>
            <w:tcW w:type="dxa" w:w="2027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库存 10 变为 12</w:t>
            </w:r>
          </w:p>
        </w:tc>
        <w:tc>
          <w:tcPr>
            <w:tcW w:type="dxa" w:w="94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type="dxa" w:w="1195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F-19</w:t>
            </w:r>
          </w:p>
        </w:tc>
        <w:tc>
          <w:tcPr>
            <w:tcW w:type="dxa" w:w="149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重复调用回补接口</w:t>
            </w:r>
          </w:p>
        </w:tc>
        <w:tc>
          <w:tcPr>
            <w:tcW w:type="dxa" w:w="107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已回补</w:t>
            </w:r>
          </w:p>
        </w:tc>
        <w:tc>
          <w:tcPr>
            <w:tcW w:type="dxa" w:w="211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幂等，不重复加库存</w:t>
            </w:r>
          </w:p>
        </w:tc>
        <w:tc>
          <w:tcPr>
            <w:tcW w:type="dxa" w:w="2027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库存保持</w:t>
            </w:r>
          </w:p>
        </w:tc>
        <w:tc>
          <w:tcPr>
            <w:tcW w:type="dxa" w:w="94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type="dxa" w:w="1195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F-20</w:t>
            </w:r>
          </w:p>
        </w:tc>
        <w:tc>
          <w:tcPr>
            <w:tcW w:type="dxa" w:w="149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卖家查看他人退款单</w:t>
            </w:r>
          </w:p>
        </w:tc>
        <w:tc>
          <w:tcPr>
            <w:tcW w:type="dxa" w:w="107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卖家登录</w:t>
            </w:r>
          </w:p>
        </w:tc>
        <w:tc>
          <w:tcPr>
            <w:tcW w:type="dxa" w:w="211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只能看到自己店的</w:t>
            </w:r>
          </w:p>
        </w:tc>
        <w:tc>
          <w:tcPr>
            <w:tcW w:type="dxa" w:w="2027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可见全平台</w:t>
            </w:r>
          </w:p>
        </w:tc>
        <w:tc>
          <w:tcPr>
            <w:tcW w:type="dxa" w:w="94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不通过，已记录</w:t>
            </w:r>
          </w:p>
        </w:tc>
      </w:tr>
      <w:tr>
        <w:trPr>
          <w:cantSplit/>
        </w:trPr>
        <w:tc>
          <w:tcPr>
            <w:tcW w:type="dxa" w:w="1195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F-21</w:t>
            </w:r>
          </w:p>
        </w:tc>
        <w:tc>
          <w:tcPr>
            <w:tcW w:type="dxa" w:w="149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管理员按状态筛选商品</w:t>
            </w:r>
          </w:p>
        </w:tc>
        <w:tc>
          <w:tcPr>
            <w:tcW w:type="dxa" w:w="107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有待审核商品</w:t>
            </w:r>
          </w:p>
        </w:tc>
        <w:tc>
          <w:tcPr>
            <w:tcW w:type="dxa" w:w="211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返回待审核列表</w:t>
            </w:r>
          </w:p>
        </w:tc>
        <w:tc>
          <w:tcPr>
            <w:tcW w:type="dxa" w:w="2027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正确返回</w:t>
            </w:r>
          </w:p>
        </w:tc>
        <w:tc>
          <w:tcPr>
            <w:tcW w:type="dxa" w:w="94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type="dxa" w:w="1195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F-22</w:t>
            </w:r>
          </w:p>
        </w:tc>
        <w:tc>
          <w:tcPr>
            <w:tcW w:type="dxa" w:w="149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卖家修改商品信息</w:t>
            </w:r>
          </w:p>
        </w:tc>
        <w:tc>
          <w:tcPr>
            <w:tcW w:type="dxa" w:w="107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商品在售</w:t>
            </w:r>
          </w:p>
        </w:tc>
        <w:tc>
          <w:tcPr>
            <w:tcW w:type="dxa" w:w="211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保存成功，重置为待审核</w:t>
            </w:r>
          </w:p>
        </w:tc>
        <w:tc>
          <w:tcPr>
            <w:tcW w:type="dxa" w:w="2027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状态变待审核</w:t>
            </w:r>
          </w:p>
        </w:tc>
        <w:tc>
          <w:tcPr>
            <w:tcW w:type="dxa" w:w="94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type="dxa" w:w="1195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F-23</w:t>
            </w:r>
          </w:p>
        </w:tc>
        <w:tc>
          <w:tcPr>
            <w:tcW w:type="dxa" w:w="149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卖家打开待审核商品编辑页</w:t>
            </w:r>
          </w:p>
        </w:tc>
        <w:tc>
          <w:tcPr>
            <w:tcW w:type="dxa" w:w="107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商品待审核</w:t>
            </w:r>
          </w:p>
        </w:tc>
        <w:tc>
          <w:tcPr>
            <w:tcW w:type="dxa" w:w="211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能正常加载</w:t>
            </w:r>
          </w:p>
        </w:tc>
        <w:tc>
          <w:tcPr>
            <w:tcW w:type="dxa" w:w="2027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修复后可加载</w:t>
            </w:r>
          </w:p>
        </w:tc>
        <w:tc>
          <w:tcPr>
            <w:tcW w:type="dxa" w:w="94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type="dxa" w:w="1195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F-24</w:t>
            </w:r>
          </w:p>
        </w:tc>
        <w:tc>
          <w:tcPr>
            <w:tcW w:type="dxa" w:w="149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管理员配置订单超时</w:t>
            </w:r>
          </w:p>
        </w:tc>
        <w:tc>
          <w:tcPr>
            <w:tcW w:type="dxa" w:w="107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配置中心可用</w:t>
            </w:r>
          </w:p>
        </w:tc>
        <w:tc>
          <w:tcPr>
            <w:tcW w:type="dxa" w:w="211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改后不重启即生效</w:t>
            </w:r>
          </w:p>
        </w:tc>
        <w:tc>
          <w:tcPr>
            <w:tcW w:type="dxa" w:w="2027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立即读到新值</w:t>
            </w:r>
          </w:p>
        </w:tc>
        <w:tc>
          <w:tcPr>
            <w:tcW w:type="dxa" w:w="94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type="dxa" w:w="1195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F-25</w:t>
            </w:r>
          </w:p>
        </w:tc>
        <w:tc>
          <w:tcPr>
            <w:tcW w:type="dxa" w:w="149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配置非法值</w:t>
            </w:r>
          </w:p>
        </w:tc>
        <w:tc>
          <w:tcPr>
            <w:tcW w:type="dxa" w:w="107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配置中心可用</w:t>
            </w:r>
          </w:p>
        </w:tc>
        <w:tc>
          <w:tcPr>
            <w:tcW w:type="dxa" w:w="211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拒绝并提示范围</w:t>
            </w:r>
          </w:p>
        </w:tc>
        <w:tc>
          <w:tcPr>
            <w:tcW w:type="dxa" w:w="2027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返回范围提示</w:t>
            </w:r>
          </w:p>
        </w:tc>
        <w:tc>
          <w:tcPr>
            <w:tcW w:type="dxa" w:w="94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通过</w:t>
            </w:r>
          </w:p>
        </w:tc>
      </w:tr>
    </w:tbl>
    <w:p>
      <w:pPr>
        <w:pStyle w:val="Heading3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4"/>
        </w:rPr>
        <w:t xml:space="preserve">3.2 测试中发现并修复的缺陷</w:t>
      </w:r>
    </w:p>
    <w:p>
      <w:pPr>
        <w:spacing w:line="360" w:lineRule="auto" w:before="120" w:after="60"/>
        <w:ind w:firstLine="0"/>
        <w:jc w:val="center"/>
      </w:pPr>
      <w:r>
        <w:rPr>
          <w:rFonts w:ascii="Times New Roman" w:hAnsi="Times New Roman" w:eastAsia="宋体"/>
          <w:b/>
          <w:sz w:val="24"/>
        </w:rPr>
        <w:t>表 4-11 测试中发现并修复的缺陷</w:t>
      </w:r>
    </w:p>
    <w:tbl>
      <w:tblPr>
        <w:tblW w:type="dxa" w:w="8855"/>
        <w:jc w:val="center"/>
        <w:tblLayout w:type="fixed"/>
        <w:tblBorders>
          <w:top w:val="single" w:sz="12" w:color="000000" w:space="0"/>
          <w:bottom w:val="single" w:sz="12" w:color="000000" w:space="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1065"/>
        <w:gridCol w:w="1087"/>
        <w:gridCol w:w="2142"/>
        <w:gridCol w:w="2374"/>
        <w:gridCol w:w="2184"/>
      </w:tblGrid>
      <w:tr>
        <w:trPr>
          <w:cantSplit/>
          <w:tblHeader/>
        </w:trPr>
        <w:tc>
          <w:tcPr>
            <w:tcW w:type="dxa" w:w="1065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编号</w:t>
            </w:r>
          </w:p>
        </w:tc>
        <w:tc>
          <w:tcPr>
            <w:tcW w:type="dxa" w:w="1087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缺陷</w:t>
            </w:r>
          </w:p>
        </w:tc>
        <w:tc>
          <w:tcPr>
            <w:tcW w:type="dxa" w:w="2143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现象</w:t>
            </w:r>
          </w:p>
        </w:tc>
        <w:tc>
          <w:tcPr>
            <w:tcW w:type="dxa" w:w="2375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根因</w:t>
            </w:r>
          </w:p>
        </w:tc>
        <w:tc>
          <w:tcPr>
            <w:tcW w:type="dxa" w:w="2185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修复</w:t>
            </w:r>
          </w:p>
        </w:tc>
      </w:tr>
      <w:tr>
        <w:trPr>
          <w:cantSplit/>
        </w:trPr>
        <w:tc>
          <w:tcPr>
            <w:tcW w:type="dxa" w:w="1065"/>
          </w:tcPr>
          <w:p>
            <w:pPr>
              <w:keepNext/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B-01</w:t>
            </w:r>
          </w:p>
        </w:tc>
        <w:tc>
          <w:tcPr>
            <w:tcW w:type="dxa" w:w="1087"/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加购失败</w:t>
            </w:r>
          </w:p>
        </w:tc>
        <w:tc>
          <w:tcPr>
            <w:tcW w:type="dxa" w:w="2143"/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提示缺少 productId</w:t>
            </w:r>
          </w:p>
        </w:tc>
        <w:tc>
          <w:tcPr>
            <w:tcW w:type="dxa" w:w="2375"/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前端只传 skuId</w:t>
            </w:r>
          </w:p>
        </w:tc>
        <w:tc>
          <w:tcPr>
            <w:tcW w:type="dxa" w:w="2185"/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补传 productId</w:t>
            </w:r>
          </w:p>
        </w:tc>
      </w:tr>
      <w:tr>
        <w:trPr>
          <w:cantSplit/>
        </w:trPr>
        <w:tc>
          <w:tcPr>
            <w:tcW w:type="dxa" w:w="1065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B-02</w:t>
            </w:r>
          </w:p>
        </w:tc>
        <w:tc>
          <w:tcPr>
            <w:tcW w:type="dxa" w:w="1087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卖家无法编辑待审核商品</w:t>
            </w:r>
          </w:p>
        </w:tc>
        <w:tc>
          <w:tcPr>
            <w:tcW w:type="dxa" w:w="2143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报商品已下架</w:t>
            </w:r>
          </w:p>
        </w:tc>
        <w:tc>
          <w:tcPr>
            <w:tcW w:type="dxa" w:w="2375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白名单不解析令牌</w:t>
            </w:r>
          </w:p>
        </w:tc>
        <w:tc>
          <w:tcPr>
            <w:tcW w:type="dxa" w:w="2185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白名单带令牌时注入身份</w:t>
            </w:r>
          </w:p>
        </w:tc>
      </w:tr>
      <w:tr>
        <w:trPr>
          <w:cantSplit/>
        </w:trPr>
        <w:tc>
          <w:tcPr>
            <w:tcW w:type="dxa" w:w="1065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B-03</w:t>
            </w:r>
          </w:p>
        </w:tc>
        <w:tc>
          <w:tcPr>
            <w:tcW w:type="dxa" w:w="1087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分类显示未分类</w:t>
            </w:r>
          </w:p>
        </w:tc>
        <w:tc>
          <w:tcPr>
            <w:tcW w:type="dxa" w:w="2143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分类始终为空</w:t>
            </w:r>
          </w:p>
        </w:tc>
        <w:tc>
          <w:tcPr>
            <w:tcW w:type="dxa" w:w="2375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接口只返回 categoryId</w:t>
            </w:r>
          </w:p>
        </w:tc>
        <w:tc>
          <w:tcPr>
            <w:tcW w:type="dxa" w:w="2185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前端加分类映射</w:t>
            </w:r>
          </w:p>
        </w:tc>
      </w:tr>
      <w:tr>
        <w:trPr>
          <w:cantSplit/>
        </w:trPr>
        <w:tc>
          <w:tcPr>
            <w:tcW w:type="dxa" w:w="1065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B-04</w:t>
            </w:r>
          </w:p>
        </w:tc>
        <w:tc>
          <w:tcPr>
            <w:tcW w:type="dxa" w:w="1087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退款后库存不恢复</w:t>
            </w:r>
          </w:p>
        </w:tc>
        <w:tc>
          <w:tcPr>
            <w:tcW w:type="dxa" w:w="2143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可售库存不变</w:t>
            </w:r>
          </w:p>
        </w:tc>
        <w:tc>
          <w:tcPr>
            <w:tcW w:type="dxa" w:w="2375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缺少回补通道</w:t>
            </w:r>
          </w:p>
        </w:tc>
        <w:tc>
          <w:tcPr>
            <w:tcW w:type="dxa" w:w="2185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新增回补接口与幂等抢占</w:t>
            </w:r>
          </w:p>
        </w:tc>
      </w:tr>
      <w:tr>
        <w:trPr>
          <w:cantSplit/>
        </w:trPr>
        <w:tc>
          <w:tcPr>
            <w:tcW w:type="dxa" w:w="1065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B-05</w:t>
            </w:r>
          </w:p>
        </w:tc>
        <w:tc>
          <w:tcPr>
            <w:tcW w:type="dxa" w:w="1087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下单报缺少请求头</w:t>
            </w:r>
          </w:p>
        </w:tc>
        <w:tc>
          <w:tcPr>
            <w:tcW w:type="dxa" w:w="2143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提示缺少 X-User-Id</w:t>
            </w:r>
          </w:p>
        </w:tc>
        <w:tc>
          <w:tcPr>
            <w:tcW w:type="dxa" w:w="2375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order 调 user 未传该头</w:t>
            </w:r>
          </w:p>
        </w:tc>
        <w:tc>
          <w:tcPr>
            <w:tcW w:type="dxa" w:w="2185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补传</w:t>
            </w:r>
          </w:p>
        </w:tc>
      </w:tr>
      <w:tr>
        <w:trPr>
          <w:cantSplit/>
        </w:trPr>
        <w:tc>
          <w:tcPr>
            <w:tcW w:type="dxa" w:w="1065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B-06</w:t>
            </w:r>
          </w:p>
        </w:tc>
        <w:tc>
          <w:tcPr>
            <w:tcW w:type="dxa" w:w="1087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并发取消重复释放库存</w:t>
            </w:r>
          </w:p>
        </w:tc>
        <w:tc>
          <w:tcPr>
            <w:tcW w:type="dxa" w:w="2143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释放接口调用 2 次</w:t>
            </w:r>
          </w:p>
        </w:tc>
        <w:tc>
          <w:tcPr>
            <w:tcW w:type="dxa" w:w="2375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取消返回 0 后仍继续释放</w:t>
            </w:r>
          </w:p>
        </w:tc>
        <w:tc>
          <w:tcPr>
            <w:tcW w:type="dxa" w:w="2185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标记改为抢占式</w:t>
            </w:r>
          </w:p>
        </w:tc>
      </w:tr>
      <w:tr>
        <w:trPr>
          <w:cantSplit/>
        </w:trPr>
        <w:tc>
          <w:tcPr>
            <w:tcW w:type="dxa" w:w="1065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B-07</w:t>
            </w:r>
          </w:p>
        </w:tc>
        <w:tc>
          <w:tcPr>
            <w:tcW w:type="dxa" w:w="1087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库存预警服务起不来</w:t>
            </w:r>
          </w:p>
        </w:tc>
        <w:tc>
          <w:tcPr>
            <w:tcW w:type="dxa" w:w="2143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启动报 SQL 语法错误</w:t>
            </w:r>
          </w:p>
        </w:tc>
        <w:tc>
          <w:tcPr>
            <w:tcW w:type="dxa" w:w="2375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使用了 MariaDB 语法</w:t>
            </w:r>
          </w:p>
        </w:tc>
        <w:tc>
          <w:tcPr>
            <w:tcW w:type="dxa" w:w="2185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并入建表并补迁移脚本</w:t>
            </w:r>
          </w:p>
        </w:tc>
      </w:tr>
    </w:tbl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/>
          <w:bCs/>
          <w:sz w:val="24"/>
        </w:rPr>
        <w:t xml:space="preserve">共同点</w:t>
      </w:r>
      <w:r>
        <w:rPr>
          <w:rFonts w:ascii="Times New Roman" w:hAnsi="Times New Roman" w:eastAsia="宋体"/>
          <w:sz w:val="24"/>
        </w:rPr>
        <w:t xml:space="preserve">：B-02、B-04、B-06、B-07 都是「代码看起来对、单测也能过」，只有真正跑起来或专门构造并发场景才暴露。</w:t>
      </w:r>
    </w:p>
    <w:p>
      <w:pPr>
        <w:pStyle w:val="Heading2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8"/>
        </w:rPr>
        <w:t xml:space="preserve">4. 测试结论</w:t>
      </w:r>
    </w:p>
    <w:p>
      <w:pPr>
        <w:pStyle w:val="Heading3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4"/>
        </w:rPr>
        <w:t xml:space="preserve">4.1 系统强度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核心一致性场景全部验证通过：</w:t>
      </w:r>
    </w:p>
    <w:p>
      <w:pPr>
        <w:spacing w:line="360" w:lineRule="auto" w:before="120" w:after="60"/>
        <w:ind w:firstLine="0"/>
        <w:jc w:val="center"/>
      </w:pPr>
      <w:r>
        <w:rPr>
          <w:rFonts w:ascii="Times New Roman" w:hAnsi="Times New Roman" w:eastAsia="宋体"/>
          <w:b/>
          <w:sz w:val="24"/>
        </w:rPr>
        <w:t>表 4-12 一致性场景验证结果</w:t>
      </w:r>
    </w:p>
    <w:tbl>
      <w:tblPr>
        <w:tblW w:type="dxa" w:w="8855"/>
        <w:jc w:val="center"/>
        <w:tblLayout w:type="fixed"/>
        <w:tblBorders>
          <w:top w:val="single" w:sz="12" w:color="000000" w:space="0"/>
          <w:bottom w:val="single" w:sz="12" w:color="000000" w:space="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1912"/>
        <w:gridCol w:w="3807"/>
        <w:gridCol w:w="3135"/>
      </w:tblGrid>
      <w:tr>
        <w:trPr>
          <w:cantSplit/>
          <w:tblHeader/>
        </w:trPr>
        <w:tc>
          <w:tcPr>
            <w:tcW w:type="dxa" w:w="1912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场景</w:t>
            </w:r>
          </w:p>
        </w:tc>
        <w:tc>
          <w:tcPr>
            <w:tcW w:type="dxa" w:w="3807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验证方式</w:t>
            </w:r>
          </w:p>
        </w:tc>
        <w:tc>
          <w:tcPr>
            <w:tcW w:type="dxa" w:w="3135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结果</w:t>
            </w:r>
          </w:p>
        </w:tc>
      </w:tr>
      <w:tr>
        <w:trPr>
          <w:cantSplit/>
        </w:trPr>
        <w:tc>
          <w:tcPr>
            <w:tcW w:type="dxa" w:w="1912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库存不超卖</w:t>
            </w:r>
          </w:p>
        </w:tc>
        <w:tc>
          <w:tcPr>
            <w:tcW w:type="dxa" w:w="3807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100/500 并发预占</w:t>
            </w:r>
          </w:p>
        </w:tc>
        <w:tc>
          <w:tcPr>
            <w:tcW w:type="dxa" w:w="3135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成功数不超过库存，无负库存</w:t>
            </w:r>
          </w:p>
        </w:tc>
      </w:tr>
      <w:tr>
        <w:trPr>
          <w:cantSplit/>
        </w:trPr>
        <w:tc>
          <w:tcPr>
            <w:tcW w:type="dxa" w:w="1912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重复下单</w:t>
            </w:r>
          </w:p>
        </w:tc>
        <w:tc>
          <w:tcPr>
            <w:tcW w:type="dxa" w:w="3807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50 并发同幂等键</w:t>
            </w:r>
          </w:p>
        </w:tc>
        <w:tc>
          <w:tcPr>
            <w:tcW w:type="dxa" w:w="3135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只创建 1 笔订单</w:t>
            </w:r>
          </w:p>
        </w:tc>
      </w:tr>
      <w:tr>
        <w:trPr>
          <w:cantSplit/>
        </w:trPr>
        <w:tc>
          <w:tcPr>
            <w:tcW w:type="dxa" w:w="1912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重复支付回调</w:t>
            </w:r>
          </w:p>
        </w:tc>
        <w:tc>
          <w:tcPr>
            <w:tcW w:type="dxa" w:w="3807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连续推送 3 次</w:t>
            </w:r>
          </w:p>
        </w:tc>
        <w:tc>
          <w:tcPr>
            <w:tcW w:type="dxa" w:w="3135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回调表仅 1 条，金额库存不变</w:t>
            </w:r>
          </w:p>
        </w:tc>
      </w:tr>
      <w:tr>
        <w:trPr>
          <w:cantSplit/>
        </w:trPr>
        <w:tc>
          <w:tcPr>
            <w:tcW w:type="dxa" w:w="1912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取消竞态</w:t>
            </w:r>
          </w:p>
        </w:tc>
        <w:tc>
          <w:tcPr>
            <w:tcW w:type="dxa" w:w="3807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买家取消与超时同时触发</w:t>
            </w:r>
          </w:p>
        </w:tc>
        <w:tc>
          <w:tcPr>
            <w:tcW w:type="dxa" w:w="3135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修复后库存只释放 1 次</w:t>
            </w:r>
          </w:p>
        </w:tc>
      </w:tr>
      <w:tr>
        <w:trPr>
          <w:cantSplit/>
        </w:trPr>
        <w:tc>
          <w:tcPr>
            <w:tcW w:type="dxa" w:w="1912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退款幂等</w:t>
            </w:r>
          </w:p>
        </w:tc>
        <w:tc>
          <w:tcPr>
            <w:tcW w:type="dxa" w:w="3807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重复调用回补接口</w:t>
            </w:r>
          </w:p>
        </w:tc>
        <w:tc>
          <w:tcPr>
            <w:tcW w:type="dxa" w:w="3135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库存不重复增加</w:t>
            </w:r>
          </w:p>
        </w:tc>
      </w:tr>
      <w:tr>
        <w:trPr>
          <w:cantSplit/>
        </w:trPr>
        <w:tc>
          <w:tcPr>
            <w:tcW w:type="dxa" w:w="1912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超额退款</w:t>
            </w:r>
          </w:p>
        </w:tc>
        <w:tc>
          <w:tcPr>
            <w:tcW w:type="dxa" w:w="3807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退款累计超实付</w:t>
            </w:r>
          </w:p>
        </w:tc>
        <w:tc>
          <w:tcPr>
            <w:tcW w:type="dxa" w:w="3135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条件更新拦截</w:t>
            </w:r>
          </w:p>
        </w:tc>
      </w:tr>
    </w:tbl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自动化测试 79 个用例全部通过，覆盖鉴权、下单、支付、退款、配置、并发六个方面。</w:t>
      </w:r>
    </w:p>
    <w:p>
      <w:pPr>
        <w:pStyle w:val="Heading3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4"/>
        </w:rPr>
        <w:t xml:space="preserve">4.2 性能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并发测试耗时（H2 内存库，非生产环境）：</w:t>
      </w:r>
    </w:p>
    <w:p>
      <w:pPr>
        <w:spacing w:line="360" w:lineRule="auto" w:before="120" w:after="60"/>
        <w:ind w:firstLine="0"/>
        <w:jc w:val="center"/>
      </w:pPr>
      <w:r>
        <w:rPr>
          <w:rFonts w:ascii="Times New Roman" w:hAnsi="Times New Roman" w:eastAsia="宋体"/>
          <w:b/>
          <w:sz w:val="24"/>
        </w:rPr>
        <w:t>表 4-13 并发测试耗时</w:t>
      </w:r>
    </w:p>
    <w:tbl>
      <w:tblPr>
        <w:tblW w:type="dxa" w:w="8855"/>
        <w:jc w:val="center"/>
        <w:tblLayout w:type="fixed"/>
        <w:tblBorders>
          <w:top w:val="single" w:sz="12" w:color="000000" w:space="0"/>
          <w:bottom w:val="single" w:sz="12" w:color="000000" w:space="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298"/>
        <w:gridCol w:w="1794"/>
        <w:gridCol w:w="3761"/>
      </w:tblGrid>
      <w:tr>
        <w:trPr>
          <w:cantSplit/>
          <w:tblHeader/>
        </w:trPr>
        <w:tc>
          <w:tcPr>
            <w:tcW w:type="dxa" w:w="3299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场景</w:t>
            </w:r>
          </w:p>
        </w:tc>
        <w:tc>
          <w:tcPr>
            <w:tcW w:type="dxa" w:w="1795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并发数</w:t>
            </w:r>
          </w:p>
        </w:tc>
        <w:tc>
          <w:tcPr>
            <w:tcW w:type="dxa" w:w="3762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耗时</w:t>
            </w:r>
          </w:p>
        </w:tc>
      </w:tr>
      <w:tr>
        <w:trPr>
          <w:cantSplit/>
        </w:trPr>
        <w:tc>
          <w:tcPr>
            <w:tcW w:type="dxa" w:w="3299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库存预占不超卖</w:t>
            </w:r>
          </w:p>
        </w:tc>
        <w:tc>
          <w:tcPr>
            <w:tcW w:type="dxa" w:w="1795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100</w:t>
            </w:r>
          </w:p>
        </w:tc>
        <w:tc>
          <w:tcPr>
            <w:tcW w:type="dxa" w:w="376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约 2.7 秒</w:t>
            </w:r>
          </w:p>
        </w:tc>
      </w:tr>
      <w:tr>
        <w:trPr>
          <w:cantSplit/>
        </w:trPr>
        <w:tc>
          <w:tcPr>
            <w:tcW w:type="dxa" w:w="3299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库存预占不超卖</w:t>
            </w:r>
          </w:p>
        </w:tc>
        <w:tc>
          <w:tcPr>
            <w:tcW w:type="dxa" w:w="1795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500</w:t>
            </w:r>
          </w:p>
        </w:tc>
        <w:tc>
          <w:tcPr>
            <w:tcW w:type="dxa" w:w="376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约 2.1 秒</w:t>
            </w:r>
          </w:p>
        </w:tc>
      </w:tr>
      <w:tr>
        <w:trPr>
          <w:cantSplit/>
        </w:trPr>
        <w:tc>
          <w:tcPr>
            <w:tcW w:type="dxa" w:w="3299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取消竞态与幂等键并发</w:t>
            </w:r>
          </w:p>
        </w:tc>
        <w:tc>
          <w:tcPr>
            <w:tcW w:type="dxa" w:w="1795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50</w:t>
            </w:r>
          </w:p>
        </w:tc>
        <w:tc>
          <w:tcPr>
            <w:tcW w:type="dxa" w:w="376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约 65 秒（含上下文启动）</w:t>
            </w:r>
          </w:p>
        </w:tc>
      </w:tr>
    </w:tbl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/>
          <w:bCs/>
          <w:sz w:val="24"/>
        </w:rPr>
        <w:t xml:space="preserve">说明</w:t>
      </w:r>
      <w:r>
        <w:rPr>
          <w:rFonts w:ascii="Times New Roman" w:hAnsi="Times New Roman" w:eastAsia="宋体"/>
          <w:sz w:val="24"/>
        </w:rPr>
        <w:t xml:space="preserve">：以上是单元与集成层的并发验证，不是生产压测。真实 QPS 与响应时间分布需要压测工具在部署环境测，本项目未执行，</w:t>
      </w:r>
      <w:r>
        <w:rPr>
          <w:rFonts w:ascii="Times New Roman" w:hAnsi="Times New Roman" w:eastAsia="宋体"/>
          <w:b/>
          <w:bCs/>
          <w:sz w:val="24"/>
        </w:rPr>
        <w:t xml:space="preserve">不宣称压测达标</w:t>
      </w:r>
      <w:r>
        <w:rPr>
          <w:rFonts w:ascii="Times New Roman" w:hAnsi="Times New Roman" w:eastAsia="宋体"/>
          <w:sz w:val="24"/>
        </w:rPr>
        <w:t xml:space="preserve">。</w:t>
      </w:r>
    </w:p>
    <w:p>
      <w:pPr>
        <w:pStyle w:val="Heading3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4"/>
        </w:rPr>
        <w:t xml:space="preserve">4.3 容量与可扩展性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已具备的扩展基础：</w:t>
      </w:r>
    </w:p>
    <w:p>
      <w:pPr>
        <w:pStyle w:val="ListParagraph"/>
        <w:numPr>
          <w:ilvl w:val="0"/>
          <w:numId w:val="3"/>
        </w:num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六个服务独立部署，可按热点服务单独扩容</w:t>
      </w:r>
    </w:p>
    <w:p>
      <w:pPr>
        <w:pStyle w:val="ListParagraph"/>
        <w:numPr>
          <w:ilvl w:val="0"/>
          <w:numId w:val="3"/>
        </w:num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Nacos 服务发现支持多实例注册，网关自动负载均衡</w:t>
      </w:r>
    </w:p>
    <w:p>
      <w:pPr>
        <w:pStyle w:val="ListParagraph"/>
        <w:numPr>
          <w:ilvl w:val="0"/>
          <w:numId w:val="3"/>
        </w:num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数据库一服务一库，可按服务独立扩容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尚未验证：</w:t>
      </w:r>
    </w:p>
    <w:p>
      <w:pPr>
        <w:pStyle w:val="ListParagraph"/>
        <w:numPr>
          <w:ilvl w:val="0"/>
          <w:numId w:val="3"/>
        </w:num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多实例部署下的会话一致性（JWT 无状态，理论上可水平扩展，但未实测）</w:t>
      </w:r>
    </w:p>
    <w:p>
      <w:pPr>
        <w:pStyle w:val="ListParagraph"/>
        <w:numPr>
          <w:ilvl w:val="0"/>
          <w:numId w:val="3"/>
        </w:num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数据库为单点，未做读写分离或分库</w:t>
      </w:r>
    </w:p>
    <w:p>
      <w:pPr>
        <w:pStyle w:val="ListParagraph"/>
        <w:numPr>
          <w:ilvl w:val="0"/>
          <w:numId w:val="3"/>
        </w:num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未做容量规划与容量测试</w:t>
      </w:r>
    </w:p>
    <w:p>
      <w:pPr>
        <w:pStyle w:val="Heading3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4"/>
        </w:rPr>
        <w:t xml:space="preserve">4.4 可靠性</w:t>
      </w:r>
    </w:p>
    <w:p>
      <w:pPr>
        <w:pStyle w:val="Heading3"/>
        <w:keepNext/>
        <w:spacing w:before="120" w:after="60" w:line="360" w:lineRule="auto"/>
        <w:ind w:firstLine="0"/>
        <w:jc w:val="center"/>
      </w:pPr>
      <w:r>
        <w:rPr>
          <w:rFonts w:ascii="Times New Roman" w:hAnsi="Times New Roman" w:eastAsia="宋体"/>
          <w:b/>
          <w:sz w:val="24"/>
        </w:rPr>
        <w:t>表 4-14 可靠性机制验证</w:t>
      </w:r>
    </w:p>
    <w:tbl>
      <w:tblPr>
        <w:tblW w:type="dxa" w:w="8855"/>
        <w:jc w:val="center"/>
        <w:tblLayout w:type="fixed"/>
        <w:tblBorders>
          <w:top w:val="single" w:sz="12" w:color="000000" w:space="0"/>
          <w:bottom w:val="single" w:sz="12" w:color="000000" w:space="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2414"/>
        <w:gridCol w:w="3750"/>
        <w:gridCol w:w="2690"/>
      </w:tblGrid>
      <w:tr>
        <w:trPr>
          <w:cantSplit/>
          <w:tblHeader/>
        </w:trPr>
        <w:tc>
          <w:tcPr>
            <w:tcW w:type="dxa" w:w="2415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机制</w:t>
            </w:r>
          </w:p>
        </w:tc>
        <w:tc>
          <w:tcPr>
            <w:tcW w:type="dxa" w:w="3750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实现</w:t>
            </w:r>
          </w:p>
        </w:tc>
        <w:tc>
          <w:tcPr>
            <w:tcW w:type="dxa" w:w="2690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验证状态</w:t>
            </w:r>
          </w:p>
        </w:tc>
      </w:tr>
      <w:tr>
        <w:trPr>
          <w:cantSplit/>
        </w:trPr>
        <w:tc>
          <w:tcPr>
            <w:tcW w:type="dxa" w:w="2415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库存释放失败补偿</w:t>
            </w:r>
          </w:p>
        </w:tc>
        <w:tc>
          <w:tcPr>
            <w:tcW w:type="dxa" w:w="3750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补偿表与定时任务退避重试</w:t>
            </w:r>
          </w:p>
        </w:tc>
        <w:tc>
          <w:tcPr>
            <w:tcW w:type="dxa" w:w="2690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已实现，未做故障注入</w:t>
            </w:r>
          </w:p>
        </w:tc>
      </w:tr>
      <w:tr>
        <w:trPr>
          <w:cantSplit/>
        </w:trPr>
        <w:tc>
          <w:tcPr>
            <w:tcW w:type="dxa" w:w="2415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预占永久锁定兜底</w:t>
            </w:r>
          </w:p>
        </w:tc>
        <w:tc>
          <w:tcPr>
            <w:tcW w:type="dxa" w:w="3750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定时扫描过期预占</w:t>
            </w:r>
          </w:p>
        </w:tc>
        <w:tc>
          <w:tcPr>
            <w:tcW w:type="dxa" w:w="2690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已实现</w:t>
            </w:r>
          </w:p>
        </w:tc>
      </w:tr>
      <w:tr>
        <w:trPr>
          <w:cantSplit/>
        </w:trPr>
        <w:tc>
          <w:tcPr>
            <w:tcW w:type="dxa" w:w="2415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服务不可用降级</w:t>
            </w:r>
          </w:p>
        </w:tc>
        <w:tc>
          <w:tcPr>
            <w:tcW w:type="dxa" w:w="3750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Feign 超时转业务错误码</w:t>
            </w:r>
          </w:p>
        </w:tc>
        <w:tc>
          <w:tcPr>
            <w:tcW w:type="dxa" w:w="2690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已实现，未做熔断测试</w:t>
            </w:r>
          </w:p>
        </w:tc>
      </w:tr>
      <w:tr>
        <w:trPr>
          <w:cantSplit/>
        </w:trPr>
        <w:tc>
          <w:tcPr>
            <w:tcW w:type="dxa" w:w="2415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健康检查</w:t>
            </w:r>
          </w:p>
        </w:tc>
        <w:tc>
          <w:tcPr>
            <w:tcW w:type="dxa" w:w="3750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各服务健康端点</w:t>
            </w:r>
          </w:p>
        </w:tc>
        <w:tc>
          <w:tcPr>
            <w:tcW w:type="dxa" w:w="2690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已验证</w:t>
            </w:r>
          </w:p>
        </w:tc>
      </w:tr>
    </w:tbl>
    <w:p>
      <w:pPr>
        <w:pStyle w:val="Heading3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4"/>
        </w:rPr>
        <w:t xml:space="preserve">4.5 遗留问题</w:t>
      </w:r>
    </w:p>
    <w:p>
      <w:pPr>
        <w:pStyle w:val="Heading2"/>
        <w:keepNext/>
        <w:spacing w:before="120" w:after="60" w:line="360" w:lineRule="auto"/>
        <w:ind w:firstLine="0"/>
        <w:jc w:val="center"/>
      </w:pPr>
      <w:r>
        <w:rPr>
          <w:rFonts w:ascii="Times New Roman" w:hAnsi="Times New Roman" w:eastAsia="宋体"/>
          <w:b/>
          <w:sz w:val="24"/>
        </w:rPr>
        <w:t>表 4-15 遗留问题</w:t>
      </w:r>
    </w:p>
    <w:tbl>
      <w:tblPr>
        <w:tblW w:type="dxa" w:w="8855"/>
        <w:jc w:val="center"/>
        <w:tblLayout w:type="fixed"/>
        <w:tblBorders>
          <w:top w:val="single" w:sz="12" w:color="000000" w:space="0"/>
          <w:bottom w:val="single" w:sz="12" w:color="000000" w:space="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1657"/>
        <w:gridCol w:w="2551"/>
        <w:gridCol w:w="2772"/>
        <w:gridCol w:w="1873"/>
      </w:tblGrid>
      <w:tr>
        <w:trPr>
          <w:cantSplit/>
          <w:tblHeader/>
        </w:trPr>
        <w:tc>
          <w:tcPr>
            <w:tcW w:type="dxa" w:w="1657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编号</w:t>
            </w:r>
          </w:p>
        </w:tc>
        <w:tc>
          <w:tcPr>
            <w:tcW w:type="dxa" w:w="2552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问题</w:t>
            </w:r>
          </w:p>
        </w:tc>
        <w:tc>
          <w:tcPr>
            <w:tcW w:type="dxa" w:w="2773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影响</w:t>
            </w:r>
          </w:p>
        </w:tc>
        <w:tc>
          <w:tcPr>
            <w:tcW w:type="dxa" w:w="1873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状态</w:t>
            </w:r>
          </w:p>
        </w:tc>
      </w:tr>
      <w:tr>
        <w:trPr>
          <w:cantSplit/>
        </w:trPr>
        <w:tc>
          <w:tcPr>
            <w:tcW w:type="dxa" w:w="1657"/>
          </w:tcPr>
          <w:p>
            <w:pPr>
              <w:keepNext/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L-01</w:t>
            </w:r>
          </w:p>
        </w:tc>
        <w:tc>
          <w:tcPr>
            <w:tcW w:type="dxa" w:w="2552"/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卖家退款列表无卖家过滤</w:t>
            </w:r>
          </w:p>
        </w:tc>
        <w:tc>
          <w:tcPr>
            <w:tcW w:type="dxa" w:w="2773"/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卖家可见全平台退款单</w:t>
            </w:r>
          </w:p>
        </w:tc>
        <w:tc>
          <w:tcPr>
            <w:tcW w:type="dxa" w:w="1873"/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待修复（#53）</w:t>
            </w:r>
          </w:p>
        </w:tc>
      </w:tr>
      <w:tr>
        <w:trPr>
          <w:cantSplit/>
        </w:trPr>
        <w:tc>
          <w:tcPr>
            <w:tcW w:type="dxa" w:w="1657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L-02</w:t>
            </w:r>
          </w:p>
        </w:tc>
        <w:tc>
          <w:tcPr>
            <w:tcW w:type="dxa" w:w="255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未做真实压力测试</w:t>
            </w:r>
          </w:p>
        </w:tc>
        <w:tc>
          <w:tcPr>
            <w:tcW w:type="dxa" w:w="2773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无 QPS 与响应时间数据</w:t>
            </w:r>
          </w:p>
        </w:tc>
        <w:tc>
          <w:tcPr>
            <w:tcW w:type="dxa" w:w="1873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未执行</w:t>
            </w:r>
          </w:p>
        </w:tc>
      </w:tr>
      <w:tr>
        <w:trPr>
          <w:cantSplit/>
        </w:trPr>
        <w:tc>
          <w:tcPr>
            <w:tcW w:type="dxa" w:w="1657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L-03</w:t>
            </w:r>
          </w:p>
        </w:tc>
        <w:tc>
          <w:tcPr>
            <w:tcW w:type="dxa" w:w="255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未做故障注入</w:t>
            </w:r>
          </w:p>
        </w:tc>
        <w:tc>
          <w:tcPr>
            <w:tcW w:type="dxa" w:w="2773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补偿与降级逻辑未验证</w:t>
            </w:r>
          </w:p>
        </w:tc>
        <w:tc>
          <w:tcPr>
            <w:tcW w:type="dxa" w:w="1873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未执行</w:t>
            </w:r>
          </w:p>
        </w:tc>
      </w:tr>
      <w:tr>
        <w:trPr>
          <w:cantSplit/>
        </w:trPr>
        <w:tc>
          <w:tcPr>
            <w:tcW w:type="dxa" w:w="1657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L-04</w:t>
            </w:r>
          </w:p>
        </w:tc>
        <w:tc>
          <w:tcPr>
            <w:tcW w:type="dxa" w:w="255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容器化部署未验收</w:t>
            </w:r>
          </w:p>
        </w:tc>
        <w:tc>
          <w:tcPr>
            <w:tcW w:type="dxa" w:w="2773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无容器编排验证</w:t>
            </w:r>
          </w:p>
        </w:tc>
        <w:tc>
          <w:tcPr>
            <w:tcW w:type="dxa" w:w="1873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待完成（#44）</w:t>
            </w:r>
          </w:p>
        </w:tc>
      </w:tr>
    </w:tbl>
    <w:p>
      <w:pPr>
        <w:pStyle w:val="Heading2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8"/>
        </w:rPr>
        <w:t xml:space="preserve">5. 部署方案</w:t>
      </w:r>
    </w:p>
    <w:p>
      <w:pPr>
        <w:pStyle w:val="Heading3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4"/>
        </w:rPr>
        <w:t xml:space="preserve">5.1 当前部署形态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本地单机部署（已验证）：</w:t>
      </w:r>
    </w:p>
    <w:p>
      <w:pPr>
        <w:pStyle w:val="ListParagraph"/>
        <w:numPr>
          <w:ilvl w:val="0"/>
          <w:numId w:val="3"/>
        </w:num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Nacos 2.3.2，端口 8848，单机模式</w:t>
      </w:r>
    </w:p>
    <w:p>
      <w:pPr>
        <w:pStyle w:val="ListParagraph"/>
        <w:numPr>
          <w:ilvl w:val="0"/>
          <w:numId w:val="3"/>
        </w:num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网关 9000；用户 9001；商品 9002；购物车 9003；订单 9004；支付 9005</w:t>
      </w:r>
    </w:p>
    <w:p>
      <w:pPr>
        <w:pStyle w:val="ListParagraph"/>
        <w:numPr>
          <w:ilvl w:val="0"/>
          <w:numId w:val="3"/>
        </w:num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MySQL 8.4，端口 3306，五个独立库各对应一个服务</w:t>
      </w:r>
    </w:p>
    <w:p>
      <w:pPr>
        <w:pStyle w:val="ListParagraph"/>
        <w:numPr>
          <w:ilvl w:val="0"/>
          <w:numId w:val="3"/>
        </w:num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前端 Vite，端口 5173，开发期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启动方式：</w:t>
      </w:r>
    </w:p>
    <w:p>
      <w:pPr>
        <w:spacing w:line="360" w:lineRule="auto"/>
        <w:ind w:firstLine="480"/>
        <w:jc w:val="both"/>
      </w:pPr>
      <w:r>
        <w:rPr>
          <w:rFonts w:ascii="Times New Roman" w:cs="Consolas" w:eastAsia="宋体" w:hAnsi="Times New Roman"/>
          <w:sz w:val="24"/>
          <w:szCs w:val="21"/>
        </w:rPr>
        <w:t xml:space="preserve">cd src\scripts</w:t>
      </w:r>
      <w:r>
        <w:rPr>
          <w:rFonts w:ascii="Times New Roman" w:cs="Consolas" w:eastAsia="宋体" w:hAnsi="Times New Roman"/>
          <w:sz w:val="24"/>
          <w:szCs w:val="21"/>
        </w:rPr>
        <w:br/>
      </w:r>
      <w:r>
        <w:rPr>
          <w:rFonts w:ascii="Times New Roman" w:cs="Consolas" w:eastAsia="宋体" w:hAnsi="Times New Roman"/>
          <w:sz w:val="24"/>
          <w:szCs w:val="21"/>
        </w:rPr>
        <w:t xml:space="preserve">dev.bat start      :: 一键启动全部服务</w:t>
      </w:r>
      <w:r>
        <w:rPr>
          <w:rFonts w:ascii="Times New Roman" w:cs="Consolas" w:eastAsia="宋体" w:hAnsi="Times New Roman"/>
          <w:sz w:val="24"/>
          <w:szCs w:val="21"/>
        </w:rPr>
        <w:br/>
      </w:r>
      <w:r>
        <w:rPr>
          <w:rFonts w:ascii="Times New Roman" w:cs="Consolas" w:eastAsia="宋体" w:hAnsi="Times New Roman"/>
          <w:sz w:val="24"/>
          <w:szCs w:val="21"/>
        </w:rPr>
        <w:t xml:space="preserve">dev.bat status     :: 查看端口与 Nacos 注册</w:t>
      </w:r>
      <w:r>
        <w:rPr>
          <w:rFonts w:ascii="Times New Roman" w:cs="Consolas" w:eastAsia="宋体" w:hAnsi="Times New Roman"/>
          <w:sz w:val="24"/>
          <w:szCs w:val="21"/>
        </w:rPr>
        <w:br/>
      </w:r>
      <w:r>
        <w:rPr>
          <w:rFonts w:ascii="Times New Roman" w:cs="Consolas" w:eastAsia="宋体" w:hAnsi="Times New Roman"/>
          <w:sz w:val="24"/>
          <w:szCs w:val="21"/>
        </w:rPr>
        <w:t xml:space="preserve">dev.bat stop       :: 停止全部</w:t>
      </w:r>
      <w:r>
        <w:rPr>
          <w:rFonts w:ascii="Times New Roman" w:cs="Consolas" w:eastAsia="宋体" w:hAnsi="Times New Roman"/>
          <w:sz w:val="24"/>
          <w:szCs w:val="21"/>
        </w:rPr>
        <w:br/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环境变量（口令与密钥不写进配置文件）：</w:t>
      </w:r>
    </w:p>
    <w:p>
      <w:pPr>
        <w:pStyle w:val="Heading3"/>
        <w:keepNext/>
        <w:spacing w:before="120" w:after="60" w:line="360" w:lineRule="auto"/>
        <w:ind w:firstLine="0"/>
        <w:jc w:val="center"/>
      </w:pPr>
      <w:r>
        <w:rPr>
          <w:rFonts w:ascii="Times New Roman" w:hAnsi="Times New Roman" w:eastAsia="宋体"/>
          <w:b/>
          <w:sz w:val="24"/>
        </w:rPr>
        <w:t>表 4-16 环境变量清单</w:t>
      </w:r>
    </w:p>
    <w:tbl>
      <w:tblPr>
        <w:tblW w:type="dxa" w:w="8855"/>
        <w:jc w:val="center"/>
        <w:tblLayout w:type="fixed"/>
        <w:tblBorders>
          <w:top w:val="single" w:sz="12" w:color="000000" w:space="0"/>
          <w:bottom w:val="single" w:sz="12" w:color="000000" w:space="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5510"/>
        <w:gridCol w:w="1209"/>
        <w:gridCol w:w="2134"/>
      </w:tblGrid>
      <w:tr>
        <w:trPr>
          <w:cantSplit/>
          <w:tblHeader/>
        </w:trPr>
        <w:tc>
          <w:tcPr>
            <w:tcW w:type="dxa" w:w="5511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变量</w:t>
            </w:r>
          </w:p>
        </w:tc>
        <w:tc>
          <w:tcPr>
            <w:tcW w:type="dxa" w:w="1210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用于</w:t>
            </w:r>
          </w:p>
        </w:tc>
        <w:tc>
          <w:tcPr>
            <w:tcW w:type="dxa" w:w="2135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5511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DB_PASSWORD</w:t>
            </w:r>
          </w:p>
        </w:tc>
        <w:tc>
          <w:tcPr>
            <w:tcW w:type="dxa" w:w="1210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各服务</w:t>
            </w:r>
          </w:p>
        </w:tc>
        <w:tc>
          <w:tcPr>
            <w:tcW w:type="dxa" w:w="2135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MySQL 口令</w:t>
            </w:r>
          </w:p>
        </w:tc>
      </w:tr>
      <w:tr>
        <w:trPr>
          <w:cantSplit/>
        </w:trPr>
        <w:tc>
          <w:tcPr>
            <w:tcW w:type="dxa" w:w="5511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JWT_SECRET</w:t>
            </w:r>
          </w:p>
        </w:tc>
        <w:tc>
          <w:tcPr>
            <w:tcW w:type="dxa" w:w="1210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网关、用户服务</w:t>
            </w:r>
          </w:p>
        </w:tc>
        <w:tc>
          <w:tcPr>
            <w:tcW w:type="dxa" w:w="2135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至少 32 位，两边一致</w:t>
            </w:r>
          </w:p>
        </w:tc>
      </w:tr>
      <w:tr>
        <w:trPr>
          <w:cantSplit/>
        </w:trPr>
        <w:tc>
          <w:tcPr>
            <w:tcW w:type="dxa" w:w="5511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MOCK_SECRET</w:t>
            </w:r>
          </w:p>
        </w:tc>
        <w:tc>
          <w:tcPr>
            <w:tcW w:type="dxa" w:w="1210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支付服务</w:t>
            </w:r>
          </w:p>
        </w:tc>
        <w:tc>
          <w:tcPr>
            <w:tcW w:type="dxa" w:w="2135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模拟渠道签名密钥</w:t>
            </w:r>
          </w:p>
        </w:tc>
      </w:tr>
      <w:tr>
        <w:trPr>
          <w:cantSplit/>
        </w:trPr>
        <w:tc>
          <w:tcPr>
            <w:tcW w:type="dxa" w:w="5511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ADMIN_BOOTSTRAP_ACCOUNT</w:t>
            </w:r>
          </w:p>
        </w:tc>
        <w:tc>
          <w:tcPr>
            <w:tcW w:type="dxa" w:w="1210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用户服务</w:t>
            </w:r>
          </w:p>
        </w:tc>
        <w:tc>
          <w:tcPr>
            <w:tcW w:type="dxa" w:w="2135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初始管理员账号，不设则跳过</w:t>
            </w:r>
          </w:p>
        </w:tc>
      </w:tr>
    </w:tbl>
    <w:p>
      <w:pPr>
        <w:pStyle w:val="Heading3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4"/>
        </w:rPr>
        <w:t xml:space="preserve">5.2 容器化部署（规划，未验收）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仓库内已提供 </w:t>
      </w:r>
      <w:r>
        <w:rPr>
          <w:rFonts w:ascii="Times New Roman" w:cs="Consolas" w:eastAsia="宋体" w:hAnsi="Times New Roman"/>
          <w:sz w:val="24"/>
        </w:rPr>
        <w:t xml:space="preserve">src/docker/docker-compose.yml</w:t>
      </w:r>
      <w:r>
        <w:rPr>
          <w:rFonts w:ascii="Times New Roman" w:hAnsi="Times New Roman" w:eastAsia="宋体"/>
          <w:sz w:val="24"/>
        </w:rPr>
        <w:t xml:space="preserve"> 与 </w:t>
      </w:r>
      <w:r>
        <w:rPr>
          <w:rFonts w:ascii="Times New Roman" w:cs="Consolas" w:eastAsia="宋体" w:hAnsi="Times New Roman"/>
          <w:sz w:val="24"/>
        </w:rPr>
        <w:t xml:space="preserve">init-db.sql</w:t>
      </w:r>
      <w:r>
        <w:rPr>
          <w:rFonts w:ascii="Times New Roman" w:hAnsi="Times New Roman" w:eastAsia="宋体"/>
          <w:sz w:val="24"/>
        </w:rPr>
        <w:t xml:space="preserve">，设计目标是编排 Nacos、MySQL、五个业务服务和网关。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/>
          <w:bCs/>
          <w:sz w:val="24"/>
        </w:rPr>
        <w:t xml:space="preserve">已验证</w:t>
      </w:r>
      <w:r>
        <w:rPr>
          <w:rFonts w:ascii="Times New Roman" w:hAnsi="Times New Roman" w:eastAsia="宋体"/>
          <w:sz w:val="24"/>
        </w:rPr>
        <w:t xml:space="preserve">：各服务可独立启动，配置全部走环境变量，具备容器化前提。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/>
          <w:bCs/>
          <w:sz w:val="24"/>
        </w:rPr>
        <w:t xml:space="preserve">未验证</w:t>
      </w:r>
      <w:r>
        <w:rPr>
          <w:rFonts w:ascii="Times New Roman" w:hAnsi="Times New Roman" w:eastAsia="宋体"/>
          <w:sz w:val="24"/>
        </w:rPr>
        <w:t xml:space="preserve">：能否一键起全栈、容器间网络与健康检查顺序、镜像构建。</w:t>
      </w:r>
      <w:r>
        <w:rPr>
          <w:rFonts w:ascii="Times New Roman" w:hAnsi="Times New Roman" w:eastAsia="宋体"/>
          <w:b/>
          <w:bCs/>
          <w:sz w:val="24"/>
        </w:rPr>
        <w:t xml:space="preserve">本报告不宣称容器化部署已可用</w:t>
      </w:r>
      <w:r>
        <w:rPr>
          <w:rFonts w:ascii="Times New Roman" w:hAnsi="Times New Roman" w:eastAsia="宋体"/>
          <w:sz w:val="24"/>
        </w:rPr>
        <w:t xml:space="preserve">，该项是 Issue #44 的任务。</w:t>
      </w:r>
    </w:p>
    <w:p>
      <w:pPr>
        <w:pStyle w:val="Heading3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4"/>
        </w:rPr>
        <w:t xml:space="preserve">5.3 上云步骤（规划）</w:t>
      </w:r>
    </w:p>
    <w:p>
      <w:pPr>
        <w:pStyle w:val="Heading3"/>
        <w:keepNext/>
        <w:spacing w:before="120" w:after="60" w:line="360" w:lineRule="auto"/>
        <w:ind w:firstLine="0"/>
        <w:jc w:val="center"/>
      </w:pPr>
      <w:r>
        <w:rPr>
          <w:rFonts w:ascii="Times New Roman" w:hAnsi="Times New Roman" w:eastAsia="宋体"/>
          <w:b/>
          <w:sz w:val="24"/>
        </w:rPr>
        <w:t>表 4-17 上云部署步骤</w:t>
      </w:r>
    </w:p>
    <w:tbl>
      <w:tblPr>
        <w:tblW w:type="dxa" w:w="8855"/>
        <w:jc w:val="center"/>
        <w:tblLayout w:type="fixed"/>
        <w:tblBorders>
          <w:top w:val="single" w:sz="12" w:color="000000" w:space="0"/>
          <w:bottom w:val="single" w:sz="12" w:color="000000" w:space="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1111"/>
        <w:gridCol w:w="4244"/>
        <w:gridCol w:w="3499"/>
      </w:tblGrid>
      <w:tr>
        <w:trPr>
          <w:cantSplit/>
          <w:tblHeader/>
        </w:trPr>
        <w:tc>
          <w:tcPr>
            <w:tcW w:type="dxa" w:w="1111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步骤</w:t>
            </w:r>
          </w:p>
        </w:tc>
        <w:tc>
          <w:tcPr>
            <w:tcW w:type="dxa" w:w="4244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内容</w:t>
            </w:r>
          </w:p>
        </w:tc>
        <w:tc>
          <w:tcPr>
            <w:tcW w:type="dxa" w:w="3499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注意</w:t>
            </w:r>
          </w:p>
        </w:tc>
      </w:tr>
      <w:tr>
        <w:trPr>
          <w:cantSplit/>
        </w:trPr>
        <w:tc>
          <w:tcPr>
            <w:tcW w:type="dxa" w:w="1111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1</w:t>
            </w:r>
          </w:p>
        </w:tc>
        <w:tc>
          <w:tcPr>
            <w:tcW w:type="dxa" w:w="4244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服务器安装 JDK 17、MySQL 8、Nacos 2.3.2</w:t>
            </w:r>
          </w:p>
        </w:tc>
        <w:tc>
          <w:tcPr>
            <w:tcW w:type="dxa" w:w="3499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Nacos 3.x 与当前依赖不兼容</w:t>
            </w:r>
          </w:p>
        </w:tc>
      </w:tr>
      <w:tr>
        <w:trPr>
          <w:cantSplit/>
        </w:trPr>
        <w:tc>
          <w:tcPr>
            <w:tcW w:type="dxa" w:w="1111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2</w:t>
            </w:r>
          </w:p>
        </w:tc>
        <w:tc>
          <w:tcPr>
            <w:tcW w:type="dxa" w:w="4244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初始化五个数据库并执行各服务 schema</w:t>
            </w:r>
          </w:p>
        </w:tc>
        <w:tc>
          <w:tcPr>
            <w:tcW w:type="dxa" w:w="3499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已有库需跑迁移脚本</w:t>
            </w:r>
          </w:p>
        </w:tc>
      </w:tr>
      <w:tr>
        <w:trPr>
          <w:cantSplit/>
        </w:trPr>
        <w:tc>
          <w:tcPr>
            <w:tcW w:type="dxa" w:w="1111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3</w:t>
            </w:r>
          </w:p>
        </w:tc>
        <w:tc>
          <w:tcPr>
            <w:tcW w:type="dxa" w:w="4244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设置环境变量后按顺序启动服务</w:t>
            </w:r>
          </w:p>
        </w:tc>
        <w:tc>
          <w:tcPr>
            <w:tcW w:type="dxa" w:w="3499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先 Nacos，再业务服务，最后网关</w:t>
            </w:r>
          </w:p>
        </w:tc>
      </w:tr>
      <w:tr>
        <w:trPr>
          <w:cantSplit/>
        </w:trPr>
        <w:tc>
          <w:tcPr>
            <w:tcW w:type="dxa" w:w="1111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4</w:t>
            </w:r>
          </w:p>
        </w:tc>
        <w:tc>
          <w:tcPr>
            <w:tcW w:type="dxa" w:w="4244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前端构建后由 Nginx 托管</w:t>
            </w:r>
          </w:p>
        </w:tc>
        <w:tc>
          <w:tcPr>
            <w:tcW w:type="dxa" w:w="3499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需把接口路径反代到网关</w:t>
            </w:r>
          </w:p>
        </w:tc>
      </w:tr>
      <w:tr>
        <w:trPr>
          <w:cantSplit/>
        </w:trPr>
        <w:tc>
          <w:tcPr>
            <w:tcW w:type="dxa" w:w="1111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5</w:t>
            </w:r>
          </w:p>
        </w:tc>
        <w:tc>
          <w:tcPr>
            <w:tcW w:type="dxa" w:w="4244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配置安全组只开放 80/443</w:t>
            </w:r>
          </w:p>
        </w:tc>
        <w:tc>
          <w:tcPr>
            <w:tcW w:type="dxa" w:w="3499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内部端口不对公网开放</w:t>
            </w:r>
          </w:p>
        </w:tc>
      </w:tr>
    </w:tbl>
    <w:p>
      <w:pPr>
        <w:pStyle w:val="Heading3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4"/>
        </w:rPr>
        <w:t xml:space="preserve">5.4 运维要点</w:t>
      </w:r>
    </w:p>
    <w:p>
      <w:pPr>
        <w:spacing w:before="120" w:after="60"/>
        <w:ind w:firstLine="0"/>
        <w:jc w:val="center"/>
      </w:pPr>
      <w:r>
        <w:rPr>
          <w:rFonts w:ascii="Times New Roman" w:hAnsi="Times New Roman" w:eastAsia="宋体"/>
          <w:b/>
          <w:sz w:val="24"/>
        </w:rPr>
        <w:t>表 4-18 运维要点</w:t>
      </w:r>
    </w:p>
    <w:tbl>
      <w:tblPr>
        <w:tblW w:type="dxa" w:w="8855"/>
        <w:jc w:val="center"/>
        <w:tblLayout w:type="fixed"/>
        <w:tblBorders>
          <w:top w:val="single" w:sz="12" w:color="000000" w:space="0"/>
          <w:bottom w:val="single" w:sz="12" w:color="000000" w:space="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2239"/>
        <w:gridCol w:w="6615"/>
      </w:tblGrid>
      <w:tr>
        <w:trPr>
          <w:cantSplit/>
          <w:tblHeader/>
        </w:trPr>
        <w:tc>
          <w:tcPr>
            <w:tcW w:type="dxa" w:w="2239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关注点</w:t>
            </w:r>
          </w:p>
        </w:tc>
        <w:tc>
          <w:tcPr>
            <w:tcW w:type="dxa" w:w="6616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做法</w:t>
            </w:r>
          </w:p>
        </w:tc>
      </w:tr>
      <w:tr>
        <w:trPr>
          <w:cantSplit/>
        </w:trPr>
        <w:tc>
          <w:tcPr>
            <w:tcW w:type="dxa" w:w="2239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服务健康</w:t>
            </w:r>
          </w:p>
        </w:tc>
        <w:tc>
          <w:tcPr>
            <w:tcW w:type="dxa" w:w="661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轮询各服务健康端点，Nacos 控制台看注册状态</w:t>
            </w:r>
          </w:p>
        </w:tc>
      </w:tr>
      <w:tr>
        <w:trPr>
          <w:cantSplit/>
        </w:trPr>
        <w:tc>
          <w:tcPr>
            <w:tcW w:type="dxa" w:w="2239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日志排查</w:t>
            </w:r>
          </w:p>
        </w:tc>
        <w:tc>
          <w:tcPr>
            <w:tcW w:type="dxa" w:w="661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各服务日志集中存放，按订单号串联调用链</w:t>
            </w:r>
          </w:p>
        </w:tc>
      </w:tr>
      <w:tr>
        <w:trPr>
          <w:cantSplit/>
        </w:trPr>
        <w:tc>
          <w:tcPr>
            <w:tcW w:type="dxa" w:w="2239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数据一致性</w:t>
            </w:r>
          </w:p>
        </w:tc>
        <w:tc>
          <w:tcPr>
            <w:tcW w:type="dxa" w:w="661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定期检查补偿表是否有超限失败任务</w:t>
            </w:r>
          </w:p>
        </w:tc>
      </w:tr>
      <w:tr>
        <w:trPr>
          <w:cantSplit/>
        </w:trPr>
        <w:tc>
          <w:tcPr>
            <w:tcW w:type="dxa" w:w="2239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库存对账</w:t>
            </w:r>
          </w:p>
        </w:tc>
        <w:tc>
          <w:tcPr>
            <w:tcW w:type="dxa" w:w="661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核对可售加锁定是否等于初始库存减销量</w:t>
            </w:r>
          </w:p>
        </w:tc>
      </w:tr>
      <w:tr>
        <w:trPr>
          <w:cantSplit/>
        </w:trPr>
        <w:tc>
          <w:tcPr>
            <w:tcW w:type="dxa" w:w="2239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备份</w:t>
            </w:r>
          </w:p>
        </w:tc>
        <w:tc>
          <w:tcPr>
            <w:tcW w:type="dxa" w:w="661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五个库分别导出，至少每日一次</w:t>
            </w:r>
          </w:p>
        </w:tc>
      </w:tr>
    </w:tbl>
    <w:sectPr>
      <w:footerReference w:type="default" r:id="rId8"/>
      <w:pgSz w:w="11905" w:h="16837" w:orient="portrait"/>
      <w:pgMar w:top="1417" w:right="1417" w:bottom="1417" w:left="1417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  <w:spacing w:before="0" w:after="0"/>
      <w:ind w:firstLineChars="0" w:firstLine="0"/>
    </w:pPr>
    <w:r>
      <w:rPr>
        <w:rFonts w:ascii="Times New Roman" w:hAnsi="Times New Roman" w:eastAsia="宋体"/>
        <w:sz w:val="21"/>
      </w:rPr>
      <w:t xml:space="preserve">— </w:t>
    </w:r>
    <w:r>
      <w:rPr>
        <w:rFonts w:ascii="Times New Roman" w:hAnsi="Times New Roman" w:eastAsia="宋体"/>
        <w:sz w:val="21"/>
      </w:rPr>
      <w:fldChar w:fldCharType="begin"/>
    </w:r>
    <w:r>
      <w:rPr>
        <w:rFonts w:ascii="Times New Roman" w:hAnsi="Times New Roman" w:eastAsia="宋体"/>
        <w:sz w:val="21"/>
      </w:rPr>
      <w:instrText xml:space="preserve"> PAGE </w:instrText>
    </w:r>
    <w:r>
      <w:rPr>
        <w:rFonts w:ascii="Times New Roman" w:hAnsi="Times New Roman" w:eastAsia="宋体"/>
        <w:sz w:val="21"/>
      </w:rPr>
      <w:fldChar w:fldCharType="separate"/>
    </w:r>
    <w:r>
      <w:rPr>
        <w:rFonts w:ascii="Times New Roman" w:hAnsi="Times New Roman" w:eastAsia="宋体"/>
        <w:sz w:val="21"/>
      </w:rPr>
      <w:t>1</w:t>
    </w:r>
    <w:r>
      <w:rPr>
        <w:rFonts w:ascii="Times New Roman" w:hAnsi="Times New Roman" w:eastAsia="宋体"/>
        <w:sz w:val="21"/>
      </w:rPr>
      <w:fldChar w:fldCharType="end"/>
    </w:r>
    <w:r>
      <w:rPr>
        <w:rFonts w:ascii="Times New Roman" w:hAnsi="Times New Roman" w:eastAsia="宋体"/>
        <w:sz w:val="21"/>
      </w:rPr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360"/>
      </w:pPr>
    </w:lvl>
    <w:lvl w:ilvl="1" w:tentative="1">
      <w:start w:val="1"/>
      <w:numFmt w:val="bullet"/>
      <w:lvlText w:val="•"/>
      <w:lvlJc w:val="left"/>
      <w:pPr>
        <w:ind w:left="720" w:hanging="360"/>
      </w:pPr>
    </w:lvl>
    <w:lvl w:ilvl="2" w:tentative="1">
      <w:start w:val="1"/>
      <w:numFmt w:val="bullet"/>
      <w:lvlText w:val="•"/>
      <w:lvlJc w:val="left"/>
      <w:pPr>
        <w:ind w:left="1080" w:hanging="360"/>
      </w:pPr>
    </w:lvl>
    <w:lvl w:ilvl="3" w:tentative="1">
      <w:start w:val="1"/>
      <w:numFmt w:val="bullet"/>
      <w:lvlText w:val="•"/>
      <w:lvlJc w:val="left"/>
      <w:pPr>
        <w:ind w:left="1440" w:hanging="360"/>
      </w:pPr>
    </w:lvl>
    <w:lvl w:ilvl="4" w:tentative="1">
      <w:start w:val="1"/>
      <w:numFmt w:val="bullet"/>
      <w:lvlText w:val="•"/>
      <w:lvlJc w:val="left"/>
      <w:pPr>
        <w:ind w:left="1800" w:hanging="360"/>
      </w:pPr>
    </w:lvl>
    <w:lvl w:ilvl="5" w:tentative="1">
      <w:start w:val="1"/>
      <w:numFmt w:val="bullet"/>
      <w:lvlText w:val="•"/>
      <w:lvlJc w:val="left"/>
      <w:pPr>
        <w:ind w:left="2160" w:hanging="360"/>
      </w:pPr>
    </w:lvl>
    <w:lvl w:ilvl="6" w:tentative="1">
      <w:start w:val="1"/>
      <w:numFmt w:val="bullet"/>
      <w:lvlText w:val="•"/>
      <w:lvlJc w:val="left"/>
      <w:pPr>
        <w:ind w:left="2520" w:hanging="360"/>
      </w:pPr>
    </w:lvl>
    <w:lvl w:ilvl="7" w:tentative="1">
      <w:start w:val="1"/>
      <w:numFmt w:val="bullet"/>
      <w:lvlText w:val="•"/>
      <w:lvlJc w:val="left"/>
      <w:pPr>
        <w:ind w:left="2880" w:hanging="360"/>
      </w:pPr>
    </w:lvl>
    <w:lvl w:ilvl="8" w:tentative="1">
      <w:start w:val="1"/>
      <w:numFmt w:val="bullet"/>
      <w:lvlText w:val="•"/>
      <w:lvlJc w:val="left"/>
      <w:pPr>
        <w:ind w:left="324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360" w:hanging="360"/>
      </w:pPr>
    </w:lvl>
    <w:lvl w:ilvl="1" w:tentative="1">
      <w:start w:val="1"/>
      <w:numFmt w:val="decimal"/>
      <w:lvlText w:val="%2."/>
      <w:lvlJc w:val="left"/>
      <w:pPr>
        <w:ind w:left="720" w:hanging="360"/>
      </w:pPr>
    </w:lvl>
    <w:lvl w:ilvl="2" w:tentative="1">
      <w:start w:val="1"/>
      <w:numFmt w:val="decimal"/>
      <w:lvlText w:val="%3."/>
      <w:lvlJc w:val="left"/>
      <w:pPr>
        <w:ind w:left="1080" w:hanging="360"/>
      </w:pPr>
    </w:lvl>
    <w:lvl w:ilvl="3" w:tentative="1">
      <w:start w:val="1"/>
      <w:numFmt w:val="decimal"/>
      <w:lvlText w:val="%4."/>
      <w:lvlJc w:val="left"/>
      <w:pPr>
        <w:ind w:left="1440" w:hanging="360"/>
      </w:pPr>
    </w:lvl>
    <w:lvl w:ilvl="4" w:tentative="1">
      <w:start w:val="1"/>
      <w:numFmt w:val="decimal"/>
      <w:lvlText w:val="%5."/>
      <w:lvlJc w:val="left"/>
      <w:pPr>
        <w:ind w:left="1800" w:hanging="360"/>
      </w:pPr>
    </w:lvl>
    <w:lvl w:ilvl="5" w:tentative="1">
      <w:start w:val="1"/>
      <w:numFmt w:val="decimal"/>
      <w:lvlText w:val="%6."/>
      <w:lvlJc w:val="left"/>
      <w:pPr>
        <w:ind w:left="2160" w:hanging="360"/>
      </w:pPr>
    </w:lvl>
    <w:lvl w:ilvl="6" w:tentative="1">
      <w:start w:val="1"/>
      <w:numFmt w:val="decimal"/>
      <w:lvlText w:val="%7."/>
      <w:lvlJc w:val="left"/>
      <w:pPr>
        <w:ind w:left="2520" w:hanging="360"/>
      </w:pPr>
    </w:lvl>
    <w:lvl w:ilvl="7" w:tentative="1">
      <w:start w:val="1"/>
      <w:numFmt w:val="decimal"/>
      <w:lvlText w:val="%8."/>
      <w:lvlJc w:val="left"/>
      <w:pPr>
        <w:ind w:left="2880" w:hanging="360"/>
      </w:pPr>
    </w:lvl>
    <w:lvl w:ilvl="8" w:tentative="1">
      <w:start w:val="1"/>
      <w:numFmt w:val="decimal"/>
      <w:lvlText w:val="%9."/>
      <w:lvlJc w:val="left"/>
      <w:pPr>
        <w:ind w:left="324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等线" w:cs="等线" w:eastAsia="等线" w:hAnsi="等线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Relationship Id="rId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文档</dc:title>
  <dc:creator>Un-named</dc:creator>
  <cp:lastModifiedBy>Un-named</cp:lastModifiedBy>
  <cp:revision>1</cp:revision>
  <dcterms:created xsi:type="dcterms:W3CDTF">2026-10-28T11:56:24.890Z</dcterms:created>
  <dcterms:modified xsi:type="dcterms:W3CDTF">2026-10-28T11:56:24.890Z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