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六个后端模块共 25 个测试类、117 个测试用例。其中 116 个稳定通过，1 个并发用例（Issue48OrderConcurrencyTest）存在竞态缺陷，连续运行 5 次有 3 次失败，已在 Issue #74 记录。</w:t>
      </w:r>
      <w:r>
        <w:rPr>
          <w:rFonts w:ascii="Times New Roman" w:hAnsi="Times New Roman" w:eastAsia="宋体"/>
          <w:b/>
          <w:bCs/>
          <w:sz w:val="24"/>
        </w:rPr>
      </w:r>
      <w:r>
        <w:rPr>
          <w:rFonts w:ascii="Times New Roman" w:hAnsi="Times New Roman" w:eastAsia="宋体"/>
          <w:sz w:val="24"/>
        </w:rPr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2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6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117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116 通过 / 1 不稳定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gateway（9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白名单判定、评价公开路径放行、审计日志需登录、保留段排除、跨域预检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内部购物车接口令牌校验：正确/错误/缺失/删除条目/用户隔离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InternalCartControllerOpenTest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未配置令牌时的开发期放行行为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AuditLogServiceIntegrationTest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审计写入校验、筛选、分页倒序、日期区间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EvaluationServiceIntegrationTest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评价创建、一单一评、隐私掩码、隐藏/恢复、权限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payment-service（36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回调验签、幂等去重、金额核对、状态更新、同 tradeNo 10 次重复、6 线程并发重复、订单取消自动退款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退款申请、审核、超额退款拦截、卖家隔离、退款详情、历史 sellerId 补齐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接口路径双前缀兼容、退款列表、售后接口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AfterSaleServiceIntegrationTest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三类售后流程、权限、状态幂等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仅返回本店退款单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通过（#53 已修复）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申请仅退款售后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REFUND_ONLY 售后单，卖家同意后走退款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售后单 PENDING → APPROVED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申请退货退款并按流程走完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买家回填物流，卖家确认收货后退款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BUYER_SHIPPED → SELLER_RECEIVED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同订单重复申请售后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已有进行中售后单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拒绝创建新售后单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返回「该订单已有进行中的售后单」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自动化测试 117 个用例中 116 个通过，覆盖鉴权、下单、支付、退款、配置、并发六个方面；Issue48OrderConcurrencyTest 的重复幂等键用例暴露了并发预占的竞态缺陷（见 4.5 遗留问题 L-05）。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已修复（#53，PR #70）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 QPS 与响应时间数据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容器化部署未验收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无容器编排验证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待完成（#44）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L-05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并发同幂等键下单仍可能重复预占库存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reserve 被调用多次，库存可能重复扣减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已记录（Issue #74），待修复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5.2 容器化部署（规划，未验收）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仓库内已提供 </w:t>
      </w:r>
      <w:r>
        <w:rPr>
          <w:rFonts w:ascii="Times New Roman" w:cs="Consolas" w:eastAsia="宋体" w:hAnsi="Times New Roman"/>
          <w:sz w:val="24"/>
        </w:rPr>
        <w:t xml:space="preserve">src/docker/docker-compose.yml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Times New Roman" w:cs="Consolas" w:eastAsia="宋体" w:hAnsi="Times New Roman"/>
          <w:sz w:val="24"/>
        </w:rPr>
        <w:t xml:space="preserve">init-db.sql</w:t>
      </w:r>
      <w:r>
        <w:rPr>
          <w:rFonts w:ascii="Times New Roman" w:hAnsi="Times New Roman" w:eastAsia="宋体"/>
          <w:sz w:val="24"/>
        </w:rPr>
        <w:t xml:space="preserve">，设计目标是编排 Nacos、MySQL、五个业务服务和网关。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已验证</w:t>
      </w:r>
      <w:r>
        <w:rPr>
          <w:rFonts w:ascii="Times New Roman" w:hAnsi="Times New Roman" w:eastAsia="宋体"/>
          <w:sz w:val="24"/>
        </w:rPr>
        <w:t xml:space="preserve">：各服务可独立启动，配置全部走环境变量，具备容器化前提。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未验证</w:t>
      </w:r>
      <w:r>
        <w:rPr>
          <w:rFonts w:ascii="Times New Roman" w:hAnsi="Times New Roman" w:eastAsia="宋体"/>
          <w:sz w:val="24"/>
        </w:rPr>
        <w:t xml:space="preserve">：能否一键起全栈、容器间网络与健康检查顺序、镜像构建。</w:t>
      </w:r>
      <w:r>
        <w:rPr>
          <w:rFonts w:ascii="Times New Roman" w:hAnsi="Times New Roman" w:eastAsia="宋体"/>
          <w:b/>
          <w:bCs/>
          <w:sz w:val="24"/>
        </w:rPr>
        <w:t xml:space="preserve">本报告不宣称容器化部署已可用</w:t>
      </w:r>
      <w:r>
        <w:rPr>
          <w:rFonts w:ascii="Times New Roman" w:hAnsi="Times New Roman" w:eastAsia="宋体"/>
          <w:sz w:val="24"/>
        </w:rPr>
        <w:t xml:space="preserve">，该项是 Issue #44 的任务。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