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13DA3" w:rsidRDefault="00D13DA3"/>
    <w:p w:rsidR="000E46AD" w:rsidRDefault="000E46AD" w:rsidP="00F16108">
      <w:pPr>
        <w:pStyle w:val="PolicySubheader"/>
        <w:spacing w:before="120"/>
      </w:pPr>
      <w:bookmarkStart w:id="0" w:name="_Toc242654773"/>
    </w:p>
    <w:p w:rsidR="003178ED" w:rsidRDefault="003178ED" w:rsidP="00F16108">
      <w:pPr>
        <w:pStyle w:val="PolicySubheader"/>
        <w:spacing w:before="120"/>
      </w:pPr>
    </w:p>
    <w:p w:rsidR="003178ED" w:rsidRPr="00573C4A" w:rsidRDefault="003178ED" w:rsidP="003178ED">
      <w:pPr>
        <w:jc w:val="center"/>
        <w:rPr>
          <w:rFonts w:asciiTheme="majorHAnsi" w:hAnsiTheme="majorHAnsi" w:cstheme="majorHAnsi"/>
          <w:i/>
          <w:sz w:val="144"/>
          <w:szCs w:val="144"/>
        </w:rPr>
      </w:pPr>
      <w:r>
        <w:rPr>
          <w:rFonts w:asciiTheme="majorHAnsi" w:hAnsiTheme="majorHAnsi" w:cstheme="majorHAnsi"/>
          <w:i/>
          <w:sz w:val="144"/>
          <w:szCs w:val="144"/>
        </w:rPr>
        <w:t xml:space="preserve">Access Control </w:t>
      </w:r>
      <w:r w:rsidRPr="00573C4A">
        <w:rPr>
          <w:rFonts w:asciiTheme="majorHAnsi" w:hAnsiTheme="majorHAnsi" w:cstheme="majorHAnsi"/>
          <w:i/>
          <w:sz w:val="144"/>
          <w:szCs w:val="144"/>
        </w:rPr>
        <w:t>Policy</w:t>
      </w:r>
    </w:p>
    <w:p w:rsidR="000E46AD" w:rsidRDefault="000E46AD" w:rsidP="00F16108">
      <w:pPr>
        <w:pStyle w:val="PolicySubheader"/>
        <w:spacing w:before="120"/>
      </w:pPr>
    </w:p>
    <w:p w:rsidR="000E46AD" w:rsidRDefault="000E46AD" w:rsidP="00F16108">
      <w:pPr>
        <w:pStyle w:val="PolicySubheader"/>
        <w:spacing w:before="120"/>
      </w:pPr>
    </w:p>
    <w:p w:rsidR="000E46AD" w:rsidRDefault="000E46AD" w:rsidP="00F16108">
      <w:pPr>
        <w:pStyle w:val="PolicySubheader"/>
        <w:spacing w:before="120"/>
      </w:pPr>
    </w:p>
    <w:p w:rsidR="000E46AD" w:rsidRDefault="000E46AD" w:rsidP="00F16108">
      <w:pPr>
        <w:pStyle w:val="PolicySubheader"/>
        <w:spacing w:before="120"/>
      </w:pPr>
    </w:p>
    <w:p w:rsidR="000E46AD" w:rsidRDefault="000E46A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3178ED" w:rsidRDefault="003178ED" w:rsidP="00F16108">
      <w:pPr>
        <w:pStyle w:val="PolicySubheader"/>
        <w:spacing w:before="120"/>
      </w:pPr>
    </w:p>
    <w:p w:rsidR="009D023A" w:rsidRDefault="003178ED" w:rsidP="00F16108">
      <w:pPr>
        <w:pStyle w:val="PolicySubheader"/>
        <w:spacing w:before="120"/>
        <w:rPr>
          <w:noProof/>
        </w:rPr>
      </w:pPr>
      <w:r>
        <w:t>T</w:t>
      </w:r>
      <w:r w:rsidR="005B23C5" w:rsidRPr="0029313E">
        <w:t>able of Contents</w:t>
      </w:r>
      <w:bookmarkEnd w:id="0"/>
      <w:r w:rsidR="004E0F13">
        <w:fldChar w:fldCharType="begin"/>
      </w:r>
      <w:r w:rsidR="0085160B">
        <w:instrText xml:space="preserve"> TOC \o "1-3" \h \z \u </w:instrText>
      </w:r>
      <w:r w:rsidR="004E0F13">
        <w:fldChar w:fldCharType="separate"/>
      </w:r>
    </w:p>
    <w:p w:rsidR="009D023A" w:rsidRPr="007103D1" w:rsidRDefault="00875058" w:rsidP="009D023A">
      <w:pPr>
        <w:pStyle w:val="TOC1"/>
        <w:rPr>
          <w:rFonts w:ascii="Calibri" w:hAnsi="Calibri"/>
          <w:noProof/>
          <w:szCs w:val="22"/>
        </w:rPr>
      </w:pPr>
      <w:hyperlink w:anchor="_Toc3901605" w:history="1">
        <w:r w:rsidR="009D023A" w:rsidRPr="00BC0CB4">
          <w:rPr>
            <w:rStyle w:val="Hyperlink"/>
            <w:bCs/>
            <w:noProof/>
          </w:rPr>
          <w:t>Purpose</w:t>
        </w:r>
        <w:r w:rsidR="009D023A">
          <w:rPr>
            <w:noProof/>
            <w:webHidden/>
          </w:rPr>
          <w:tab/>
        </w:r>
        <w:r w:rsidR="009D023A">
          <w:rPr>
            <w:noProof/>
            <w:webHidden/>
          </w:rPr>
          <w:fldChar w:fldCharType="begin"/>
        </w:r>
        <w:r w:rsidR="009D023A">
          <w:rPr>
            <w:noProof/>
            <w:webHidden/>
          </w:rPr>
          <w:instrText xml:space="preserve"> PAGEREF _Toc3901605 \h </w:instrText>
        </w:r>
        <w:r w:rsidR="009D023A">
          <w:rPr>
            <w:noProof/>
            <w:webHidden/>
          </w:rPr>
        </w:r>
        <w:r w:rsidR="009D023A">
          <w:rPr>
            <w:noProof/>
            <w:webHidden/>
          </w:rPr>
          <w:fldChar w:fldCharType="separate"/>
        </w:r>
        <w:r w:rsidR="009D023A">
          <w:rPr>
            <w:noProof/>
            <w:webHidden/>
          </w:rPr>
          <w:t>1</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06" w:history="1">
        <w:r w:rsidR="009D023A" w:rsidRPr="00BC0CB4">
          <w:rPr>
            <w:rStyle w:val="Hyperlink"/>
            <w:bCs/>
            <w:noProof/>
          </w:rPr>
          <w:t>Scope</w:t>
        </w:r>
        <w:r w:rsidR="009D023A">
          <w:rPr>
            <w:noProof/>
            <w:webHidden/>
          </w:rPr>
          <w:tab/>
        </w:r>
        <w:r w:rsidR="009D023A">
          <w:rPr>
            <w:noProof/>
            <w:webHidden/>
          </w:rPr>
          <w:fldChar w:fldCharType="begin"/>
        </w:r>
        <w:r w:rsidR="009D023A">
          <w:rPr>
            <w:noProof/>
            <w:webHidden/>
          </w:rPr>
          <w:instrText xml:space="preserve"> PAGEREF _Toc3901606 \h </w:instrText>
        </w:r>
        <w:r w:rsidR="009D023A">
          <w:rPr>
            <w:noProof/>
            <w:webHidden/>
          </w:rPr>
        </w:r>
        <w:r w:rsidR="009D023A">
          <w:rPr>
            <w:noProof/>
            <w:webHidden/>
          </w:rPr>
          <w:fldChar w:fldCharType="separate"/>
        </w:r>
        <w:r w:rsidR="009D023A">
          <w:rPr>
            <w:noProof/>
            <w:webHidden/>
          </w:rPr>
          <w:t>1</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07" w:history="1">
        <w:r w:rsidR="009D023A" w:rsidRPr="00BC0CB4">
          <w:rPr>
            <w:rStyle w:val="Hyperlink"/>
            <w:bCs/>
            <w:noProof/>
          </w:rPr>
          <w:t>Policy</w:t>
        </w:r>
        <w:r w:rsidR="009D023A">
          <w:rPr>
            <w:noProof/>
            <w:webHidden/>
          </w:rPr>
          <w:tab/>
        </w:r>
        <w:r w:rsidR="009D023A">
          <w:rPr>
            <w:noProof/>
            <w:webHidden/>
          </w:rPr>
          <w:fldChar w:fldCharType="begin"/>
        </w:r>
        <w:r w:rsidR="009D023A">
          <w:rPr>
            <w:noProof/>
            <w:webHidden/>
          </w:rPr>
          <w:instrText xml:space="preserve"> PAGEREF _Toc3901607 \h </w:instrText>
        </w:r>
        <w:r w:rsidR="009D023A">
          <w:rPr>
            <w:noProof/>
            <w:webHidden/>
          </w:rPr>
        </w:r>
        <w:r w:rsidR="009D023A">
          <w:rPr>
            <w:noProof/>
            <w:webHidden/>
          </w:rPr>
          <w:fldChar w:fldCharType="separate"/>
        </w:r>
        <w:r w:rsidR="009D023A">
          <w:rPr>
            <w:noProof/>
            <w:webHidden/>
          </w:rPr>
          <w:t>1</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08" w:history="1">
        <w:r w:rsidR="009D023A" w:rsidRPr="00BC0CB4">
          <w:rPr>
            <w:rStyle w:val="Hyperlink"/>
            <w:noProof/>
          </w:rPr>
          <w:t>Access Restrictions</w:t>
        </w:r>
        <w:r w:rsidR="009D023A">
          <w:rPr>
            <w:noProof/>
            <w:webHidden/>
          </w:rPr>
          <w:tab/>
        </w:r>
        <w:r w:rsidR="009D023A">
          <w:rPr>
            <w:noProof/>
            <w:webHidden/>
          </w:rPr>
          <w:fldChar w:fldCharType="begin"/>
        </w:r>
        <w:r w:rsidR="009D023A">
          <w:rPr>
            <w:noProof/>
            <w:webHidden/>
          </w:rPr>
          <w:instrText xml:space="preserve"> PAGEREF _Toc3901608 \h </w:instrText>
        </w:r>
        <w:r w:rsidR="009D023A">
          <w:rPr>
            <w:noProof/>
            <w:webHidden/>
          </w:rPr>
        </w:r>
        <w:r w:rsidR="009D023A">
          <w:rPr>
            <w:noProof/>
            <w:webHidden/>
          </w:rPr>
          <w:fldChar w:fldCharType="separate"/>
        </w:r>
        <w:r w:rsidR="009D023A">
          <w:rPr>
            <w:noProof/>
            <w:webHidden/>
          </w:rPr>
          <w:t>1</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09" w:history="1">
        <w:r w:rsidR="009D023A" w:rsidRPr="00BC0CB4">
          <w:rPr>
            <w:rStyle w:val="Hyperlink"/>
            <w:noProof/>
          </w:rPr>
          <w:t>User ID and Account Management</w:t>
        </w:r>
        <w:r w:rsidR="009D023A">
          <w:rPr>
            <w:noProof/>
            <w:webHidden/>
          </w:rPr>
          <w:tab/>
        </w:r>
        <w:r w:rsidR="009D023A">
          <w:rPr>
            <w:noProof/>
            <w:webHidden/>
          </w:rPr>
          <w:fldChar w:fldCharType="begin"/>
        </w:r>
        <w:r w:rsidR="009D023A">
          <w:rPr>
            <w:noProof/>
            <w:webHidden/>
          </w:rPr>
          <w:instrText xml:space="preserve"> PAGEREF _Toc3901609 \h </w:instrText>
        </w:r>
        <w:r w:rsidR="009D023A">
          <w:rPr>
            <w:noProof/>
            <w:webHidden/>
          </w:rPr>
        </w:r>
        <w:r w:rsidR="009D023A">
          <w:rPr>
            <w:noProof/>
            <w:webHidden/>
          </w:rPr>
          <w:fldChar w:fldCharType="separate"/>
        </w:r>
        <w:r w:rsidR="009D023A">
          <w:rPr>
            <w:noProof/>
            <w:webHidden/>
          </w:rPr>
          <w:t>1</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10" w:history="1">
        <w:r w:rsidR="009D023A" w:rsidRPr="00BC0CB4">
          <w:rPr>
            <w:rStyle w:val="Hyperlink"/>
            <w:noProof/>
          </w:rPr>
          <w:t>Access Authorization</w:t>
        </w:r>
        <w:r w:rsidR="009D023A">
          <w:rPr>
            <w:noProof/>
            <w:webHidden/>
          </w:rPr>
          <w:tab/>
        </w:r>
        <w:r w:rsidR="009D023A">
          <w:rPr>
            <w:noProof/>
            <w:webHidden/>
          </w:rPr>
          <w:fldChar w:fldCharType="begin"/>
        </w:r>
        <w:r w:rsidR="009D023A">
          <w:rPr>
            <w:noProof/>
            <w:webHidden/>
          </w:rPr>
          <w:instrText xml:space="preserve"> PAGEREF _Toc3901610 \h </w:instrText>
        </w:r>
        <w:r w:rsidR="009D023A">
          <w:rPr>
            <w:noProof/>
            <w:webHidden/>
          </w:rPr>
        </w:r>
        <w:r w:rsidR="009D023A">
          <w:rPr>
            <w:noProof/>
            <w:webHidden/>
          </w:rPr>
          <w:fldChar w:fldCharType="separate"/>
        </w:r>
        <w:r w:rsidR="009D023A">
          <w:rPr>
            <w:noProof/>
            <w:webHidden/>
          </w:rPr>
          <w:t>2</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11" w:history="1">
        <w:r w:rsidR="009D023A" w:rsidRPr="00BC0CB4">
          <w:rPr>
            <w:rStyle w:val="Hyperlink"/>
            <w:noProof/>
          </w:rPr>
          <w:t>Password Requirements</w:t>
        </w:r>
        <w:r w:rsidR="009D023A">
          <w:rPr>
            <w:noProof/>
            <w:webHidden/>
          </w:rPr>
          <w:tab/>
        </w:r>
        <w:r w:rsidR="009D023A">
          <w:rPr>
            <w:noProof/>
            <w:webHidden/>
          </w:rPr>
          <w:fldChar w:fldCharType="begin"/>
        </w:r>
        <w:r w:rsidR="009D023A">
          <w:rPr>
            <w:noProof/>
            <w:webHidden/>
          </w:rPr>
          <w:instrText xml:space="preserve"> PAGEREF _Toc3901611 \h </w:instrText>
        </w:r>
        <w:r w:rsidR="009D023A">
          <w:rPr>
            <w:noProof/>
            <w:webHidden/>
          </w:rPr>
        </w:r>
        <w:r w:rsidR="009D023A">
          <w:rPr>
            <w:noProof/>
            <w:webHidden/>
          </w:rPr>
          <w:fldChar w:fldCharType="separate"/>
        </w:r>
        <w:r w:rsidR="009D023A">
          <w:rPr>
            <w:noProof/>
            <w:webHidden/>
          </w:rPr>
          <w:t>2</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12" w:history="1">
        <w:r w:rsidR="009D023A" w:rsidRPr="00BC0CB4">
          <w:rPr>
            <w:rStyle w:val="Hyperlink"/>
            <w:noProof/>
          </w:rPr>
          <w:t>System Privileges</w:t>
        </w:r>
        <w:r w:rsidR="009D023A">
          <w:rPr>
            <w:noProof/>
            <w:webHidden/>
          </w:rPr>
          <w:tab/>
        </w:r>
        <w:r w:rsidR="009D023A">
          <w:rPr>
            <w:noProof/>
            <w:webHidden/>
          </w:rPr>
          <w:fldChar w:fldCharType="begin"/>
        </w:r>
        <w:r w:rsidR="009D023A">
          <w:rPr>
            <w:noProof/>
            <w:webHidden/>
          </w:rPr>
          <w:instrText xml:space="preserve"> PAGEREF _Toc3901612 \h </w:instrText>
        </w:r>
        <w:r w:rsidR="009D023A">
          <w:rPr>
            <w:noProof/>
            <w:webHidden/>
          </w:rPr>
        </w:r>
        <w:r w:rsidR="009D023A">
          <w:rPr>
            <w:noProof/>
            <w:webHidden/>
          </w:rPr>
          <w:fldChar w:fldCharType="separate"/>
        </w:r>
        <w:r w:rsidR="009D023A">
          <w:rPr>
            <w:noProof/>
            <w:webHidden/>
          </w:rPr>
          <w:t>2</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13" w:history="1">
        <w:r w:rsidR="009D023A" w:rsidRPr="00BC0CB4">
          <w:rPr>
            <w:rStyle w:val="Hyperlink"/>
            <w:noProof/>
          </w:rPr>
          <w:t>Session Controls</w:t>
        </w:r>
        <w:r w:rsidR="009D023A">
          <w:rPr>
            <w:noProof/>
            <w:webHidden/>
          </w:rPr>
          <w:tab/>
        </w:r>
        <w:r w:rsidR="009D023A">
          <w:rPr>
            <w:noProof/>
            <w:webHidden/>
          </w:rPr>
          <w:fldChar w:fldCharType="begin"/>
        </w:r>
        <w:r w:rsidR="009D023A">
          <w:rPr>
            <w:noProof/>
            <w:webHidden/>
          </w:rPr>
          <w:instrText xml:space="preserve"> PAGEREF _Toc3901613 \h </w:instrText>
        </w:r>
        <w:r w:rsidR="009D023A">
          <w:rPr>
            <w:noProof/>
            <w:webHidden/>
          </w:rPr>
        </w:r>
        <w:r w:rsidR="009D023A">
          <w:rPr>
            <w:noProof/>
            <w:webHidden/>
          </w:rPr>
          <w:fldChar w:fldCharType="separate"/>
        </w:r>
        <w:r w:rsidR="009D023A">
          <w:rPr>
            <w:noProof/>
            <w:webHidden/>
          </w:rPr>
          <w:t>3</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14" w:history="1">
        <w:r w:rsidR="009D023A" w:rsidRPr="00BC0CB4">
          <w:rPr>
            <w:rStyle w:val="Hyperlink"/>
            <w:noProof/>
          </w:rPr>
          <w:t>System Authentication</w:t>
        </w:r>
        <w:r w:rsidR="009D023A">
          <w:rPr>
            <w:noProof/>
            <w:webHidden/>
          </w:rPr>
          <w:tab/>
        </w:r>
        <w:r w:rsidR="009D023A">
          <w:rPr>
            <w:noProof/>
            <w:webHidden/>
          </w:rPr>
          <w:fldChar w:fldCharType="begin"/>
        </w:r>
        <w:r w:rsidR="009D023A">
          <w:rPr>
            <w:noProof/>
            <w:webHidden/>
          </w:rPr>
          <w:instrText xml:space="preserve"> PAGEREF _Toc3901614 \h </w:instrText>
        </w:r>
        <w:r w:rsidR="009D023A">
          <w:rPr>
            <w:noProof/>
            <w:webHidden/>
          </w:rPr>
        </w:r>
        <w:r w:rsidR="009D023A">
          <w:rPr>
            <w:noProof/>
            <w:webHidden/>
          </w:rPr>
          <w:fldChar w:fldCharType="separate"/>
        </w:r>
        <w:r w:rsidR="009D023A">
          <w:rPr>
            <w:noProof/>
            <w:webHidden/>
          </w:rPr>
          <w:t>3</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15" w:history="1">
        <w:r w:rsidR="009D023A" w:rsidRPr="00BC0CB4">
          <w:rPr>
            <w:rStyle w:val="Hyperlink"/>
            <w:noProof/>
          </w:rPr>
          <w:t>Records</w:t>
        </w:r>
        <w:r w:rsidR="009D023A">
          <w:rPr>
            <w:noProof/>
            <w:webHidden/>
          </w:rPr>
          <w:tab/>
        </w:r>
        <w:r w:rsidR="009D023A">
          <w:rPr>
            <w:noProof/>
            <w:webHidden/>
          </w:rPr>
          <w:fldChar w:fldCharType="begin"/>
        </w:r>
        <w:r w:rsidR="009D023A">
          <w:rPr>
            <w:noProof/>
            <w:webHidden/>
          </w:rPr>
          <w:instrText xml:space="preserve"> PAGEREF _Toc3901615 \h </w:instrText>
        </w:r>
        <w:r w:rsidR="009D023A">
          <w:rPr>
            <w:noProof/>
            <w:webHidden/>
          </w:rPr>
        </w:r>
        <w:r w:rsidR="009D023A">
          <w:rPr>
            <w:noProof/>
            <w:webHidden/>
          </w:rPr>
          <w:fldChar w:fldCharType="separate"/>
        </w:r>
        <w:r w:rsidR="009D023A">
          <w:rPr>
            <w:noProof/>
            <w:webHidden/>
          </w:rPr>
          <w:t>3</w:t>
        </w:r>
        <w:r w:rsidR="009D023A">
          <w:rPr>
            <w:noProof/>
            <w:webHidden/>
          </w:rPr>
          <w:fldChar w:fldCharType="end"/>
        </w:r>
      </w:hyperlink>
    </w:p>
    <w:p w:rsidR="009D023A" w:rsidRPr="007103D1" w:rsidRDefault="00875058">
      <w:pPr>
        <w:pStyle w:val="TOC3"/>
        <w:tabs>
          <w:tab w:val="right" w:leader="dot" w:pos="9350"/>
        </w:tabs>
        <w:rPr>
          <w:rFonts w:ascii="Calibri" w:hAnsi="Calibri"/>
          <w:noProof/>
          <w:szCs w:val="22"/>
        </w:rPr>
      </w:pPr>
      <w:hyperlink w:anchor="_Toc3901616" w:history="1">
        <w:r w:rsidR="009D023A" w:rsidRPr="00BC0CB4">
          <w:rPr>
            <w:rStyle w:val="Hyperlink"/>
            <w:noProof/>
          </w:rPr>
          <w:t>Access Review</w:t>
        </w:r>
        <w:r w:rsidR="009D023A">
          <w:rPr>
            <w:noProof/>
            <w:webHidden/>
          </w:rPr>
          <w:tab/>
        </w:r>
        <w:r w:rsidR="009D023A">
          <w:rPr>
            <w:noProof/>
            <w:webHidden/>
          </w:rPr>
          <w:fldChar w:fldCharType="begin"/>
        </w:r>
        <w:r w:rsidR="009D023A">
          <w:rPr>
            <w:noProof/>
            <w:webHidden/>
          </w:rPr>
          <w:instrText xml:space="preserve"> PAGEREF _Toc3901616 \h </w:instrText>
        </w:r>
        <w:r w:rsidR="009D023A">
          <w:rPr>
            <w:noProof/>
            <w:webHidden/>
          </w:rPr>
        </w:r>
        <w:r w:rsidR="009D023A">
          <w:rPr>
            <w:noProof/>
            <w:webHidden/>
          </w:rPr>
          <w:fldChar w:fldCharType="separate"/>
        </w:r>
        <w:r w:rsidR="009D023A">
          <w:rPr>
            <w:noProof/>
            <w:webHidden/>
          </w:rPr>
          <w:t>4</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17" w:history="1">
        <w:r w:rsidR="009D023A" w:rsidRPr="00BC0CB4">
          <w:rPr>
            <w:rStyle w:val="Hyperlink"/>
            <w:bCs/>
            <w:noProof/>
          </w:rPr>
          <w:t>Violations</w:t>
        </w:r>
        <w:r w:rsidR="009D023A">
          <w:rPr>
            <w:noProof/>
            <w:webHidden/>
          </w:rPr>
          <w:tab/>
        </w:r>
        <w:r w:rsidR="009D023A">
          <w:rPr>
            <w:noProof/>
            <w:webHidden/>
          </w:rPr>
          <w:fldChar w:fldCharType="begin"/>
        </w:r>
        <w:r w:rsidR="009D023A">
          <w:rPr>
            <w:noProof/>
            <w:webHidden/>
          </w:rPr>
          <w:instrText xml:space="preserve"> PAGEREF _Toc3901617 \h </w:instrText>
        </w:r>
        <w:r w:rsidR="009D023A">
          <w:rPr>
            <w:noProof/>
            <w:webHidden/>
          </w:rPr>
        </w:r>
        <w:r w:rsidR="009D023A">
          <w:rPr>
            <w:noProof/>
            <w:webHidden/>
          </w:rPr>
          <w:fldChar w:fldCharType="separate"/>
        </w:r>
        <w:r w:rsidR="009D023A">
          <w:rPr>
            <w:noProof/>
            <w:webHidden/>
          </w:rPr>
          <w:t>4</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18" w:history="1">
        <w:r w:rsidR="009D023A" w:rsidRPr="00BC0CB4">
          <w:rPr>
            <w:rStyle w:val="Hyperlink"/>
            <w:bCs/>
            <w:noProof/>
          </w:rPr>
          <w:t>Definitions</w:t>
        </w:r>
        <w:r w:rsidR="009D023A">
          <w:rPr>
            <w:noProof/>
            <w:webHidden/>
          </w:rPr>
          <w:tab/>
        </w:r>
        <w:r w:rsidR="009D023A">
          <w:rPr>
            <w:noProof/>
            <w:webHidden/>
          </w:rPr>
          <w:fldChar w:fldCharType="begin"/>
        </w:r>
        <w:r w:rsidR="009D023A">
          <w:rPr>
            <w:noProof/>
            <w:webHidden/>
          </w:rPr>
          <w:instrText xml:space="preserve"> PAGEREF _Toc3901618 \h </w:instrText>
        </w:r>
        <w:r w:rsidR="009D023A">
          <w:rPr>
            <w:noProof/>
            <w:webHidden/>
          </w:rPr>
        </w:r>
        <w:r w:rsidR="009D023A">
          <w:rPr>
            <w:noProof/>
            <w:webHidden/>
          </w:rPr>
          <w:fldChar w:fldCharType="separate"/>
        </w:r>
        <w:r w:rsidR="009D023A">
          <w:rPr>
            <w:noProof/>
            <w:webHidden/>
          </w:rPr>
          <w:t>4</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19" w:history="1">
        <w:r w:rsidR="009D023A" w:rsidRPr="00BC0CB4">
          <w:rPr>
            <w:rStyle w:val="Hyperlink"/>
            <w:noProof/>
          </w:rPr>
          <w:t>References</w:t>
        </w:r>
        <w:r w:rsidR="009D023A">
          <w:rPr>
            <w:noProof/>
            <w:webHidden/>
          </w:rPr>
          <w:tab/>
        </w:r>
        <w:r w:rsidR="009D023A">
          <w:rPr>
            <w:noProof/>
            <w:webHidden/>
          </w:rPr>
          <w:fldChar w:fldCharType="begin"/>
        </w:r>
        <w:r w:rsidR="009D023A">
          <w:rPr>
            <w:noProof/>
            <w:webHidden/>
          </w:rPr>
          <w:instrText xml:space="preserve"> PAGEREF _Toc3901619 \h </w:instrText>
        </w:r>
        <w:r w:rsidR="009D023A">
          <w:rPr>
            <w:noProof/>
            <w:webHidden/>
          </w:rPr>
        </w:r>
        <w:r w:rsidR="009D023A">
          <w:rPr>
            <w:noProof/>
            <w:webHidden/>
          </w:rPr>
          <w:fldChar w:fldCharType="separate"/>
        </w:r>
        <w:r w:rsidR="009D023A">
          <w:rPr>
            <w:noProof/>
            <w:webHidden/>
          </w:rPr>
          <w:t>5</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20" w:history="1">
        <w:r w:rsidR="009D023A" w:rsidRPr="00BC0CB4">
          <w:rPr>
            <w:rStyle w:val="Hyperlink"/>
            <w:noProof/>
          </w:rPr>
          <w:t>Related Documents</w:t>
        </w:r>
        <w:r w:rsidR="009D023A">
          <w:rPr>
            <w:noProof/>
            <w:webHidden/>
          </w:rPr>
          <w:tab/>
        </w:r>
        <w:r w:rsidR="009D023A">
          <w:rPr>
            <w:noProof/>
            <w:webHidden/>
          </w:rPr>
          <w:fldChar w:fldCharType="begin"/>
        </w:r>
        <w:r w:rsidR="009D023A">
          <w:rPr>
            <w:noProof/>
            <w:webHidden/>
          </w:rPr>
          <w:instrText xml:space="preserve"> PAGEREF _Toc3901620 \h </w:instrText>
        </w:r>
        <w:r w:rsidR="009D023A">
          <w:rPr>
            <w:noProof/>
            <w:webHidden/>
          </w:rPr>
        </w:r>
        <w:r w:rsidR="009D023A">
          <w:rPr>
            <w:noProof/>
            <w:webHidden/>
          </w:rPr>
          <w:fldChar w:fldCharType="separate"/>
        </w:r>
        <w:r w:rsidR="009D023A">
          <w:rPr>
            <w:noProof/>
            <w:webHidden/>
          </w:rPr>
          <w:t>5</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21" w:history="1">
        <w:r w:rsidR="009D023A" w:rsidRPr="00BC0CB4">
          <w:rPr>
            <w:rStyle w:val="Hyperlink"/>
            <w:bCs/>
            <w:noProof/>
          </w:rPr>
          <w:t>Approval and Ownership</w:t>
        </w:r>
        <w:r w:rsidR="009D023A">
          <w:rPr>
            <w:noProof/>
            <w:webHidden/>
          </w:rPr>
          <w:tab/>
        </w:r>
        <w:r w:rsidR="009D023A">
          <w:rPr>
            <w:noProof/>
            <w:webHidden/>
          </w:rPr>
          <w:fldChar w:fldCharType="begin"/>
        </w:r>
        <w:r w:rsidR="009D023A">
          <w:rPr>
            <w:noProof/>
            <w:webHidden/>
          </w:rPr>
          <w:instrText xml:space="preserve"> PAGEREF _Toc3901621 \h </w:instrText>
        </w:r>
        <w:r w:rsidR="009D023A">
          <w:rPr>
            <w:noProof/>
            <w:webHidden/>
          </w:rPr>
        </w:r>
        <w:r w:rsidR="009D023A">
          <w:rPr>
            <w:noProof/>
            <w:webHidden/>
          </w:rPr>
          <w:fldChar w:fldCharType="separate"/>
        </w:r>
        <w:r w:rsidR="009D023A">
          <w:rPr>
            <w:noProof/>
            <w:webHidden/>
          </w:rPr>
          <w:t>5</w:t>
        </w:r>
        <w:r w:rsidR="009D023A">
          <w:rPr>
            <w:noProof/>
            <w:webHidden/>
          </w:rPr>
          <w:fldChar w:fldCharType="end"/>
        </w:r>
      </w:hyperlink>
    </w:p>
    <w:p w:rsidR="009D023A" w:rsidRPr="007103D1" w:rsidRDefault="00875058" w:rsidP="009D023A">
      <w:pPr>
        <w:pStyle w:val="TOC1"/>
        <w:rPr>
          <w:rFonts w:ascii="Calibri" w:hAnsi="Calibri"/>
          <w:noProof/>
          <w:szCs w:val="22"/>
        </w:rPr>
      </w:pPr>
      <w:hyperlink w:anchor="_Toc3901622" w:history="1">
        <w:r w:rsidR="009D023A" w:rsidRPr="00BC0CB4">
          <w:rPr>
            <w:rStyle w:val="Hyperlink"/>
            <w:bCs/>
            <w:noProof/>
          </w:rPr>
          <w:t>Revision History</w:t>
        </w:r>
        <w:r w:rsidR="009D023A">
          <w:rPr>
            <w:noProof/>
            <w:webHidden/>
          </w:rPr>
          <w:tab/>
        </w:r>
        <w:r w:rsidR="009D023A">
          <w:rPr>
            <w:noProof/>
            <w:webHidden/>
          </w:rPr>
          <w:fldChar w:fldCharType="begin"/>
        </w:r>
        <w:r w:rsidR="009D023A">
          <w:rPr>
            <w:noProof/>
            <w:webHidden/>
          </w:rPr>
          <w:instrText xml:space="preserve"> PAGEREF _Toc3901622 \h </w:instrText>
        </w:r>
        <w:r w:rsidR="009D023A">
          <w:rPr>
            <w:noProof/>
            <w:webHidden/>
          </w:rPr>
        </w:r>
        <w:r w:rsidR="009D023A">
          <w:rPr>
            <w:noProof/>
            <w:webHidden/>
          </w:rPr>
          <w:fldChar w:fldCharType="separate"/>
        </w:r>
        <w:r w:rsidR="009D023A">
          <w:rPr>
            <w:noProof/>
            <w:webHidden/>
          </w:rPr>
          <w:t>5</w:t>
        </w:r>
        <w:r w:rsidR="009D023A">
          <w:rPr>
            <w:noProof/>
            <w:webHidden/>
          </w:rPr>
          <w:fldChar w:fldCharType="end"/>
        </w:r>
      </w:hyperlink>
    </w:p>
    <w:p w:rsidR="0085160B" w:rsidRDefault="004E0F13" w:rsidP="009D023A">
      <w:pPr>
        <w:pStyle w:val="TOC1"/>
      </w:pPr>
      <w:r>
        <w:fldChar w:fldCharType="end"/>
      </w:r>
    </w:p>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Default="00F544E0" w:rsidP="00F544E0"/>
    <w:p w:rsidR="00F544E0" w:rsidRPr="00F544E0" w:rsidRDefault="00F544E0" w:rsidP="00F544E0"/>
    <w:p w:rsidR="0055637D" w:rsidRPr="003F09FA" w:rsidRDefault="0055637D" w:rsidP="0055637D">
      <w:pPr>
        <w:pStyle w:val="PolicyElementHeader"/>
        <w:rPr>
          <w:bCs/>
          <w:color w:val="00527A"/>
        </w:rPr>
      </w:pPr>
      <w:bookmarkStart w:id="1" w:name="_Toc374951389"/>
      <w:bookmarkStart w:id="2" w:name="_Toc3901605"/>
      <w:bookmarkStart w:id="3" w:name="_Toc241985854"/>
      <w:r w:rsidRPr="003F09FA">
        <w:rPr>
          <w:bCs/>
          <w:color w:val="00527A"/>
        </w:rPr>
        <w:t>Purpose</w:t>
      </w:r>
      <w:bookmarkEnd w:id="1"/>
      <w:bookmarkEnd w:id="2"/>
    </w:p>
    <w:p w:rsidR="0055637D" w:rsidRPr="0077342D" w:rsidRDefault="0055637D" w:rsidP="0055637D">
      <w:r w:rsidRPr="007129D9">
        <w:t xml:space="preserve">This policy defines the </w:t>
      </w:r>
      <w:r>
        <w:t>requirements for secure access to</w:t>
      </w:r>
      <w:r w:rsidRPr="007129D9">
        <w:t xml:space="preserve"> </w:t>
      </w:r>
      <w:proofErr w:type="spellStart"/>
      <w:r w:rsidR="00A11B3E">
        <w:t>CompanyX</w:t>
      </w:r>
      <w:proofErr w:type="spellEnd"/>
      <w:r w:rsidR="003178ED">
        <w:t xml:space="preserve"> (the “Company”) </w:t>
      </w:r>
      <w:r w:rsidR="00BF5991">
        <w:t>Information systems</w:t>
      </w:r>
      <w:r w:rsidRPr="007129D9">
        <w:t>.</w:t>
      </w:r>
    </w:p>
    <w:p w:rsidR="0055637D" w:rsidRPr="003F09FA" w:rsidRDefault="0055637D" w:rsidP="0055637D">
      <w:pPr>
        <w:pStyle w:val="PolicyElementHeader"/>
        <w:rPr>
          <w:bCs/>
          <w:color w:val="00527A"/>
        </w:rPr>
      </w:pPr>
      <w:bookmarkStart w:id="4" w:name="_Toc374951390"/>
      <w:bookmarkStart w:id="5" w:name="_Toc3901606"/>
      <w:r w:rsidRPr="003F09FA">
        <w:rPr>
          <w:bCs/>
          <w:color w:val="00527A"/>
        </w:rPr>
        <w:t>Scope</w:t>
      </w:r>
      <w:bookmarkEnd w:id="4"/>
      <w:bookmarkEnd w:id="5"/>
    </w:p>
    <w:p w:rsidR="0055637D" w:rsidRPr="00CD236D" w:rsidRDefault="0055637D" w:rsidP="0055637D">
      <w:pPr>
        <w:rPr>
          <w:szCs w:val="22"/>
        </w:rPr>
      </w:pPr>
      <w:r w:rsidRPr="007129D9">
        <w:rPr>
          <w:szCs w:val="22"/>
        </w:rPr>
        <w:t xml:space="preserve">This policy applies to all users of </w:t>
      </w:r>
      <w:proofErr w:type="spellStart"/>
      <w:r w:rsidR="00A11B3E">
        <w:rPr>
          <w:szCs w:val="22"/>
        </w:rPr>
        <w:t>CompanyX</w:t>
      </w:r>
      <w:proofErr w:type="spellEnd"/>
      <w:r w:rsidRPr="007129D9">
        <w:rPr>
          <w:szCs w:val="22"/>
        </w:rPr>
        <w:t xml:space="preserve"> </w:t>
      </w:r>
      <w:r>
        <w:rPr>
          <w:szCs w:val="22"/>
        </w:rPr>
        <w:t xml:space="preserve">information assets including but not limited to </w:t>
      </w:r>
      <w:proofErr w:type="spellStart"/>
      <w:r w:rsidR="00A11B3E">
        <w:rPr>
          <w:szCs w:val="22"/>
        </w:rPr>
        <w:t>CompanyX</w:t>
      </w:r>
      <w:proofErr w:type="spellEnd"/>
      <w:r>
        <w:rPr>
          <w:szCs w:val="22"/>
        </w:rPr>
        <w:t xml:space="preserve"> </w:t>
      </w:r>
      <w:r w:rsidRPr="0086465F">
        <w:rPr>
          <w:szCs w:val="22"/>
        </w:rPr>
        <w:t xml:space="preserve">employees and </w:t>
      </w:r>
      <w:r w:rsidR="00A4437D">
        <w:rPr>
          <w:szCs w:val="22"/>
        </w:rPr>
        <w:t>Third-Parties</w:t>
      </w:r>
      <w:r w:rsidRPr="0086465F">
        <w:rPr>
          <w:szCs w:val="22"/>
        </w:rPr>
        <w:t>.</w:t>
      </w:r>
      <w:r w:rsidRPr="00CD236D">
        <w:rPr>
          <w:szCs w:val="22"/>
        </w:rPr>
        <w:t xml:space="preserve"> </w:t>
      </w:r>
    </w:p>
    <w:p w:rsidR="0055637D" w:rsidRPr="003F09FA" w:rsidRDefault="0055637D" w:rsidP="0055637D">
      <w:pPr>
        <w:pStyle w:val="PolicyElementHeader"/>
        <w:rPr>
          <w:bCs/>
          <w:color w:val="00527A"/>
        </w:rPr>
      </w:pPr>
      <w:bookmarkStart w:id="6" w:name="_Toc374951391"/>
      <w:bookmarkStart w:id="7" w:name="_Toc3901607"/>
      <w:r w:rsidRPr="003F09FA">
        <w:rPr>
          <w:bCs/>
          <w:color w:val="00527A"/>
        </w:rPr>
        <w:t>Policy</w:t>
      </w:r>
      <w:bookmarkEnd w:id="6"/>
      <w:bookmarkEnd w:id="7"/>
    </w:p>
    <w:p w:rsidR="0055637D" w:rsidRPr="00905622" w:rsidRDefault="0055637D" w:rsidP="0055637D">
      <w:pPr>
        <w:pStyle w:val="Heading3"/>
      </w:pPr>
      <w:bookmarkStart w:id="8" w:name="_Toc3901608"/>
      <w:bookmarkStart w:id="9" w:name="_Toc304291885"/>
      <w:r w:rsidRPr="00905622">
        <w:t>Access Restrictions</w:t>
      </w:r>
      <w:bookmarkEnd w:id="8"/>
    </w:p>
    <w:p w:rsidR="0055637D" w:rsidRDefault="0055637D" w:rsidP="0055637D">
      <w:pPr>
        <w:pStyle w:val="PolicyBodyText"/>
      </w:pPr>
      <w:r w:rsidRPr="00B960F9">
        <w:rPr>
          <w:rStyle w:val="PolicyTextChar"/>
          <w:b/>
        </w:rPr>
        <w:t>Access Contro</w:t>
      </w:r>
      <w:r w:rsidR="00156619">
        <w:rPr>
          <w:rStyle w:val="PolicyTextChar"/>
          <w:b/>
        </w:rPr>
        <w:t xml:space="preserve">l Systems </w:t>
      </w:r>
      <w:r>
        <w:t xml:space="preserve">- </w:t>
      </w:r>
      <w:r w:rsidRPr="00B50D1C">
        <w:t xml:space="preserve">All </w:t>
      </w:r>
      <w:proofErr w:type="spellStart"/>
      <w:r w:rsidR="00A11B3E">
        <w:t>CompanyX</w:t>
      </w:r>
      <w:proofErr w:type="spellEnd"/>
      <w:r w:rsidRPr="00B50D1C">
        <w:t xml:space="preserve"> technology platforms (i.e. network, operating system, application, and database) must authenticate the identity of users (including other systems accessing these platforms) using unique user IDs and passwords.</w:t>
      </w:r>
    </w:p>
    <w:p w:rsidR="0055637D" w:rsidRDefault="0055637D" w:rsidP="0055637D">
      <w:pPr>
        <w:pStyle w:val="PolicyBodyText"/>
      </w:pPr>
      <w:r w:rsidRPr="00C07BE3">
        <w:rPr>
          <w:b/>
        </w:rPr>
        <w:t>Unique User ID And Password Required</w:t>
      </w:r>
      <w:r>
        <w:t xml:space="preserve"> - Every user must have a single unique user ID and a personal secret password for access to </w:t>
      </w:r>
      <w:proofErr w:type="spellStart"/>
      <w:r w:rsidR="00A11B3E">
        <w:t>CompanyX</w:t>
      </w:r>
      <w:proofErr w:type="spellEnd"/>
      <w:r>
        <w:t xml:space="preserve"> multi-user computers and computer networks. </w:t>
      </w:r>
    </w:p>
    <w:p w:rsidR="0055637D" w:rsidRDefault="0055637D" w:rsidP="0055637D">
      <w:pPr>
        <w:pStyle w:val="Heading3"/>
        <w:rPr>
          <w:rStyle w:val="PolicyTextChar"/>
        </w:rPr>
      </w:pPr>
      <w:bookmarkStart w:id="10" w:name="_Toc3901609"/>
      <w:r w:rsidRPr="00C07BE3">
        <w:rPr>
          <w:rStyle w:val="PolicyTextChar"/>
        </w:rPr>
        <w:t>User ID and Account Manag</w:t>
      </w:r>
      <w:r>
        <w:rPr>
          <w:rStyle w:val="PolicyTextChar"/>
        </w:rPr>
        <w:t>e</w:t>
      </w:r>
      <w:r w:rsidRPr="00C07BE3">
        <w:rPr>
          <w:rStyle w:val="PolicyTextChar"/>
        </w:rPr>
        <w:t>ment</w:t>
      </w:r>
      <w:bookmarkEnd w:id="10"/>
    </w:p>
    <w:p w:rsidR="009D023A" w:rsidRDefault="009D023A" w:rsidP="009D023A">
      <w:pPr>
        <w:pStyle w:val="AuthorComment"/>
      </w:pPr>
      <w:r>
        <w:t>(Note:  The Account Management Policy provides a more detailed list of user account management controls.)</w:t>
      </w:r>
    </w:p>
    <w:p w:rsidR="009D023A" w:rsidRPr="009D023A" w:rsidRDefault="009D023A" w:rsidP="009D023A"/>
    <w:p w:rsidR="0055637D" w:rsidRDefault="0055637D" w:rsidP="0055637D">
      <w:pPr>
        <w:pStyle w:val="PolicyBodyText"/>
      </w:pPr>
      <w:r w:rsidRPr="00C07BE3">
        <w:rPr>
          <w:b/>
        </w:rPr>
        <w:t>Unique User IDs</w:t>
      </w:r>
      <w:r>
        <w:t xml:space="preserve"> - Each </w:t>
      </w:r>
      <w:r w:rsidR="00A95347">
        <w:t>Information system</w:t>
      </w:r>
      <w:r>
        <w:t xml:space="preserve"> user ID must uniquely identify only one user. Shared or group user IDs must not be created or used.</w:t>
      </w:r>
    </w:p>
    <w:p w:rsidR="0055637D" w:rsidRDefault="0055637D" w:rsidP="0055637D">
      <w:pPr>
        <w:pStyle w:val="PolicyBodyText"/>
      </w:pPr>
      <w:r w:rsidRPr="00C07BE3">
        <w:rPr>
          <w:b/>
        </w:rPr>
        <w:t>Generic User IDs</w:t>
      </w:r>
      <w:r>
        <w:t xml:space="preserve"> - User IDs must uniquely identify specific individuals and generic user IDs based on job function must not be created or used.</w:t>
      </w:r>
    </w:p>
    <w:p w:rsidR="0055637D" w:rsidRDefault="0055637D" w:rsidP="0055637D">
      <w:pPr>
        <w:pStyle w:val="PolicyBodyText"/>
      </w:pPr>
      <w:r>
        <w:rPr>
          <w:b/>
        </w:rPr>
        <w:t>Reu</w:t>
      </w:r>
      <w:r w:rsidRPr="00C07BE3">
        <w:rPr>
          <w:b/>
        </w:rPr>
        <w:t>se Of User IDs</w:t>
      </w:r>
      <w:r w:rsidRPr="00C07BE3">
        <w:t xml:space="preserve"> - Each </w:t>
      </w:r>
      <w:proofErr w:type="spellStart"/>
      <w:r w:rsidR="00A11B3E">
        <w:t>CompanyX</w:t>
      </w:r>
      <w:proofErr w:type="spellEnd"/>
      <w:r w:rsidRPr="00C07BE3">
        <w:t xml:space="preserve"> </w:t>
      </w:r>
      <w:r w:rsidR="00A95347">
        <w:t>Information system</w:t>
      </w:r>
      <w:r w:rsidRPr="00C07BE3">
        <w:t xml:space="preserve"> user ID must be unique, connected solely with the user to whom it was assigned, and must not be reassigned after a worker or customer terminates their relationship with </w:t>
      </w:r>
      <w:proofErr w:type="spellStart"/>
      <w:r w:rsidR="00A11B3E">
        <w:t>CompanyX</w:t>
      </w:r>
      <w:proofErr w:type="spellEnd"/>
      <w:r w:rsidRPr="00C07BE3">
        <w:t>.</w:t>
      </w:r>
    </w:p>
    <w:p w:rsidR="0055637D" w:rsidRDefault="0055637D" w:rsidP="0055637D">
      <w:pPr>
        <w:pStyle w:val="PolicyBodyText"/>
      </w:pPr>
      <w:r>
        <w:rPr>
          <w:b/>
        </w:rPr>
        <w:t xml:space="preserve">User ID Expiration </w:t>
      </w:r>
      <w:r w:rsidRPr="00C07BE3">
        <w:t>-</w:t>
      </w:r>
      <w:r>
        <w:t xml:space="preserve"> </w:t>
      </w:r>
      <w:r w:rsidRPr="00C07BE3">
        <w:t xml:space="preserve">- Expiration dates must be set for all user IDs on multi-user systems at </w:t>
      </w:r>
      <w:proofErr w:type="spellStart"/>
      <w:r w:rsidR="00A11B3E">
        <w:t>CompanyX</w:t>
      </w:r>
      <w:proofErr w:type="spellEnd"/>
      <w:r w:rsidRPr="00C07BE3">
        <w:t>. When user IDs expire, privileges for user IDs must be automatically be revoked, and the files linked to these user IDs must be retained for at least a two-week period.</w:t>
      </w:r>
    </w:p>
    <w:p w:rsidR="0055637D" w:rsidRDefault="0055637D" w:rsidP="0055637D">
      <w:pPr>
        <w:pStyle w:val="Heading3"/>
      </w:pPr>
      <w:bookmarkStart w:id="11" w:name="_Toc304291886"/>
      <w:bookmarkStart w:id="12" w:name="_Toc3901610"/>
      <w:r>
        <w:t>Access Authorization</w:t>
      </w:r>
      <w:bookmarkEnd w:id="11"/>
      <w:bookmarkEnd w:id="12"/>
    </w:p>
    <w:p w:rsidR="0055637D" w:rsidRPr="009972CA" w:rsidRDefault="0055637D" w:rsidP="0055637D">
      <w:pPr>
        <w:pStyle w:val="PolicyBodyText"/>
        <w:rPr>
          <w:b/>
          <w:bCs/>
        </w:rPr>
      </w:pPr>
      <w:r w:rsidRPr="00B85383">
        <w:rPr>
          <w:rStyle w:val="Strong"/>
        </w:rPr>
        <w:t xml:space="preserve">Access Control Authorization </w:t>
      </w:r>
      <w:r>
        <w:t xml:space="preserve">- </w:t>
      </w:r>
      <w:r w:rsidRPr="009972CA">
        <w:t xml:space="preserve">Requests for the addition, deletion, and modification of all user IDs, credentials, and other identifier objects on </w:t>
      </w:r>
      <w:proofErr w:type="spellStart"/>
      <w:r w:rsidR="00A11B3E">
        <w:t>CompanyX</w:t>
      </w:r>
      <w:proofErr w:type="spellEnd"/>
      <w:r w:rsidRPr="009972CA">
        <w:t xml:space="preserve"> </w:t>
      </w:r>
      <w:r w:rsidR="00BF5991">
        <w:t>Information systems</w:t>
      </w:r>
      <w:r w:rsidRPr="009972CA">
        <w:t xml:space="preserve"> must be submitted on a form authorized by the worker's immediate supervisor or manager.</w:t>
      </w:r>
    </w:p>
    <w:p w:rsidR="0055637D" w:rsidRDefault="0055637D" w:rsidP="0055637D">
      <w:pPr>
        <w:pStyle w:val="PolicyBodyText"/>
      </w:pPr>
      <w:r w:rsidRPr="00A36AA9">
        <w:rPr>
          <w:b/>
          <w:bCs/>
        </w:rPr>
        <w:lastRenderedPageBreak/>
        <w:t xml:space="preserve">Evidence Of User Agreement </w:t>
      </w:r>
      <w:r w:rsidRPr="00A36AA9">
        <w:t xml:space="preserve">- Before they are granted access to </w:t>
      </w:r>
      <w:proofErr w:type="spellStart"/>
      <w:r w:rsidR="00A11B3E">
        <w:t>CompanyX</w:t>
      </w:r>
      <w:proofErr w:type="spellEnd"/>
      <w:r w:rsidRPr="00A36AA9">
        <w:t xml:space="preserve"> information systems, all users must provide documented evidence of their agreement to comply with </w:t>
      </w:r>
      <w:proofErr w:type="spellStart"/>
      <w:r w:rsidR="00A11B3E">
        <w:t>CompanyX</w:t>
      </w:r>
      <w:proofErr w:type="spellEnd"/>
      <w:r>
        <w:t xml:space="preserve"> </w:t>
      </w:r>
      <w:r w:rsidRPr="00A36AA9">
        <w:t>information security and privacy requireme</w:t>
      </w:r>
      <w:r>
        <w:t>nts.</w:t>
      </w:r>
    </w:p>
    <w:p w:rsidR="0055637D" w:rsidRDefault="0055637D" w:rsidP="0055637D">
      <w:pPr>
        <w:pStyle w:val="PolicyText"/>
      </w:pPr>
      <w:r w:rsidRPr="00927E48">
        <w:rPr>
          <w:rStyle w:val="Strong"/>
        </w:rPr>
        <w:t>Sensitive Information Access</w:t>
      </w:r>
      <w:r w:rsidRPr="00927E48">
        <w:t xml:space="preserve"> </w:t>
      </w:r>
      <w:r>
        <w:t xml:space="preserve">- </w:t>
      </w:r>
      <w:r w:rsidRPr="00B90A20">
        <w:t xml:space="preserve">Access to </w:t>
      </w:r>
      <w:proofErr w:type="spellStart"/>
      <w:r w:rsidR="00A11B3E">
        <w:t>CompanyX</w:t>
      </w:r>
      <w:proofErr w:type="spellEnd"/>
      <w:r w:rsidRPr="00B90A20">
        <w:t xml:space="preserve"> sensitive information must be provided only after express management authorization has been obtained</w:t>
      </w:r>
      <w:r>
        <w:t xml:space="preserve"> from the designated owner of such information</w:t>
      </w:r>
      <w:r w:rsidRPr="00B90A20">
        <w:t>.</w:t>
      </w:r>
    </w:p>
    <w:p w:rsidR="0055637D" w:rsidRPr="00B354FD" w:rsidRDefault="0055637D" w:rsidP="0055637D">
      <w:pPr>
        <w:pStyle w:val="Heading3"/>
        <w:rPr>
          <w:b w:val="0"/>
        </w:rPr>
      </w:pPr>
      <w:bookmarkStart w:id="13" w:name="_Toc3901611"/>
      <w:r w:rsidRPr="00B354FD">
        <w:rPr>
          <w:rStyle w:val="Strong"/>
          <w:b/>
        </w:rPr>
        <w:t>Password Requirements</w:t>
      </w:r>
      <w:bookmarkEnd w:id="13"/>
    </w:p>
    <w:p w:rsidR="0055637D" w:rsidRPr="00011129" w:rsidRDefault="0055637D" w:rsidP="0055637D">
      <w:pPr>
        <w:pStyle w:val="PolicyBodyText"/>
        <w:rPr>
          <w:rStyle w:val="Strong"/>
          <w:b w:val="0"/>
        </w:rPr>
      </w:pPr>
      <w:r w:rsidRPr="00011129">
        <w:rPr>
          <w:rStyle w:val="Strong"/>
        </w:rPr>
        <w:t>Minimum Password Length</w:t>
      </w:r>
      <w:r>
        <w:rPr>
          <w:rStyle w:val="Strong"/>
          <w:b w:val="0"/>
        </w:rPr>
        <w:t xml:space="preserve"> - </w:t>
      </w:r>
      <w:r w:rsidRPr="00011129">
        <w:rPr>
          <w:rStyle w:val="Strong"/>
          <w:b w:val="0"/>
        </w:rPr>
        <w:t xml:space="preserve">All passwords must have at least </w:t>
      </w:r>
      <w:r>
        <w:rPr>
          <w:rStyle w:val="Strong"/>
          <w:b w:val="0"/>
        </w:rPr>
        <w:t>8</w:t>
      </w:r>
      <w:r w:rsidRPr="00011129">
        <w:rPr>
          <w:rStyle w:val="Strong"/>
          <w:b w:val="0"/>
        </w:rPr>
        <w:t xml:space="preserve"> characters and this length must always be checked automatically at the time that users construct or select their password.</w:t>
      </w:r>
    </w:p>
    <w:p w:rsidR="0055637D" w:rsidRPr="00011129" w:rsidRDefault="0055637D" w:rsidP="0055637D">
      <w:pPr>
        <w:pStyle w:val="PolicyBodyText"/>
        <w:rPr>
          <w:rStyle w:val="Strong"/>
          <w:b w:val="0"/>
        </w:rPr>
      </w:pPr>
      <w:r w:rsidRPr="00011129">
        <w:rPr>
          <w:rStyle w:val="Strong"/>
        </w:rPr>
        <w:t xml:space="preserve">Password </w:t>
      </w:r>
      <w:r>
        <w:rPr>
          <w:rStyle w:val="Strong"/>
        </w:rPr>
        <w:t>Complexity</w:t>
      </w:r>
      <w:r>
        <w:rPr>
          <w:rStyle w:val="Strong"/>
          <w:b w:val="0"/>
        </w:rPr>
        <w:t xml:space="preserve"> - </w:t>
      </w:r>
      <w:r w:rsidRPr="00011129">
        <w:rPr>
          <w:rStyle w:val="Strong"/>
          <w:b w:val="0"/>
        </w:rPr>
        <w:t>All user-chosen passwords must contain at least one alphabetic and one non-alphabetic character.</w:t>
      </w:r>
    </w:p>
    <w:p w:rsidR="0055637D" w:rsidRDefault="0055637D" w:rsidP="0055637D">
      <w:pPr>
        <w:pStyle w:val="PolicyBodyText"/>
      </w:pPr>
      <w:r w:rsidRPr="00E1776B">
        <w:rPr>
          <w:b/>
        </w:rPr>
        <w:t>Null Passwords Always Prohibited</w:t>
      </w:r>
      <w:r w:rsidRPr="00E1776B">
        <w:t xml:space="preserve"> - At no time, may any Systems Administrator or Security Administrator enable any user ID that permits password length to be zero (a null or blank password).</w:t>
      </w:r>
    </w:p>
    <w:p w:rsidR="0055637D" w:rsidRPr="00011129" w:rsidRDefault="0055637D" w:rsidP="0055637D">
      <w:pPr>
        <w:pStyle w:val="PolicyBodyText"/>
        <w:rPr>
          <w:rStyle w:val="Strong"/>
          <w:b w:val="0"/>
        </w:rPr>
      </w:pPr>
      <w:r>
        <w:rPr>
          <w:rStyle w:val="Strong"/>
        </w:rPr>
        <w:t>Password Change Requirements</w:t>
      </w:r>
      <w:r>
        <w:rPr>
          <w:rStyle w:val="Strong"/>
          <w:b w:val="0"/>
        </w:rPr>
        <w:t xml:space="preserve"> - </w:t>
      </w:r>
      <w:r w:rsidRPr="00011129">
        <w:rPr>
          <w:rStyle w:val="Strong"/>
          <w:b w:val="0"/>
        </w:rPr>
        <w:t>All users must be automatically required to change their passwords at least once every 90 days.</w:t>
      </w:r>
    </w:p>
    <w:p w:rsidR="0055637D" w:rsidRPr="00E1776B" w:rsidRDefault="0055637D" w:rsidP="0055637D">
      <w:pPr>
        <w:pStyle w:val="PolicyBodyText"/>
        <w:rPr>
          <w:rStyle w:val="Strong"/>
          <w:b w:val="0"/>
        </w:rPr>
      </w:pPr>
      <w:r w:rsidRPr="00011129">
        <w:rPr>
          <w:rStyle w:val="Strong"/>
        </w:rPr>
        <w:t>Password History</w:t>
      </w:r>
      <w:r>
        <w:rPr>
          <w:rStyle w:val="Strong"/>
          <w:b w:val="0"/>
        </w:rPr>
        <w:t xml:space="preserve"> - </w:t>
      </w:r>
      <w:r w:rsidRPr="00011129">
        <w:rPr>
          <w:rStyle w:val="Strong"/>
          <w:b w:val="0"/>
        </w:rPr>
        <w:t xml:space="preserve">On all multi-user </w:t>
      </w:r>
      <w:proofErr w:type="spellStart"/>
      <w:r w:rsidR="00A11B3E">
        <w:rPr>
          <w:rStyle w:val="Strong"/>
          <w:b w:val="0"/>
        </w:rPr>
        <w:t>CompanyX</w:t>
      </w:r>
      <w:proofErr w:type="spellEnd"/>
      <w:r w:rsidRPr="00011129">
        <w:rPr>
          <w:rStyle w:val="Strong"/>
          <w:b w:val="0"/>
        </w:rPr>
        <w:t xml:space="preserve"> computers, system software or locally-developed software must be used to maintain an encrypted history of previously chosen fixed passwords. This history must contain at least the previous thirteen passwords for each user ID.</w:t>
      </w:r>
    </w:p>
    <w:p w:rsidR="0055637D" w:rsidRDefault="0055637D" w:rsidP="0055637D">
      <w:pPr>
        <w:pStyle w:val="Heading3"/>
      </w:pPr>
      <w:bookmarkStart w:id="14" w:name="_Toc304291888"/>
      <w:bookmarkStart w:id="15" w:name="_Toc3901612"/>
      <w:bookmarkEnd w:id="9"/>
      <w:r>
        <w:t>System Privileges</w:t>
      </w:r>
      <w:bookmarkEnd w:id="14"/>
      <w:bookmarkEnd w:id="15"/>
    </w:p>
    <w:p w:rsidR="0055637D" w:rsidRDefault="00156619" w:rsidP="0055637D">
      <w:pPr>
        <w:pStyle w:val="PolicyText"/>
      </w:pPr>
      <w:r>
        <w:rPr>
          <w:rStyle w:val="Strong"/>
        </w:rPr>
        <w:t>Privilege Restriction -</w:t>
      </w:r>
      <w:r w:rsidR="0055637D" w:rsidRPr="00417925">
        <w:rPr>
          <w:rStyle w:val="Strong"/>
        </w:rPr>
        <w:t xml:space="preserve"> Need To Know</w:t>
      </w:r>
      <w:r w:rsidR="0055637D" w:rsidRPr="00417925">
        <w:t xml:space="preserve"> </w:t>
      </w:r>
      <w:r w:rsidR="0055637D">
        <w:t xml:space="preserve">- </w:t>
      </w:r>
      <w:r w:rsidR="0055637D" w:rsidRPr="0041582D">
        <w:t xml:space="preserve">The </w:t>
      </w:r>
      <w:r w:rsidR="00BF5991">
        <w:rPr>
          <w:rStyle w:val="Strong"/>
          <w:b w:val="0"/>
        </w:rPr>
        <w:t>Information</w:t>
      </w:r>
      <w:r w:rsidR="0055637D" w:rsidRPr="0041582D">
        <w:t xml:space="preserve"> system privileges of all users, systems, and programs must be restricted based on the need to know.</w:t>
      </w:r>
    </w:p>
    <w:p w:rsidR="0055637D" w:rsidRPr="00B90A20" w:rsidRDefault="0055637D" w:rsidP="0055637D">
      <w:pPr>
        <w:pStyle w:val="PolicyText"/>
      </w:pPr>
      <w:r w:rsidRPr="00D914BA">
        <w:rPr>
          <w:rStyle w:val="Strong"/>
        </w:rPr>
        <w:t>Special Privileged Users</w:t>
      </w:r>
      <w:r w:rsidRPr="00D914BA">
        <w:t xml:space="preserve"> </w:t>
      </w:r>
      <w:r>
        <w:t xml:space="preserve">- </w:t>
      </w:r>
      <w:r w:rsidRPr="0041582D">
        <w:t>All multi-user computer and network systems must</w:t>
      </w:r>
      <w:r>
        <w:t xml:space="preserve"> support a special type of user </w:t>
      </w:r>
      <w:r w:rsidRPr="0041582D">
        <w:t>ID</w:t>
      </w:r>
      <w:r>
        <w:t>,</w:t>
      </w:r>
      <w:r w:rsidRPr="0041582D">
        <w:t xml:space="preserve"> which has broadly-defined system privileges </w:t>
      </w:r>
      <w:r>
        <w:t>that</w:t>
      </w:r>
      <w:r w:rsidRPr="0041582D">
        <w:t xml:space="preserve"> will enable authorized individuals to change</w:t>
      </w:r>
      <w:r>
        <w:t xml:space="preserve"> the security state of systems.</w:t>
      </w:r>
    </w:p>
    <w:p w:rsidR="0055637D" w:rsidRDefault="0055637D" w:rsidP="0055637D">
      <w:pPr>
        <w:pStyle w:val="PolicyText"/>
      </w:pPr>
      <w:r w:rsidRPr="00FE7224">
        <w:rPr>
          <w:rStyle w:val="Strong"/>
        </w:rPr>
        <w:t>Number Of Privileged User IDs</w:t>
      </w:r>
      <w:r w:rsidRPr="00FE7224">
        <w:t xml:space="preserve"> </w:t>
      </w:r>
      <w:r>
        <w:t>- The number of privileged user IDs must be strictly limited to those individuals who absolutely must have such privileges for authorized business purposes.</w:t>
      </w:r>
    </w:p>
    <w:p w:rsidR="0017575A" w:rsidRPr="00B354FD" w:rsidRDefault="0017575A" w:rsidP="0017575A">
      <w:pPr>
        <w:pStyle w:val="Heading3"/>
        <w:rPr>
          <w:rStyle w:val="Strong"/>
          <w:b/>
        </w:rPr>
      </w:pPr>
      <w:bookmarkStart w:id="16" w:name="_Toc384697650"/>
      <w:bookmarkStart w:id="17" w:name="_Toc3901613"/>
      <w:r w:rsidRPr="00B354FD">
        <w:rPr>
          <w:rStyle w:val="Strong"/>
          <w:b/>
        </w:rPr>
        <w:t>Session Controls</w:t>
      </w:r>
      <w:bookmarkEnd w:id="16"/>
      <w:bookmarkEnd w:id="17"/>
    </w:p>
    <w:p w:rsidR="0017575A" w:rsidRDefault="0017575A" w:rsidP="0017575A">
      <w:pPr>
        <w:pStyle w:val="PolicyBodyText"/>
      </w:pPr>
      <w:r>
        <w:rPr>
          <w:b/>
        </w:rPr>
        <w:t xml:space="preserve">Session Timeout </w:t>
      </w:r>
      <w:r>
        <w:t>– Access control systems must be configured to automatically logoff users after a period of inactivity of 15 minutes.</w:t>
      </w:r>
    </w:p>
    <w:p w:rsidR="0017575A" w:rsidRDefault="0017575A" w:rsidP="0017575A">
      <w:pPr>
        <w:pStyle w:val="PolicyBodyText"/>
        <w:rPr>
          <w:rStyle w:val="Strong"/>
          <w:b w:val="0"/>
          <w:bCs w:val="0"/>
        </w:rPr>
      </w:pPr>
      <w:r>
        <w:rPr>
          <w:b/>
        </w:rPr>
        <w:t xml:space="preserve">Maximum Logon Attempts </w:t>
      </w:r>
      <w:r>
        <w:rPr>
          <w:rStyle w:val="Strong"/>
          <w:bCs w:val="0"/>
        </w:rPr>
        <w:t>–</w:t>
      </w:r>
      <w:r>
        <w:rPr>
          <w:rStyle w:val="Strong"/>
          <w:b w:val="0"/>
          <w:bCs w:val="0"/>
        </w:rPr>
        <w:t xml:space="preserve"> Access control systems must be configured to automatically disable User IDs after six unsuccessful logon attempts.</w:t>
      </w:r>
    </w:p>
    <w:p w:rsidR="0017575A" w:rsidRDefault="0017575A" w:rsidP="0017575A">
      <w:pPr>
        <w:pStyle w:val="PolicyBodyText"/>
        <w:rPr>
          <w:rStyle w:val="Strong"/>
          <w:b w:val="0"/>
          <w:bCs w:val="0"/>
        </w:rPr>
      </w:pPr>
      <w:r>
        <w:rPr>
          <w:b/>
        </w:rPr>
        <w:t>Account Lockout Duration –</w:t>
      </w:r>
      <w:r>
        <w:rPr>
          <w:rStyle w:val="Strong"/>
          <w:b w:val="0"/>
          <w:bCs w:val="0"/>
        </w:rPr>
        <w:t xml:space="preserve"> All user IDs that have been locked out or disabled must remain locked for a period of at least 30 minutes.</w:t>
      </w:r>
    </w:p>
    <w:p w:rsidR="00E85E52" w:rsidRDefault="00E85E52" w:rsidP="00E85E52">
      <w:pPr>
        <w:pStyle w:val="PolicyBodyText"/>
      </w:pPr>
      <w:r>
        <w:rPr>
          <w:b/>
        </w:rPr>
        <w:lastRenderedPageBreak/>
        <w:t>Incorrect Logon Information -</w:t>
      </w:r>
      <w:r>
        <w:t xml:space="preserve"> When logging on to a </w:t>
      </w:r>
      <w:proofErr w:type="spellStart"/>
      <w:r w:rsidR="00A11B3E">
        <w:t>CompanyX</w:t>
      </w:r>
      <w:proofErr w:type="spellEnd"/>
      <w:r>
        <w:t xml:space="preserve"> </w:t>
      </w:r>
      <w:r w:rsidR="00BF5991">
        <w:rPr>
          <w:rStyle w:val="Strong"/>
          <w:b w:val="0"/>
        </w:rPr>
        <w:t>Information</w:t>
      </w:r>
      <w:r>
        <w:t xml:space="preserve"> system, if any part of the logon sequence is incorrect, the system must terminate the session and wait for the correct logon information. Prompts or feedback to the user, of any form and of any nature, is prohibited.</w:t>
      </w:r>
    </w:p>
    <w:p w:rsidR="00E85E52" w:rsidRDefault="00E85E52" w:rsidP="00E85E52">
      <w:pPr>
        <w:pStyle w:val="Heading3"/>
      </w:pPr>
      <w:bookmarkStart w:id="18" w:name="_Toc3901614"/>
      <w:r>
        <w:t>System Authentication</w:t>
      </w:r>
      <w:bookmarkEnd w:id="18"/>
    </w:p>
    <w:p w:rsidR="00E85E52" w:rsidRDefault="00E85E52" w:rsidP="00E85E52">
      <w:pPr>
        <w:pStyle w:val="PolicyBodyText"/>
      </w:pPr>
      <w:r>
        <w:rPr>
          <w:b/>
        </w:rPr>
        <w:t>System Logon Banner -</w:t>
      </w:r>
      <w:r>
        <w:t xml:space="preserve"> Every logon screen for multi -user computers must include a special notice which must states that the system may only be accessed by authorized users, users who logon represent that they are authorized to do so, unauthorized system usage or abuse is subject to criminal prosecution, and system usage will be monitored and logged.</w:t>
      </w:r>
    </w:p>
    <w:p w:rsidR="00E85E52" w:rsidRDefault="00E85E52" w:rsidP="00E85E52">
      <w:pPr>
        <w:pStyle w:val="PolicyBodyText"/>
      </w:pPr>
      <w:r>
        <w:rPr>
          <w:b/>
        </w:rPr>
        <w:t>Last Logon Notice -</w:t>
      </w:r>
      <w:r>
        <w:t xml:space="preserve"> At logon time, every user must be given information reflecting the last logon time and date.</w:t>
      </w:r>
    </w:p>
    <w:p w:rsidR="00E85E52" w:rsidRDefault="00E85E52" w:rsidP="00E85E52">
      <w:pPr>
        <w:pStyle w:val="PolicyBodyText"/>
      </w:pPr>
      <w:r>
        <w:rPr>
          <w:b/>
        </w:rPr>
        <w:t>Daily Logon Limits -</w:t>
      </w:r>
      <w:r>
        <w:t xml:space="preserve"> </w:t>
      </w:r>
      <w:r w:rsidRPr="00E85E52">
        <w:t>Users must not be permitted to log on more than 10 times a day.</w:t>
      </w:r>
    </w:p>
    <w:p w:rsidR="0055637D" w:rsidRDefault="0055637D" w:rsidP="0055637D">
      <w:pPr>
        <w:pStyle w:val="Heading3"/>
      </w:pPr>
      <w:bookmarkStart w:id="19" w:name="_Toc304291889"/>
      <w:bookmarkStart w:id="20" w:name="_Toc3901615"/>
      <w:r>
        <w:t>Records</w:t>
      </w:r>
      <w:bookmarkEnd w:id="19"/>
      <w:bookmarkEnd w:id="20"/>
    </w:p>
    <w:p w:rsidR="0055637D" w:rsidRDefault="0055637D" w:rsidP="0055637D">
      <w:pPr>
        <w:pStyle w:val="PolicyText"/>
      </w:pPr>
      <w:r w:rsidRPr="00D914BA">
        <w:rPr>
          <w:b/>
          <w:bCs/>
        </w:rPr>
        <w:t xml:space="preserve">Access Control System </w:t>
      </w:r>
      <w:r>
        <w:rPr>
          <w:b/>
          <w:bCs/>
        </w:rPr>
        <w:t>Logging</w:t>
      </w:r>
      <w:r w:rsidRPr="00D914BA">
        <w:t xml:space="preserve"> - </w:t>
      </w:r>
      <w:r w:rsidRPr="00B90A20">
        <w:t xml:space="preserve">Access control systems must be configured to capture and maintain the </w:t>
      </w:r>
      <w:r>
        <w:t>following:</w:t>
      </w:r>
    </w:p>
    <w:p w:rsidR="0055637D" w:rsidRPr="00B90A20" w:rsidRDefault="0055637D" w:rsidP="0055637D">
      <w:pPr>
        <w:pStyle w:val="PolicyText"/>
        <w:numPr>
          <w:ilvl w:val="0"/>
          <w:numId w:val="7"/>
        </w:numPr>
      </w:pPr>
      <w:r>
        <w:t xml:space="preserve">The </w:t>
      </w:r>
      <w:r w:rsidRPr="00B90A20">
        <w:t>creation date for every user ID.</w:t>
      </w:r>
    </w:p>
    <w:p w:rsidR="0055637D" w:rsidRPr="00B90A20" w:rsidRDefault="0055637D" w:rsidP="0055637D">
      <w:pPr>
        <w:pStyle w:val="PolicyText"/>
        <w:numPr>
          <w:ilvl w:val="0"/>
          <w:numId w:val="7"/>
        </w:numPr>
      </w:pPr>
      <w:r>
        <w:t>D</w:t>
      </w:r>
      <w:r w:rsidRPr="00B90A20">
        <w:t>ate and time of the last logon for every user ID.</w:t>
      </w:r>
    </w:p>
    <w:p w:rsidR="0055637D" w:rsidRPr="00B90A20" w:rsidRDefault="0055637D" w:rsidP="0055637D">
      <w:pPr>
        <w:pStyle w:val="PolicyText"/>
        <w:numPr>
          <w:ilvl w:val="0"/>
          <w:numId w:val="7"/>
        </w:numPr>
      </w:pPr>
      <w:r>
        <w:t>D</w:t>
      </w:r>
      <w:r w:rsidRPr="00B90A20">
        <w:t>ate and time of the last logoff for every user ID.</w:t>
      </w:r>
    </w:p>
    <w:p w:rsidR="0055637D" w:rsidRDefault="0055637D" w:rsidP="0055637D">
      <w:pPr>
        <w:pStyle w:val="PolicyText"/>
        <w:numPr>
          <w:ilvl w:val="0"/>
          <w:numId w:val="7"/>
        </w:numPr>
      </w:pPr>
      <w:r>
        <w:t>D</w:t>
      </w:r>
      <w:r w:rsidRPr="00B90A20">
        <w:t>ate and time of the last password change for every user ID.</w:t>
      </w:r>
    </w:p>
    <w:p w:rsidR="0055637D" w:rsidRDefault="0055637D" w:rsidP="0055637D">
      <w:pPr>
        <w:pStyle w:val="PolicyText"/>
        <w:numPr>
          <w:ilvl w:val="0"/>
          <w:numId w:val="7"/>
        </w:numPr>
      </w:pPr>
      <w:r>
        <w:t xml:space="preserve">An </w:t>
      </w:r>
      <w:r w:rsidRPr="00B90A20">
        <w:t>expiration date or every user ID that represents the last date that the user ID is active for use</w:t>
      </w:r>
      <w:r>
        <w:t>.</w:t>
      </w:r>
    </w:p>
    <w:p w:rsidR="0055637D" w:rsidRDefault="0055637D" w:rsidP="0055637D">
      <w:pPr>
        <w:pStyle w:val="PolicyText"/>
        <w:numPr>
          <w:ilvl w:val="0"/>
          <w:numId w:val="7"/>
        </w:numPr>
      </w:pPr>
      <w:r>
        <w:t>Details of addition and changes to the privileges of user IDs.</w:t>
      </w:r>
    </w:p>
    <w:p w:rsidR="0055637D" w:rsidRDefault="0055637D" w:rsidP="0055637D">
      <w:pPr>
        <w:pStyle w:val="PolicyText"/>
      </w:pPr>
      <w:r w:rsidRPr="00FE7224">
        <w:rPr>
          <w:rStyle w:val="Strong"/>
        </w:rPr>
        <w:t>Access Control Privilege Log Retention</w:t>
      </w:r>
      <w:r w:rsidRPr="00FE7224">
        <w:t xml:space="preserve"> </w:t>
      </w:r>
      <w:r>
        <w:t xml:space="preserve">- Computerized records reflecting the access privileges of each user of </w:t>
      </w:r>
      <w:proofErr w:type="spellStart"/>
      <w:r w:rsidR="00A11B3E">
        <w:t>CompanyX</w:t>
      </w:r>
      <w:proofErr w:type="spellEnd"/>
      <w:r>
        <w:t xml:space="preserve"> multi-user systems and networks must be securely maintained for at least 90 days.</w:t>
      </w:r>
    </w:p>
    <w:p w:rsidR="0055637D" w:rsidRDefault="0055637D" w:rsidP="0055637D">
      <w:pPr>
        <w:pStyle w:val="PolicyText"/>
      </w:pPr>
      <w:r w:rsidRPr="00FE7224">
        <w:rPr>
          <w:rStyle w:val="Strong"/>
        </w:rPr>
        <w:t>User ID Records</w:t>
      </w:r>
      <w:r>
        <w:t xml:space="preserve"> - Records reflecting all the </w:t>
      </w:r>
      <w:r w:rsidR="00A95347">
        <w:t>Information system</w:t>
      </w:r>
      <w:r>
        <w:t>s on which users have user IDs must be kept current.</w:t>
      </w:r>
    </w:p>
    <w:p w:rsidR="0055637D" w:rsidRDefault="0055637D" w:rsidP="0055637D">
      <w:pPr>
        <w:pStyle w:val="Heading3"/>
      </w:pPr>
      <w:bookmarkStart w:id="21" w:name="_Toc304291890"/>
      <w:bookmarkStart w:id="22" w:name="_Toc3901616"/>
      <w:r>
        <w:t>Access Review</w:t>
      </w:r>
      <w:bookmarkEnd w:id="21"/>
      <w:bookmarkEnd w:id="22"/>
    </w:p>
    <w:p w:rsidR="0055637D" w:rsidRDefault="0055637D" w:rsidP="0055637D">
      <w:pPr>
        <w:pStyle w:val="PolicyText"/>
      </w:pPr>
      <w:r w:rsidRPr="00FE7224">
        <w:rPr>
          <w:rStyle w:val="Strong"/>
        </w:rPr>
        <w:t>Reauthorization Of User Access Privileges</w:t>
      </w:r>
      <w:r w:rsidRPr="00FE7224">
        <w:t xml:space="preserve"> </w:t>
      </w:r>
      <w:r>
        <w:t>- The system privileges granted to every user must be reevaluated by the user’s immediate manager annually to determine whether currently-enabled system privileges are needed to perform the user’s current job duties.</w:t>
      </w:r>
    </w:p>
    <w:p w:rsidR="0055637D" w:rsidRDefault="0055637D" w:rsidP="0055637D">
      <w:pPr>
        <w:pStyle w:val="PolicyText"/>
      </w:pPr>
      <w:r>
        <w:rPr>
          <w:rStyle w:val="Strong"/>
        </w:rPr>
        <w:t xml:space="preserve">Inactive Account Maintenance </w:t>
      </w:r>
      <w:r w:rsidRPr="00D71B36">
        <w:t>-</w:t>
      </w:r>
      <w:r>
        <w:t xml:space="preserve"> </w:t>
      </w:r>
      <w:r w:rsidRPr="00B85383">
        <w:t xml:space="preserve">All </w:t>
      </w:r>
      <w:r>
        <w:t xml:space="preserve">User IDs for </w:t>
      </w:r>
      <w:r w:rsidRPr="00B85383">
        <w:t>inactive accounts over 90 days old must be either removed or disabled.</w:t>
      </w:r>
    </w:p>
    <w:p w:rsidR="00A437C9" w:rsidRPr="00074BA0" w:rsidRDefault="00924538" w:rsidP="00074BA0">
      <w:pPr>
        <w:pStyle w:val="PolicyElementHeader"/>
        <w:rPr>
          <w:bCs/>
          <w:color w:val="00527A"/>
        </w:rPr>
      </w:pPr>
      <w:bookmarkStart w:id="23" w:name="_Toc3901617"/>
      <w:r>
        <w:rPr>
          <w:bCs/>
          <w:color w:val="00527A"/>
        </w:rPr>
        <w:lastRenderedPageBreak/>
        <w:t>Violations</w:t>
      </w:r>
      <w:bookmarkEnd w:id="3"/>
      <w:bookmarkEnd w:id="23"/>
    </w:p>
    <w:p w:rsidR="003C1B8C" w:rsidRDefault="002A7256" w:rsidP="00C64EAF">
      <w:pPr>
        <w:spacing w:after="120"/>
        <w:rPr>
          <w:rFonts w:eastAsia="MS Mincho"/>
        </w:rPr>
      </w:pPr>
      <w:r w:rsidRPr="002A7256">
        <w:rPr>
          <w:rFonts w:eastAsia="MS Mincho"/>
        </w:rPr>
        <w:t xml:space="preserve">Any violation of this policy may result in disciplinary action, up to and including termination of employment.  </w:t>
      </w:r>
      <w:proofErr w:type="spellStart"/>
      <w:r w:rsidR="00A11B3E">
        <w:rPr>
          <w:rFonts w:eastAsia="MS Mincho"/>
        </w:rPr>
        <w:t>CompanyX</w:t>
      </w:r>
      <w:proofErr w:type="spellEnd"/>
      <w:r w:rsidRPr="002A7256">
        <w:rPr>
          <w:rFonts w:eastAsia="MS Mincho"/>
        </w:rPr>
        <w:t xml:space="preserve"> reserves the right to notify the appropriate law enforcement authorities of any unlawful activity and to cooperate in any investigation of such activity. </w:t>
      </w:r>
      <w:proofErr w:type="spellStart"/>
      <w:r w:rsidR="00A11B3E">
        <w:rPr>
          <w:rFonts w:eastAsia="MS Mincho"/>
        </w:rPr>
        <w:t>CompanyX</w:t>
      </w:r>
      <w:proofErr w:type="spellEnd"/>
      <w:r w:rsidRPr="002A7256">
        <w:rPr>
          <w:rFonts w:eastAsia="MS Mincho"/>
        </w:rPr>
        <w:t xml:space="preserve"> does not consider conduct in violation of this policy to be within an employee’s or </w:t>
      </w:r>
      <w:r w:rsidR="00A4437D">
        <w:rPr>
          <w:rFonts w:eastAsia="MS Mincho"/>
        </w:rPr>
        <w:t>Third-Party</w:t>
      </w:r>
      <w:r w:rsidRPr="002A7256">
        <w:rPr>
          <w:rFonts w:eastAsia="MS Mincho"/>
        </w:rPr>
        <w:t xml:space="preserve">’s course and scope of employment, or the direct consequence of the discharge of the employee’s or </w:t>
      </w:r>
      <w:r w:rsidR="00A4437D">
        <w:rPr>
          <w:rFonts w:eastAsia="MS Mincho"/>
        </w:rPr>
        <w:t>Third-Party</w:t>
      </w:r>
      <w:r w:rsidRPr="002A7256">
        <w:rPr>
          <w:rFonts w:eastAsia="MS Mincho"/>
        </w:rPr>
        <w:t xml:space="preserve">’s duties. Accordingly, to the extent permitted by law, </w:t>
      </w:r>
      <w:proofErr w:type="spellStart"/>
      <w:r w:rsidR="00A11B3E">
        <w:rPr>
          <w:rFonts w:eastAsia="MS Mincho"/>
        </w:rPr>
        <w:t>CompanyX</w:t>
      </w:r>
      <w:proofErr w:type="spellEnd"/>
      <w:r w:rsidRPr="002A7256">
        <w:rPr>
          <w:rFonts w:eastAsia="MS Mincho"/>
        </w:rPr>
        <w:t xml:space="preserve"> reserves the right not to defend or pay any damages awarded against employees or </w:t>
      </w:r>
      <w:r w:rsidR="00A4437D">
        <w:rPr>
          <w:rFonts w:eastAsia="MS Mincho"/>
        </w:rPr>
        <w:t>Third-Parties</w:t>
      </w:r>
      <w:r w:rsidRPr="002A7256">
        <w:rPr>
          <w:rFonts w:eastAsia="MS Mincho"/>
        </w:rPr>
        <w:t xml:space="preserve"> that result from violation of this policy.</w:t>
      </w:r>
    </w:p>
    <w:p w:rsidR="00BF5991" w:rsidRPr="002A7256" w:rsidRDefault="00BF5991" w:rsidP="00C64EAF">
      <w:pPr>
        <w:spacing w:after="120"/>
        <w:rPr>
          <w:rFonts w:eastAsia="MS Mincho"/>
        </w:rPr>
      </w:pPr>
      <w:r w:rsidRPr="003C1B8C">
        <w:rPr>
          <w:rFonts w:eastAsia="MS Mincho"/>
        </w:rPr>
        <w:t xml:space="preserve">Any employee or </w:t>
      </w:r>
      <w:r>
        <w:rPr>
          <w:rFonts w:eastAsia="MS Mincho"/>
        </w:rPr>
        <w:t>contractor</w:t>
      </w:r>
      <w:r w:rsidRPr="003C1B8C">
        <w:rPr>
          <w:rFonts w:eastAsia="MS Mincho"/>
        </w:rPr>
        <w:t xml:space="preserve"> who is requested to undertake an activity which he or she believes is in violation of this policy, must provide a written or verbal complaint to his or her manager, any other manager or the Human Resources Department as soon as possible.</w:t>
      </w:r>
    </w:p>
    <w:p w:rsidR="00A437C9" w:rsidRPr="003F09FA" w:rsidRDefault="00A437C9" w:rsidP="003F09FA">
      <w:pPr>
        <w:pStyle w:val="PolicyElementHeader"/>
        <w:rPr>
          <w:bCs/>
          <w:color w:val="00527A"/>
        </w:rPr>
      </w:pPr>
      <w:bookmarkStart w:id="24" w:name="_Toc241985855"/>
      <w:bookmarkStart w:id="25" w:name="_Toc3901618"/>
      <w:r w:rsidRPr="003F09FA">
        <w:rPr>
          <w:bCs/>
          <w:color w:val="00527A"/>
        </w:rPr>
        <w:t>Definitions</w:t>
      </w:r>
      <w:bookmarkEnd w:id="24"/>
      <w:bookmarkEnd w:id="25"/>
    </w:p>
    <w:p w:rsidR="00306EE7" w:rsidRDefault="00306EE7" w:rsidP="00306EE7">
      <w:pPr>
        <w:spacing w:after="120"/>
        <w:jc w:val="both"/>
      </w:pPr>
      <w:r w:rsidRPr="00306EE7">
        <w:rPr>
          <w:b/>
        </w:rPr>
        <w:t>Account (User ID or Username)</w:t>
      </w:r>
      <w:r>
        <w:t xml:space="preserve"> – A unique string of characters assigned to a user by which a person is identified to </w:t>
      </w:r>
      <w:proofErr w:type="spellStart"/>
      <w:r>
        <w:t>a</w:t>
      </w:r>
      <w:proofErr w:type="spellEnd"/>
      <w:r>
        <w:t xml:space="preserve"> </w:t>
      </w:r>
      <w:r w:rsidR="00A95347">
        <w:t>Information system</w:t>
      </w:r>
      <w:r>
        <w:t xml:space="preserve"> or network. A user commonly must enter both a user ID and a password as an authentication mechanism during the logon process.</w:t>
      </w:r>
    </w:p>
    <w:p w:rsidR="00306EE7" w:rsidRDefault="00306EE7" w:rsidP="00306EE7">
      <w:pPr>
        <w:spacing w:after="120"/>
        <w:jc w:val="both"/>
      </w:pPr>
      <w:r w:rsidRPr="00306EE7">
        <w:rPr>
          <w:b/>
        </w:rPr>
        <w:t>Confidential Information (Sensitive Information)</w:t>
      </w:r>
      <w:r>
        <w:t xml:space="preserve"> – Any </w:t>
      </w:r>
      <w:proofErr w:type="spellStart"/>
      <w:r w:rsidR="00A11B3E">
        <w:t>CompanyX</w:t>
      </w:r>
      <w:proofErr w:type="spellEnd"/>
      <w:r>
        <w:t xml:space="preserve"> information that is not publicly known and includes tangible and intangible information in all forms, such as information that is observed or orally delivered, or is in electronic form, or is written or in other tangible form.   Confidential Information may include, but is not limited to, source code, product designs and plans, beta and benchmarking results, patent applications, production methods, product roadmaps, customer lists and information, prospect lists and information, promotional plans, competitive information, names, salaries, skills, positions, pre-public financial results, product costs, and pricing, and employee information and lists including organizational charts.   Confidential Information also includes any confidential information received by </w:t>
      </w:r>
      <w:proofErr w:type="spellStart"/>
      <w:r w:rsidR="00A11B3E">
        <w:t>CompanyX</w:t>
      </w:r>
      <w:proofErr w:type="spellEnd"/>
      <w:r>
        <w:t xml:space="preserve"> from a </w:t>
      </w:r>
      <w:r w:rsidR="00BF5991">
        <w:t>Third-Party</w:t>
      </w:r>
      <w:r>
        <w:t xml:space="preserve"> under a non-disclosure agreement.</w:t>
      </w:r>
    </w:p>
    <w:p w:rsidR="00306EE7" w:rsidRDefault="00A4437D" w:rsidP="00306EE7">
      <w:pPr>
        <w:spacing w:after="120"/>
        <w:jc w:val="both"/>
      </w:pPr>
      <w:r>
        <w:rPr>
          <w:b/>
          <w:bCs/>
        </w:rPr>
        <w:t>Third-Party</w:t>
      </w:r>
      <w:r w:rsidR="00306EE7" w:rsidRPr="00CA3C71">
        <w:rPr>
          <w:b/>
        </w:rPr>
        <w:t xml:space="preserve"> – </w:t>
      </w:r>
      <w:r w:rsidR="00306EE7" w:rsidRPr="0034512D">
        <w:t xml:space="preserve">Any non-employee of </w:t>
      </w:r>
      <w:proofErr w:type="spellStart"/>
      <w:r w:rsidR="00A11B3E">
        <w:t>CompanyX</w:t>
      </w:r>
      <w:proofErr w:type="spellEnd"/>
      <w:r w:rsidR="00306EE7" w:rsidRPr="0034512D">
        <w:t xml:space="preserve"> who is contractually bound to provide some form of service to </w:t>
      </w:r>
      <w:proofErr w:type="spellStart"/>
      <w:r w:rsidR="00A11B3E">
        <w:t>CompanyX</w:t>
      </w:r>
      <w:proofErr w:type="spellEnd"/>
      <w:r w:rsidR="00306EE7" w:rsidRPr="0034512D">
        <w:t>.</w:t>
      </w:r>
    </w:p>
    <w:p w:rsidR="00306EE7" w:rsidRDefault="00306EE7" w:rsidP="00306EE7">
      <w:pPr>
        <w:spacing w:after="120"/>
        <w:jc w:val="both"/>
      </w:pPr>
      <w:r w:rsidRPr="00DC440B">
        <w:rPr>
          <w:b/>
        </w:rPr>
        <w:t>Password</w:t>
      </w:r>
      <w:r>
        <w:t xml:space="preserve"> </w:t>
      </w:r>
      <w:r w:rsidRPr="00CA3C71">
        <w:rPr>
          <w:b/>
        </w:rPr>
        <w:t xml:space="preserve">– </w:t>
      </w:r>
      <w:r w:rsidRPr="00DC440B">
        <w:t xml:space="preserve">An arbitrary string of characters chosen by a user </w:t>
      </w:r>
      <w:r>
        <w:t xml:space="preserve">that is </w:t>
      </w:r>
      <w:r w:rsidRPr="00DC440B">
        <w:t>used to authenticate the user when he attempts to log on, in order to prevent unauthorized access to his account.</w:t>
      </w:r>
    </w:p>
    <w:p w:rsidR="00306EE7" w:rsidRPr="00CA3C71" w:rsidRDefault="00306EE7" w:rsidP="00306EE7">
      <w:pPr>
        <w:spacing w:after="120"/>
        <w:jc w:val="both"/>
        <w:rPr>
          <w:b/>
        </w:rPr>
      </w:pPr>
      <w:r>
        <w:rPr>
          <w:b/>
        </w:rPr>
        <w:t xml:space="preserve">System Administrator </w:t>
      </w:r>
      <w:r w:rsidRPr="00CA3C71">
        <w:rPr>
          <w:b/>
        </w:rPr>
        <w:t xml:space="preserve">– </w:t>
      </w:r>
      <w:r>
        <w:t xml:space="preserve">An employee or </w:t>
      </w:r>
      <w:r w:rsidR="00A4437D">
        <w:t>Third-Party</w:t>
      </w:r>
      <w:r>
        <w:t xml:space="preserve"> </w:t>
      </w:r>
      <w:r w:rsidRPr="00237AD4">
        <w:t xml:space="preserve">who is responsible for managing a </w:t>
      </w:r>
      <w:proofErr w:type="spellStart"/>
      <w:r w:rsidR="00A11B3E">
        <w:t>CompanyX</w:t>
      </w:r>
      <w:proofErr w:type="spellEnd"/>
      <w:r w:rsidRPr="00237AD4">
        <w:t xml:space="preserve"> multi-user computing environment</w:t>
      </w:r>
      <w:r>
        <w:t xml:space="preserve">. </w:t>
      </w:r>
      <w:r w:rsidRPr="00237AD4">
        <w:t>The responsibilities of the system administrator typically include installing and configuring system hardware and software, establishing and managing user accounts, upgrading software and backup and recovery tasks.</w:t>
      </w:r>
    </w:p>
    <w:p w:rsidR="00306EE7" w:rsidRDefault="00306EE7" w:rsidP="00306EE7">
      <w:pPr>
        <w:spacing w:after="120"/>
        <w:jc w:val="both"/>
      </w:pPr>
      <w:r w:rsidRPr="00EC4A77">
        <w:rPr>
          <w:b/>
          <w:bCs/>
        </w:rPr>
        <w:t>User</w:t>
      </w:r>
      <w:r w:rsidRPr="00EC4A77">
        <w:rPr>
          <w:b/>
        </w:rPr>
        <w:t xml:space="preserve"> - </w:t>
      </w:r>
      <w:r w:rsidRPr="00EC4A77">
        <w:t xml:space="preserve">Any </w:t>
      </w:r>
      <w:proofErr w:type="spellStart"/>
      <w:r w:rsidR="00A11B3E">
        <w:t>CompanyX</w:t>
      </w:r>
      <w:proofErr w:type="spellEnd"/>
      <w:r w:rsidRPr="00EC4A77">
        <w:t xml:space="preserve"> employee or </w:t>
      </w:r>
      <w:r w:rsidR="00A4437D">
        <w:t>Third-Party</w:t>
      </w:r>
      <w:r w:rsidRPr="00EC4A77">
        <w:t xml:space="preserve"> who has been authorized to access any </w:t>
      </w:r>
      <w:proofErr w:type="spellStart"/>
      <w:r w:rsidR="00A11B3E">
        <w:t>CompanyX</w:t>
      </w:r>
      <w:proofErr w:type="spellEnd"/>
      <w:r w:rsidRPr="00EC4A77">
        <w:t xml:space="preserve"> electronic information resource.</w:t>
      </w:r>
    </w:p>
    <w:p w:rsidR="00D13DA3" w:rsidRDefault="00D13DA3" w:rsidP="00D13DA3">
      <w:pPr>
        <w:pStyle w:val="PolicyElementHeader"/>
        <w:rPr>
          <w:color w:val="00527A"/>
          <w:szCs w:val="28"/>
        </w:rPr>
      </w:pPr>
      <w:bookmarkStart w:id="26" w:name="_Toc178155364"/>
      <w:bookmarkStart w:id="27" w:name="_Toc241985856"/>
      <w:bookmarkStart w:id="28" w:name="_Toc3901619"/>
      <w:r>
        <w:rPr>
          <w:color w:val="00527A"/>
          <w:szCs w:val="28"/>
        </w:rPr>
        <w:t>References</w:t>
      </w:r>
      <w:bookmarkEnd w:id="26"/>
      <w:bookmarkEnd w:id="27"/>
      <w:bookmarkEnd w:id="28"/>
    </w:p>
    <w:p w:rsidR="00A726A1" w:rsidRDefault="004D37EB" w:rsidP="00A726A1">
      <w:pPr>
        <w:rPr>
          <w:bCs/>
        </w:rPr>
      </w:pPr>
      <w:r w:rsidRPr="007D37A8">
        <w:rPr>
          <w:bCs/>
        </w:rPr>
        <w:t xml:space="preserve">ISO/IEC </w:t>
      </w:r>
      <w:r w:rsidR="001E29F7" w:rsidRPr="007D37A8">
        <w:rPr>
          <w:bCs/>
        </w:rPr>
        <w:t>27002</w:t>
      </w:r>
      <w:r w:rsidR="00866EEE">
        <w:t xml:space="preserve"> </w:t>
      </w:r>
      <w:r w:rsidR="00DE6339">
        <w:rPr>
          <w:bCs/>
        </w:rPr>
        <w:t>– 9.0</w:t>
      </w:r>
      <w:r w:rsidR="00866EEE" w:rsidRPr="001C34F5">
        <w:rPr>
          <w:bCs/>
        </w:rPr>
        <w:t xml:space="preserve"> Access Control</w:t>
      </w:r>
    </w:p>
    <w:p w:rsidR="008D7A2D" w:rsidRDefault="008D7A2D" w:rsidP="00A726A1">
      <w:pPr>
        <w:rPr>
          <w:bCs/>
        </w:rPr>
      </w:pPr>
      <w:r w:rsidRPr="008D7A2D">
        <w:rPr>
          <w:bCs/>
        </w:rPr>
        <w:t>NIST: Access Control (AC)</w:t>
      </w:r>
    </w:p>
    <w:p w:rsidR="008D7A2D" w:rsidRDefault="008D7A2D" w:rsidP="00A726A1">
      <w:r w:rsidRPr="008D7A2D">
        <w:lastRenderedPageBreak/>
        <w:t>PCI</w:t>
      </w:r>
      <w:r>
        <w:t>-DSS</w:t>
      </w:r>
      <w:r w:rsidRPr="008D7A2D">
        <w:t>: R7. Restrict access to cardholder data by business need to know</w:t>
      </w:r>
    </w:p>
    <w:p w:rsidR="00156619" w:rsidRDefault="00156619" w:rsidP="00A726A1">
      <w:r>
        <w:t>US-CSF</w:t>
      </w:r>
      <w:r w:rsidRPr="00156619">
        <w:t>: PR.AC Access Control</w:t>
      </w:r>
    </w:p>
    <w:p w:rsidR="00A4437D" w:rsidRPr="00EF734B" w:rsidRDefault="00A4437D" w:rsidP="00A4437D">
      <w:pPr>
        <w:pStyle w:val="PolicyElementHeader"/>
        <w:rPr>
          <w:bCs/>
          <w:color w:val="00527A"/>
        </w:rPr>
      </w:pPr>
      <w:bookmarkStart w:id="29" w:name="_Toc525041757"/>
      <w:bookmarkStart w:id="30" w:name="_Toc3901621"/>
      <w:r w:rsidRPr="00EF734B">
        <w:rPr>
          <w:bCs/>
          <w:color w:val="00527A"/>
        </w:rPr>
        <w:t>Approval and Ownership</w:t>
      </w:r>
      <w:bookmarkEnd w:id="29"/>
      <w:bookmarkEnd w:id="3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88"/>
        <w:gridCol w:w="2475"/>
        <w:gridCol w:w="1968"/>
        <w:gridCol w:w="2311"/>
      </w:tblGrid>
      <w:tr w:rsidR="00A4437D" w:rsidTr="00B27084">
        <w:trPr>
          <w:trHeight w:val="346"/>
        </w:trPr>
        <w:tc>
          <w:tcPr>
            <w:tcW w:w="2520" w:type="dxa"/>
            <w:shd w:val="pct10" w:color="auto" w:fill="auto"/>
            <w:tcMar>
              <w:top w:w="29" w:type="dxa"/>
              <w:left w:w="115" w:type="dxa"/>
              <w:bottom w:w="29" w:type="dxa"/>
              <w:right w:w="115" w:type="dxa"/>
            </w:tcMar>
            <w:vAlign w:val="center"/>
          </w:tcPr>
          <w:p w:rsidR="00A4437D" w:rsidRDefault="00A4437D" w:rsidP="00B27084">
            <w:pPr>
              <w:pStyle w:val="FooterTableHeader"/>
            </w:pPr>
            <w:r>
              <w:t>Owner</w:t>
            </w:r>
          </w:p>
        </w:tc>
        <w:tc>
          <w:tcPr>
            <w:tcW w:w="2520" w:type="dxa"/>
            <w:shd w:val="pct10" w:color="auto" w:fill="auto"/>
            <w:tcMar>
              <w:top w:w="29" w:type="dxa"/>
              <w:left w:w="115" w:type="dxa"/>
              <w:bottom w:w="29" w:type="dxa"/>
              <w:right w:w="115" w:type="dxa"/>
            </w:tcMar>
            <w:vAlign w:val="center"/>
          </w:tcPr>
          <w:p w:rsidR="00A4437D" w:rsidRDefault="00A4437D"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A4437D" w:rsidRDefault="00A4437D" w:rsidP="00B27084">
            <w:pPr>
              <w:pStyle w:val="FooterTableHeader"/>
            </w:pPr>
            <w:r>
              <w:t>Date</w:t>
            </w:r>
          </w:p>
        </w:tc>
        <w:tc>
          <w:tcPr>
            <w:tcW w:w="2340" w:type="dxa"/>
            <w:shd w:val="pct10" w:color="auto" w:fill="auto"/>
            <w:tcMar>
              <w:top w:w="29" w:type="dxa"/>
              <w:left w:w="115" w:type="dxa"/>
              <w:bottom w:w="29" w:type="dxa"/>
              <w:right w:w="115" w:type="dxa"/>
            </w:tcMar>
            <w:vAlign w:val="center"/>
          </w:tcPr>
          <w:p w:rsidR="00A4437D" w:rsidRDefault="00A4437D" w:rsidP="00B27084">
            <w:pPr>
              <w:pStyle w:val="FooterTableHeader"/>
            </w:pPr>
            <w:r>
              <w:t>Signature</w:t>
            </w:r>
          </w:p>
        </w:tc>
      </w:tr>
      <w:tr w:rsidR="00A4437D" w:rsidTr="00B27084">
        <w:trPr>
          <w:trHeight w:val="346"/>
        </w:trPr>
        <w:tc>
          <w:tcPr>
            <w:tcW w:w="2520" w:type="dxa"/>
            <w:tcBorders>
              <w:bottom w:val="single" w:sz="4" w:space="0" w:color="auto"/>
            </w:tcBorders>
            <w:tcMar>
              <w:top w:w="29" w:type="dxa"/>
              <w:left w:w="115" w:type="dxa"/>
              <w:bottom w:w="29" w:type="dxa"/>
              <w:right w:w="115" w:type="dxa"/>
            </w:tcMar>
            <w:vAlign w:val="center"/>
          </w:tcPr>
          <w:p w:rsidR="00A4437D" w:rsidRPr="003178ED" w:rsidRDefault="00A4437D" w:rsidP="00B27084">
            <w:pPr>
              <w:pStyle w:val="PolicyHeaderFill"/>
              <w:rPr>
                <w:highlight w:val="yellow"/>
              </w:rPr>
            </w:pPr>
            <w:r w:rsidRPr="003178ED">
              <w:rPr>
                <w:highlight w:val="yellow"/>
              </w:rPr>
              <w:t>Policy Author</w:t>
            </w:r>
          </w:p>
        </w:tc>
        <w:tc>
          <w:tcPr>
            <w:tcW w:w="2520" w:type="dxa"/>
            <w:tcBorders>
              <w:bottom w:val="single" w:sz="4" w:space="0" w:color="auto"/>
            </w:tcBorders>
            <w:tcMar>
              <w:top w:w="29" w:type="dxa"/>
              <w:left w:w="115" w:type="dxa"/>
              <w:bottom w:w="29" w:type="dxa"/>
              <w:right w:w="115" w:type="dxa"/>
            </w:tcMar>
            <w:vAlign w:val="center"/>
          </w:tcPr>
          <w:p w:rsidR="00A4437D" w:rsidRPr="003178ED" w:rsidRDefault="00A4437D" w:rsidP="00B27084">
            <w:pPr>
              <w:pStyle w:val="PolicyHeaderFill"/>
              <w:rPr>
                <w:highlight w:val="yellow"/>
              </w:rPr>
            </w:pPr>
            <w:r w:rsidRPr="003178ED">
              <w:rPr>
                <w:highlight w:val="yellow"/>
              </w:rPr>
              <w:t>Title</w:t>
            </w:r>
          </w:p>
        </w:tc>
        <w:tc>
          <w:tcPr>
            <w:tcW w:w="1980" w:type="dxa"/>
            <w:tcBorders>
              <w:bottom w:val="single" w:sz="4" w:space="0" w:color="auto"/>
            </w:tcBorders>
            <w:tcMar>
              <w:top w:w="29" w:type="dxa"/>
              <w:left w:w="115" w:type="dxa"/>
              <w:bottom w:w="29" w:type="dxa"/>
              <w:right w:w="115" w:type="dxa"/>
            </w:tcMar>
            <w:vAlign w:val="center"/>
          </w:tcPr>
          <w:p w:rsidR="00A4437D" w:rsidRPr="0043775C" w:rsidRDefault="00A4437D" w:rsidP="00B27084">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A4437D" w:rsidRDefault="00A4437D" w:rsidP="00B27084">
            <w:pPr>
              <w:jc w:val="center"/>
            </w:pPr>
          </w:p>
        </w:tc>
      </w:tr>
      <w:tr w:rsidR="00A4437D" w:rsidTr="00B27084">
        <w:trPr>
          <w:trHeight w:val="346"/>
        </w:trPr>
        <w:tc>
          <w:tcPr>
            <w:tcW w:w="2520" w:type="dxa"/>
            <w:shd w:val="pct10" w:color="auto" w:fill="auto"/>
            <w:tcMar>
              <w:top w:w="29" w:type="dxa"/>
              <w:left w:w="115" w:type="dxa"/>
              <w:bottom w:w="29" w:type="dxa"/>
              <w:right w:w="115" w:type="dxa"/>
            </w:tcMar>
            <w:vAlign w:val="center"/>
          </w:tcPr>
          <w:p w:rsidR="00A4437D" w:rsidRDefault="00A4437D" w:rsidP="00B27084">
            <w:pPr>
              <w:pStyle w:val="FooterTableHeader"/>
            </w:pPr>
            <w:r>
              <w:t>Approved By</w:t>
            </w:r>
          </w:p>
        </w:tc>
        <w:tc>
          <w:tcPr>
            <w:tcW w:w="2520" w:type="dxa"/>
            <w:shd w:val="pct10" w:color="auto" w:fill="auto"/>
            <w:tcMar>
              <w:top w:w="29" w:type="dxa"/>
              <w:left w:w="115" w:type="dxa"/>
              <w:bottom w:w="29" w:type="dxa"/>
              <w:right w:w="115" w:type="dxa"/>
            </w:tcMar>
            <w:vAlign w:val="center"/>
          </w:tcPr>
          <w:p w:rsidR="00A4437D" w:rsidRDefault="00A4437D" w:rsidP="00B27084">
            <w:pPr>
              <w:pStyle w:val="FooterTableHeader"/>
            </w:pPr>
            <w:r>
              <w:t>Title</w:t>
            </w:r>
          </w:p>
        </w:tc>
        <w:tc>
          <w:tcPr>
            <w:tcW w:w="1980" w:type="dxa"/>
            <w:shd w:val="pct10" w:color="auto" w:fill="auto"/>
            <w:tcMar>
              <w:top w:w="29" w:type="dxa"/>
              <w:left w:w="115" w:type="dxa"/>
              <w:bottom w:w="29" w:type="dxa"/>
              <w:right w:w="115" w:type="dxa"/>
            </w:tcMar>
            <w:vAlign w:val="center"/>
          </w:tcPr>
          <w:p w:rsidR="00A4437D" w:rsidRDefault="00A4437D" w:rsidP="00B27084">
            <w:pPr>
              <w:pStyle w:val="FooterTableHeader"/>
            </w:pPr>
            <w:r>
              <w:t>Date</w:t>
            </w:r>
          </w:p>
        </w:tc>
        <w:tc>
          <w:tcPr>
            <w:tcW w:w="2340" w:type="dxa"/>
            <w:shd w:val="pct10" w:color="auto" w:fill="auto"/>
            <w:tcMar>
              <w:top w:w="29" w:type="dxa"/>
              <w:left w:w="115" w:type="dxa"/>
              <w:bottom w:w="29" w:type="dxa"/>
              <w:right w:w="115" w:type="dxa"/>
            </w:tcMar>
            <w:vAlign w:val="center"/>
          </w:tcPr>
          <w:p w:rsidR="00A4437D" w:rsidRDefault="00A4437D" w:rsidP="00B27084">
            <w:pPr>
              <w:pStyle w:val="FooterTableHeader"/>
            </w:pPr>
            <w:r>
              <w:t>Signature</w:t>
            </w:r>
          </w:p>
        </w:tc>
      </w:tr>
      <w:tr w:rsidR="00A4437D" w:rsidTr="00B27084">
        <w:trPr>
          <w:trHeight w:val="346"/>
        </w:trPr>
        <w:tc>
          <w:tcPr>
            <w:tcW w:w="2520" w:type="dxa"/>
            <w:tcMar>
              <w:top w:w="29" w:type="dxa"/>
              <w:left w:w="115" w:type="dxa"/>
              <w:bottom w:w="29" w:type="dxa"/>
              <w:right w:w="115" w:type="dxa"/>
            </w:tcMar>
            <w:vAlign w:val="center"/>
          </w:tcPr>
          <w:p w:rsidR="00A4437D" w:rsidRPr="003178ED" w:rsidRDefault="00A4437D" w:rsidP="00B27084">
            <w:pPr>
              <w:pStyle w:val="PolicyHeaderFill"/>
              <w:rPr>
                <w:highlight w:val="yellow"/>
              </w:rPr>
            </w:pPr>
            <w:r w:rsidRPr="003178ED">
              <w:rPr>
                <w:highlight w:val="yellow"/>
              </w:rPr>
              <w:t>Executive Sponsor</w:t>
            </w:r>
          </w:p>
        </w:tc>
        <w:tc>
          <w:tcPr>
            <w:tcW w:w="2520" w:type="dxa"/>
            <w:tcMar>
              <w:top w:w="29" w:type="dxa"/>
              <w:left w:w="115" w:type="dxa"/>
              <w:bottom w:w="29" w:type="dxa"/>
              <w:right w:w="115" w:type="dxa"/>
            </w:tcMar>
            <w:vAlign w:val="center"/>
          </w:tcPr>
          <w:p w:rsidR="00A4437D" w:rsidRPr="003178ED" w:rsidRDefault="00A4437D" w:rsidP="00B27084">
            <w:pPr>
              <w:pStyle w:val="PolicyHeaderFill"/>
              <w:rPr>
                <w:highlight w:val="yellow"/>
              </w:rPr>
            </w:pPr>
            <w:r w:rsidRPr="003178ED">
              <w:rPr>
                <w:highlight w:val="yellow"/>
              </w:rPr>
              <w:t>Title</w:t>
            </w:r>
          </w:p>
        </w:tc>
        <w:tc>
          <w:tcPr>
            <w:tcW w:w="1980" w:type="dxa"/>
            <w:tcMar>
              <w:top w:w="29" w:type="dxa"/>
              <w:left w:w="115" w:type="dxa"/>
              <w:bottom w:w="29" w:type="dxa"/>
              <w:right w:w="115" w:type="dxa"/>
            </w:tcMar>
            <w:vAlign w:val="center"/>
          </w:tcPr>
          <w:p w:rsidR="00A4437D" w:rsidRPr="0043775C" w:rsidRDefault="00A4437D" w:rsidP="00B27084">
            <w:pPr>
              <w:pStyle w:val="PolicyHeaderFill"/>
            </w:pPr>
            <w:r>
              <w:t>MM/DD/YYYY</w:t>
            </w:r>
          </w:p>
        </w:tc>
        <w:tc>
          <w:tcPr>
            <w:tcW w:w="2340" w:type="dxa"/>
            <w:tcMar>
              <w:top w:w="29" w:type="dxa"/>
              <w:left w:w="115" w:type="dxa"/>
              <w:bottom w:w="29" w:type="dxa"/>
              <w:right w:w="115" w:type="dxa"/>
            </w:tcMar>
            <w:vAlign w:val="center"/>
          </w:tcPr>
          <w:p w:rsidR="00A4437D" w:rsidRDefault="00A4437D" w:rsidP="00B27084">
            <w:pPr>
              <w:jc w:val="center"/>
            </w:pPr>
          </w:p>
        </w:tc>
      </w:tr>
    </w:tbl>
    <w:p w:rsidR="00A4437D" w:rsidRPr="00EF734B" w:rsidRDefault="00A4437D" w:rsidP="00A4437D">
      <w:pPr>
        <w:pStyle w:val="PolicyElementHeader"/>
        <w:rPr>
          <w:bCs/>
          <w:color w:val="00527A"/>
        </w:rPr>
      </w:pPr>
      <w:bookmarkStart w:id="31" w:name="_Toc525041758"/>
      <w:bookmarkStart w:id="32" w:name="_Toc3901622"/>
      <w:r w:rsidRPr="00EF734B">
        <w:rPr>
          <w:bCs/>
          <w:color w:val="00527A"/>
        </w:rPr>
        <w:t>Revision History</w:t>
      </w:r>
      <w:bookmarkEnd w:id="31"/>
      <w:bookmarkEnd w:id="32"/>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A4437D" w:rsidRPr="0076502A" w:rsidTr="00B27084">
        <w:trPr>
          <w:trHeight w:val="566"/>
        </w:trPr>
        <w:tc>
          <w:tcPr>
            <w:tcW w:w="624" w:type="pct"/>
            <w:shd w:val="pct10" w:color="auto" w:fill="auto"/>
            <w:vAlign w:val="center"/>
          </w:tcPr>
          <w:p w:rsidR="00A4437D" w:rsidRPr="00DA209E" w:rsidRDefault="00A4437D" w:rsidP="00B27084">
            <w:pPr>
              <w:pStyle w:val="FooterTableHeader"/>
            </w:pPr>
            <w:r w:rsidRPr="00DA209E">
              <w:t>Version</w:t>
            </w:r>
          </w:p>
        </w:tc>
        <w:tc>
          <w:tcPr>
            <w:tcW w:w="1540" w:type="pct"/>
            <w:shd w:val="pct10" w:color="auto" w:fill="auto"/>
            <w:vAlign w:val="center"/>
          </w:tcPr>
          <w:p w:rsidR="00A4437D" w:rsidRPr="00DA209E" w:rsidRDefault="00A4437D" w:rsidP="00B27084">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A4437D" w:rsidRPr="00DA209E" w:rsidRDefault="00A4437D" w:rsidP="00B27084">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A4437D" w:rsidRPr="00DA209E" w:rsidRDefault="00A4437D" w:rsidP="00B27084">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A4437D" w:rsidRPr="00DA209E" w:rsidRDefault="00A4437D" w:rsidP="00B27084">
            <w:pPr>
              <w:pStyle w:val="FooterTableHeader"/>
            </w:pPr>
            <w:r>
              <w:t>Reviewer/Approver</w:t>
            </w:r>
            <w:r w:rsidRPr="00DA209E">
              <w:br/>
              <w:t>Name</w:t>
            </w:r>
          </w:p>
        </w:tc>
      </w:tr>
      <w:tr w:rsidR="00A4437D" w:rsidRPr="0076502A" w:rsidTr="00B27084">
        <w:trPr>
          <w:trHeight w:val="288"/>
        </w:trPr>
        <w:tc>
          <w:tcPr>
            <w:tcW w:w="624" w:type="pct"/>
            <w:vAlign w:val="center"/>
          </w:tcPr>
          <w:p w:rsidR="00A4437D" w:rsidRPr="00DA209E" w:rsidRDefault="00A4437D" w:rsidP="00B27084">
            <w:pPr>
              <w:pStyle w:val="PolicyHeaderFill"/>
            </w:pPr>
            <w:r w:rsidRPr="00DA209E">
              <w:t>1.0</w:t>
            </w:r>
          </w:p>
        </w:tc>
        <w:tc>
          <w:tcPr>
            <w:tcW w:w="1540" w:type="pct"/>
            <w:vAlign w:val="center"/>
          </w:tcPr>
          <w:p w:rsidR="00A4437D" w:rsidRPr="00DA209E" w:rsidRDefault="00A4437D" w:rsidP="00B27084">
            <w:pPr>
              <w:pStyle w:val="PolicyHeaderFill"/>
            </w:pPr>
            <w:r w:rsidRPr="00DA209E">
              <w:t>Initial Version</w:t>
            </w:r>
          </w:p>
        </w:tc>
        <w:tc>
          <w:tcPr>
            <w:tcW w:w="817" w:type="pct"/>
            <w:tcMar>
              <w:top w:w="29" w:type="dxa"/>
              <w:left w:w="115" w:type="dxa"/>
              <w:bottom w:w="29" w:type="dxa"/>
              <w:right w:w="115" w:type="dxa"/>
            </w:tcMar>
            <w:vAlign w:val="center"/>
          </w:tcPr>
          <w:p w:rsidR="00A4437D" w:rsidRPr="00DA209E" w:rsidRDefault="003178ED" w:rsidP="00B27084">
            <w:pPr>
              <w:pStyle w:val="PolicyHeaderFill"/>
            </w:pPr>
            <w:r>
              <w:t>10/05/2019</w:t>
            </w:r>
          </w:p>
        </w:tc>
        <w:tc>
          <w:tcPr>
            <w:tcW w:w="817" w:type="pct"/>
            <w:tcMar>
              <w:top w:w="29" w:type="dxa"/>
              <w:left w:w="115" w:type="dxa"/>
              <w:bottom w:w="29" w:type="dxa"/>
              <w:right w:w="115" w:type="dxa"/>
            </w:tcMar>
            <w:vAlign w:val="center"/>
          </w:tcPr>
          <w:p w:rsidR="00A4437D" w:rsidRPr="00DA209E" w:rsidRDefault="00A4437D" w:rsidP="00B27084">
            <w:pPr>
              <w:pStyle w:val="PolicyHeaderFill"/>
            </w:pPr>
            <w:r>
              <w:t>MM/DD/YYYY</w:t>
            </w:r>
          </w:p>
        </w:tc>
        <w:tc>
          <w:tcPr>
            <w:tcW w:w="1202" w:type="pct"/>
            <w:tcMar>
              <w:top w:w="29" w:type="dxa"/>
              <w:left w:w="115" w:type="dxa"/>
              <w:bottom w:w="29" w:type="dxa"/>
              <w:right w:w="115" w:type="dxa"/>
            </w:tcMar>
            <w:vAlign w:val="center"/>
          </w:tcPr>
          <w:p w:rsidR="00A4437D" w:rsidRPr="0076502A" w:rsidRDefault="00A4437D" w:rsidP="00B27084">
            <w:pPr>
              <w:pStyle w:val="PolicyHeaderFill"/>
            </w:pPr>
          </w:p>
        </w:tc>
      </w:tr>
      <w:tr w:rsidR="00A4437D" w:rsidRPr="0076502A" w:rsidTr="00B27084">
        <w:trPr>
          <w:trHeight w:val="288"/>
        </w:trPr>
        <w:tc>
          <w:tcPr>
            <w:tcW w:w="624" w:type="pct"/>
            <w:vAlign w:val="center"/>
          </w:tcPr>
          <w:p w:rsidR="00A4437D" w:rsidRPr="0076502A" w:rsidRDefault="00A4437D" w:rsidP="00B27084">
            <w:pPr>
              <w:pStyle w:val="FooterTableHeader"/>
              <w:rPr>
                <w:rFonts w:ascii="Times New Roman" w:hAnsi="Times New Roman"/>
                <w:sz w:val="22"/>
                <w:szCs w:val="22"/>
              </w:rPr>
            </w:pPr>
          </w:p>
        </w:tc>
        <w:tc>
          <w:tcPr>
            <w:tcW w:w="1540" w:type="pct"/>
            <w:vAlign w:val="center"/>
          </w:tcPr>
          <w:p w:rsidR="00A4437D" w:rsidRPr="0076502A" w:rsidRDefault="00A4437D"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A4437D" w:rsidRPr="0076502A" w:rsidRDefault="00A4437D" w:rsidP="00B27084">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A4437D" w:rsidRPr="003C1B8C" w:rsidRDefault="00A4437D" w:rsidP="00B27084">
            <w:pPr>
              <w:pStyle w:val="PolicyHeaderFill"/>
            </w:pPr>
          </w:p>
        </w:tc>
        <w:tc>
          <w:tcPr>
            <w:tcW w:w="1202" w:type="pct"/>
            <w:tcMar>
              <w:top w:w="29" w:type="dxa"/>
              <w:left w:w="115" w:type="dxa"/>
              <w:bottom w:w="29" w:type="dxa"/>
              <w:right w:w="115" w:type="dxa"/>
            </w:tcMar>
            <w:vAlign w:val="center"/>
          </w:tcPr>
          <w:p w:rsidR="00A4437D" w:rsidRPr="0076502A" w:rsidRDefault="00A4437D" w:rsidP="00B27084">
            <w:pPr>
              <w:pStyle w:val="FooterTableHeader"/>
              <w:rPr>
                <w:rFonts w:ascii="Times New Roman" w:hAnsi="Times New Roman"/>
                <w:sz w:val="22"/>
                <w:szCs w:val="22"/>
              </w:rPr>
            </w:pPr>
          </w:p>
        </w:tc>
      </w:tr>
    </w:tbl>
    <w:p w:rsidR="002B50C6" w:rsidRDefault="002B50C6"/>
    <w:sectPr w:rsidR="002B50C6" w:rsidSect="00D13DA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75058" w:rsidRDefault="00875058">
      <w:r>
        <w:separator/>
      </w:r>
    </w:p>
    <w:p w:rsidR="00875058" w:rsidRDefault="00875058"/>
  </w:endnote>
  <w:endnote w:type="continuationSeparator" w:id="0">
    <w:p w:rsidR="00875058" w:rsidRDefault="00875058">
      <w:r>
        <w:continuationSeparator/>
      </w:r>
    </w:p>
    <w:p w:rsidR="00875058" w:rsidRDefault="008750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3C1B8C" w:rsidRPr="00575A04" w:rsidRDefault="00A11B3E" w:rsidP="00575A04">
    <w:pPr>
      <w:pStyle w:val="Footer"/>
    </w:pPr>
    <w:proofErr w:type="spellStart"/>
    <w:r>
      <w:t>CompanyX</w:t>
    </w:r>
    <w:proofErr w:type="spellEnd"/>
    <w:r w:rsidR="005B5658">
      <w:t xml:space="preserve"> Security Policy</w:t>
    </w:r>
    <w:r w:rsidR="003C1B8C" w:rsidRPr="00575A04">
      <w:tab/>
    </w:r>
    <w:r w:rsidR="003178ED">
      <w:t>Classification: INTERNAL</w:t>
    </w:r>
    <w:r w:rsidR="003C1B8C" w:rsidRPr="00575A04">
      <w:tab/>
    </w:r>
    <w:r w:rsidR="003C1B8C">
      <w:t xml:space="preserve">  </w:t>
    </w:r>
    <w:r w:rsidR="003C1B8C" w:rsidRPr="00575A04">
      <w:t xml:space="preserve">Page </w:t>
    </w:r>
    <w:r w:rsidR="003F3DFA">
      <w:rPr>
        <w:noProof/>
      </w:rPr>
      <w:fldChar w:fldCharType="begin"/>
    </w:r>
    <w:r w:rsidR="003F3DFA">
      <w:rPr>
        <w:noProof/>
      </w:rPr>
      <w:instrText xml:space="preserve"> PAGE </w:instrText>
    </w:r>
    <w:r w:rsidR="003F3DFA">
      <w:rPr>
        <w:noProof/>
      </w:rPr>
      <w:fldChar w:fldCharType="separate"/>
    </w:r>
    <w:r w:rsidR="009D023A">
      <w:rPr>
        <w:noProof/>
      </w:rPr>
      <w:t>1</w:t>
    </w:r>
    <w:r w:rsidR="003F3DFA">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75058" w:rsidRDefault="00875058">
      <w:r>
        <w:separator/>
      </w:r>
    </w:p>
    <w:p w:rsidR="00875058" w:rsidRDefault="00875058"/>
  </w:footnote>
  <w:footnote w:type="continuationSeparator" w:id="0">
    <w:p w:rsidR="00875058" w:rsidRDefault="00875058">
      <w:r>
        <w:continuationSeparator/>
      </w:r>
    </w:p>
    <w:p w:rsidR="00875058" w:rsidRDefault="008750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jc w:val="center"/>
      <w:tblCellMar>
        <w:top w:w="58" w:type="dxa"/>
        <w:left w:w="115" w:type="dxa"/>
        <w:bottom w:w="14" w:type="dxa"/>
        <w:right w:w="115" w:type="dxa"/>
      </w:tblCellMar>
      <w:tblLook w:val="0600" w:firstRow="0" w:lastRow="0" w:firstColumn="0" w:lastColumn="0" w:noHBand="1" w:noVBand="1"/>
    </w:tblPr>
    <w:tblGrid>
      <w:gridCol w:w="6366"/>
      <w:gridCol w:w="1398"/>
      <w:gridCol w:w="1586"/>
    </w:tblGrid>
    <w:tr w:rsidR="003178ED" w:rsidRPr="00ED75F8" w:rsidTr="00ED7DC0">
      <w:trPr>
        <w:trHeight w:val="576"/>
        <w:jc w:val="center"/>
      </w:trPr>
      <w:tc>
        <w:tcPr>
          <w:tcW w:w="7375" w:type="dxa"/>
          <w:vAlign w:val="center"/>
        </w:tcPr>
        <w:p w:rsidR="003178ED" w:rsidRPr="00ED75F8" w:rsidRDefault="00A11B3E" w:rsidP="003178ED">
          <w:pPr>
            <w:jc w:val="center"/>
            <w:rPr>
              <w:rFonts w:asciiTheme="minorHAnsi" w:hAnsiTheme="minorHAnsi"/>
              <w:b/>
              <w:szCs w:val="22"/>
            </w:rPr>
          </w:pPr>
          <w:r>
            <w:rPr>
              <w:rFonts w:asciiTheme="minorHAnsi" w:hAnsiTheme="minorHAnsi"/>
              <w:b/>
              <w:szCs w:val="22"/>
            </w:rPr>
            <w:t>(Company Logo or Name)</w:t>
          </w:r>
        </w:p>
      </w:tc>
      <w:tc>
        <w:tcPr>
          <w:tcW w:w="1440" w:type="dxa"/>
          <w:vAlign w:val="center"/>
        </w:tcPr>
        <w:p w:rsidR="003178ED" w:rsidRPr="00ED75F8" w:rsidRDefault="003178ED" w:rsidP="003178ED">
          <w:pPr>
            <w:jc w:val="center"/>
            <w:rPr>
              <w:rFonts w:asciiTheme="minorHAnsi" w:hAnsiTheme="minorHAnsi"/>
              <w:b/>
              <w:szCs w:val="22"/>
            </w:rPr>
          </w:pPr>
          <w:r w:rsidRPr="00ED75F8">
            <w:rPr>
              <w:rFonts w:asciiTheme="minorHAnsi" w:hAnsiTheme="minorHAnsi"/>
              <w:b/>
              <w:szCs w:val="22"/>
            </w:rPr>
            <w:t>Document #</w:t>
          </w:r>
        </w:p>
      </w:tc>
      <w:tc>
        <w:tcPr>
          <w:tcW w:w="1795" w:type="dxa"/>
          <w:vAlign w:val="center"/>
        </w:tcPr>
        <w:p w:rsidR="003178ED" w:rsidRPr="00573C4A" w:rsidRDefault="003178ED" w:rsidP="003178ED">
          <w:pPr>
            <w:jc w:val="center"/>
            <w:rPr>
              <w:rStyle w:val="IntenseEmphasis"/>
              <w:rFonts w:asciiTheme="majorHAnsi" w:hAnsiTheme="majorHAnsi"/>
              <w:szCs w:val="22"/>
            </w:rPr>
          </w:pPr>
          <w:r w:rsidRPr="003178ED">
            <w:rPr>
              <w:rFonts w:ascii="Calibri" w:hAnsi="Calibri"/>
              <w:b/>
              <w:i/>
              <w:iCs/>
              <w:color w:val="B5464E"/>
              <w:szCs w:val="22"/>
              <w:lang w:eastAsia="de-DE"/>
            </w:rPr>
            <w:t>IT-PL-</w:t>
          </w:r>
          <w:r w:rsidRPr="003178ED">
            <w:rPr>
              <w:rFonts w:ascii="Calibri" w:hAnsi="Calibri"/>
              <w:b/>
              <w:i/>
              <w:iCs/>
              <w:color w:val="B5464E"/>
              <w:szCs w:val="22"/>
              <w:highlight w:val="yellow"/>
              <w:lang w:eastAsia="de-DE"/>
            </w:rPr>
            <w:t>XX</w:t>
          </w:r>
        </w:p>
      </w:tc>
    </w:tr>
    <w:tr w:rsidR="003178ED" w:rsidRPr="00ED75F8" w:rsidTr="00ED7DC0">
      <w:trPr>
        <w:trHeight w:val="1008"/>
        <w:jc w:val="center"/>
      </w:trPr>
      <w:tc>
        <w:tcPr>
          <w:tcW w:w="10610" w:type="dxa"/>
          <w:gridSpan w:val="3"/>
        </w:tcPr>
        <w:p w:rsidR="003178ED" w:rsidRDefault="003178ED" w:rsidP="003178ED">
          <w:pPr>
            <w:jc w:val="center"/>
            <w:rPr>
              <w:rFonts w:asciiTheme="minorHAnsi" w:hAnsiTheme="minorHAnsi"/>
              <w:b/>
              <w:i/>
              <w:sz w:val="28"/>
              <w:szCs w:val="22"/>
            </w:rPr>
          </w:pPr>
        </w:p>
        <w:p w:rsidR="003178ED" w:rsidRPr="00A12E79" w:rsidRDefault="003178ED" w:rsidP="003178ED">
          <w:pPr>
            <w:pStyle w:val="Title"/>
          </w:pPr>
          <w:r>
            <w:t>Access Control Policy</w:t>
          </w:r>
        </w:p>
      </w:tc>
    </w:tr>
  </w:tbl>
  <w:p w:rsidR="003178ED" w:rsidRDefault="003178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A4605"/>
    <w:multiLevelType w:val="hybridMultilevel"/>
    <w:tmpl w:val="C9E87A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1"/>
  </w:num>
  <w:num w:numId="3">
    <w:abstractNumId w:val="6"/>
  </w:num>
  <w:num w:numId="4">
    <w:abstractNumId w:val="5"/>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DA3"/>
    <w:rsid w:val="0000157F"/>
    <w:rsid w:val="00011129"/>
    <w:rsid w:val="0003608C"/>
    <w:rsid w:val="00051520"/>
    <w:rsid w:val="00063006"/>
    <w:rsid w:val="00074BA0"/>
    <w:rsid w:val="00087738"/>
    <w:rsid w:val="000A515C"/>
    <w:rsid w:val="000A6314"/>
    <w:rsid w:val="000C06AA"/>
    <w:rsid w:val="000D0FBB"/>
    <w:rsid w:val="000E46AD"/>
    <w:rsid w:val="001072C4"/>
    <w:rsid w:val="00107EC2"/>
    <w:rsid w:val="001116EE"/>
    <w:rsid w:val="00143AFF"/>
    <w:rsid w:val="00156619"/>
    <w:rsid w:val="0016248C"/>
    <w:rsid w:val="0016703E"/>
    <w:rsid w:val="0017575A"/>
    <w:rsid w:val="001B1DFC"/>
    <w:rsid w:val="001B3246"/>
    <w:rsid w:val="001B556F"/>
    <w:rsid w:val="001E29F7"/>
    <w:rsid w:val="001E2BC4"/>
    <w:rsid w:val="001E5FFA"/>
    <w:rsid w:val="001F1048"/>
    <w:rsid w:val="00222770"/>
    <w:rsid w:val="00244229"/>
    <w:rsid w:val="00255B11"/>
    <w:rsid w:val="0025728D"/>
    <w:rsid w:val="00291101"/>
    <w:rsid w:val="0029313E"/>
    <w:rsid w:val="002A1334"/>
    <w:rsid w:val="002A7256"/>
    <w:rsid w:val="002B50C6"/>
    <w:rsid w:val="00306EE7"/>
    <w:rsid w:val="00307C3B"/>
    <w:rsid w:val="003162F7"/>
    <w:rsid w:val="003178ED"/>
    <w:rsid w:val="003345C8"/>
    <w:rsid w:val="00364588"/>
    <w:rsid w:val="00385F82"/>
    <w:rsid w:val="00397D8F"/>
    <w:rsid w:val="003B089F"/>
    <w:rsid w:val="003C1B8C"/>
    <w:rsid w:val="003D0349"/>
    <w:rsid w:val="003D14BE"/>
    <w:rsid w:val="003D564B"/>
    <w:rsid w:val="003E4C77"/>
    <w:rsid w:val="003F09FA"/>
    <w:rsid w:val="003F3DFA"/>
    <w:rsid w:val="00400FC8"/>
    <w:rsid w:val="0041099D"/>
    <w:rsid w:val="004254C1"/>
    <w:rsid w:val="00451671"/>
    <w:rsid w:val="0045321A"/>
    <w:rsid w:val="00481967"/>
    <w:rsid w:val="00482B5F"/>
    <w:rsid w:val="00491984"/>
    <w:rsid w:val="004B2D44"/>
    <w:rsid w:val="004D2353"/>
    <w:rsid w:val="004D37EB"/>
    <w:rsid w:val="004E0F13"/>
    <w:rsid w:val="004E3134"/>
    <w:rsid w:val="004F7469"/>
    <w:rsid w:val="0051524F"/>
    <w:rsid w:val="00555CFC"/>
    <w:rsid w:val="0055637D"/>
    <w:rsid w:val="00560724"/>
    <w:rsid w:val="00565990"/>
    <w:rsid w:val="00565B97"/>
    <w:rsid w:val="00575A04"/>
    <w:rsid w:val="005A4B62"/>
    <w:rsid w:val="005B23C5"/>
    <w:rsid w:val="005B5658"/>
    <w:rsid w:val="005D12B6"/>
    <w:rsid w:val="005D35BE"/>
    <w:rsid w:val="005D52B4"/>
    <w:rsid w:val="005F18ED"/>
    <w:rsid w:val="00602EEB"/>
    <w:rsid w:val="006173D9"/>
    <w:rsid w:val="006200A9"/>
    <w:rsid w:val="0062107D"/>
    <w:rsid w:val="00625525"/>
    <w:rsid w:val="006510F6"/>
    <w:rsid w:val="00653F92"/>
    <w:rsid w:val="00673932"/>
    <w:rsid w:val="00684D1E"/>
    <w:rsid w:val="0068601F"/>
    <w:rsid w:val="006B1BC8"/>
    <w:rsid w:val="006C099D"/>
    <w:rsid w:val="007103D1"/>
    <w:rsid w:val="007129D9"/>
    <w:rsid w:val="00721CCA"/>
    <w:rsid w:val="00755081"/>
    <w:rsid w:val="0077342D"/>
    <w:rsid w:val="00775AB4"/>
    <w:rsid w:val="007844D5"/>
    <w:rsid w:val="007D37A8"/>
    <w:rsid w:val="007E3F26"/>
    <w:rsid w:val="007F2AF1"/>
    <w:rsid w:val="007F61A2"/>
    <w:rsid w:val="008063B7"/>
    <w:rsid w:val="00816505"/>
    <w:rsid w:val="008314F4"/>
    <w:rsid w:val="0085160B"/>
    <w:rsid w:val="00853487"/>
    <w:rsid w:val="00854CEA"/>
    <w:rsid w:val="0086465F"/>
    <w:rsid w:val="00866EEE"/>
    <w:rsid w:val="00875058"/>
    <w:rsid w:val="00897169"/>
    <w:rsid w:val="008A5787"/>
    <w:rsid w:val="008D7A2D"/>
    <w:rsid w:val="008E325A"/>
    <w:rsid w:val="00914CB6"/>
    <w:rsid w:val="00921ED5"/>
    <w:rsid w:val="00923C76"/>
    <w:rsid w:val="00924538"/>
    <w:rsid w:val="009246D3"/>
    <w:rsid w:val="0093202E"/>
    <w:rsid w:val="00955117"/>
    <w:rsid w:val="00971DFF"/>
    <w:rsid w:val="00975083"/>
    <w:rsid w:val="009A4764"/>
    <w:rsid w:val="009A6CDE"/>
    <w:rsid w:val="009D023A"/>
    <w:rsid w:val="009D2C64"/>
    <w:rsid w:val="009F1103"/>
    <w:rsid w:val="009F65E7"/>
    <w:rsid w:val="00A11B3E"/>
    <w:rsid w:val="00A32B57"/>
    <w:rsid w:val="00A33801"/>
    <w:rsid w:val="00A4341D"/>
    <w:rsid w:val="00A437C9"/>
    <w:rsid w:val="00A4437D"/>
    <w:rsid w:val="00A726A1"/>
    <w:rsid w:val="00A95347"/>
    <w:rsid w:val="00AB5967"/>
    <w:rsid w:val="00AC0F82"/>
    <w:rsid w:val="00AD5BE0"/>
    <w:rsid w:val="00AF5689"/>
    <w:rsid w:val="00B354FD"/>
    <w:rsid w:val="00B36AF7"/>
    <w:rsid w:val="00B427DB"/>
    <w:rsid w:val="00B53867"/>
    <w:rsid w:val="00B63243"/>
    <w:rsid w:val="00B71D63"/>
    <w:rsid w:val="00B9019E"/>
    <w:rsid w:val="00BA21BA"/>
    <w:rsid w:val="00BA7551"/>
    <w:rsid w:val="00BB7929"/>
    <w:rsid w:val="00BC6F34"/>
    <w:rsid w:val="00BF1A5F"/>
    <w:rsid w:val="00BF420C"/>
    <w:rsid w:val="00BF5991"/>
    <w:rsid w:val="00C51809"/>
    <w:rsid w:val="00C51C73"/>
    <w:rsid w:val="00C533E4"/>
    <w:rsid w:val="00C6262C"/>
    <w:rsid w:val="00C64EAF"/>
    <w:rsid w:val="00C76D3B"/>
    <w:rsid w:val="00C80DA4"/>
    <w:rsid w:val="00C8382B"/>
    <w:rsid w:val="00CA01E1"/>
    <w:rsid w:val="00CB3C7D"/>
    <w:rsid w:val="00CD236D"/>
    <w:rsid w:val="00D13DA3"/>
    <w:rsid w:val="00D35111"/>
    <w:rsid w:val="00D83CD8"/>
    <w:rsid w:val="00D86AF2"/>
    <w:rsid w:val="00DA209E"/>
    <w:rsid w:val="00DB6347"/>
    <w:rsid w:val="00DC3FEF"/>
    <w:rsid w:val="00DE6339"/>
    <w:rsid w:val="00DF0529"/>
    <w:rsid w:val="00DF667F"/>
    <w:rsid w:val="00E1776B"/>
    <w:rsid w:val="00E364EF"/>
    <w:rsid w:val="00E36522"/>
    <w:rsid w:val="00E408FB"/>
    <w:rsid w:val="00E474F5"/>
    <w:rsid w:val="00E81331"/>
    <w:rsid w:val="00E85E52"/>
    <w:rsid w:val="00E94310"/>
    <w:rsid w:val="00EA5856"/>
    <w:rsid w:val="00EC5DB4"/>
    <w:rsid w:val="00EE7402"/>
    <w:rsid w:val="00EF734B"/>
    <w:rsid w:val="00F07EAE"/>
    <w:rsid w:val="00F16108"/>
    <w:rsid w:val="00F265FA"/>
    <w:rsid w:val="00F51BD1"/>
    <w:rsid w:val="00F544E0"/>
    <w:rsid w:val="00F71084"/>
    <w:rsid w:val="00F906B3"/>
    <w:rsid w:val="00FB4D44"/>
    <w:rsid w:val="00FE2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72C332"/>
  <w15:docId w15:val="{E0B190FE-D749-465E-AD21-B61BC4B1B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link w:val="Heading3Char"/>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qFormat/>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9D023A"/>
    <w:pPr>
      <w:spacing w:before="120" w:after="120"/>
    </w:pPr>
    <w:rPr>
      <w:i/>
      <w:color w:val="1F497D"/>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9D023A"/>
    <w:pPr>
      <w:tabs>
        <w:tab w:val="right" w:leader="dot" w:pos="9350"/>
      </w:tabs>
    </w:pPr>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customStyle="1" w:styleId="PolicyText">
    <w:name w:val="Policy Text"/>
    <w:basedOn w:val="Normal"/>
    <w:link w:val="PolicyTextChar"/>
    <w:qFormat/>
    <w:rsid w:val="00306EE7"/>
    <w:pPr>
      <w:widowControl w:val="0"/>
      <w:spacing w:after="120"/>
      <w:ind w:left="360"/>
    </w:p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TextChar">
    <w:name w:val="Policy Text Char"/>
    <w:link w:val="PolicyText"/>
    <w:rsid w:val="00306EE7"/>
    <w:rPr>
      <w:rFonts w:ascii="Arial" w:hAnsi="Arial"/>
      <w:sz w:val="22"/>
      <w:szCs w:val="24"/>
    </w:rPr>
  </w:style>
  <w:style w:type="character" w:customStyle="1" w:styleId="PolicyBodyTextChar">
    <w:name w:val="Policy Body Text Char"/>
    <w:link w:val="PolicyBodyText"/>
    <w:rsid w:val="00C64EAF"/>
    <w:rPr>
      <w:rFonts w:ascii="Arial" w:hAnsi="Arial"/>
      <w:sz w:val="22"/>
      <w:szCs w:val="24"/>
    </w:rPr>
  </w:style>
  <w:style w:type="character" w:customStyle="1" w:styleId="Heading3Char">
    <w:name w:val="Heading 3 Char"/>
    <w:link w:val="Heading3"/>
    <w:rsid w:val="00306EE7"/>
    <w:rPr>
      <w:rFonts w:ascii="Arial" w:hAnsi="Arial"/>
      <w:b/>
      <w:bCs/>
      <w:color w:val="00527A"/>
      <w:sz w:val="24"/>
    </w:rPr>
  </w:style>
  <w:style w:type="table" w:styleId="TableGrid">
    <w:name w:val="Table Grid"/>
    <w:basedOn w:val="TableNormal"/>
    <w:rsid w:val="003178ED"/>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3178ED"/>
    <w:rPr>
      <w:b/>
      <w:i/>
      <w:iCs/>
      <w:color w:val="4F81BD" w:themeColor="accent1"/>
    </w:rPr>
  </w:style>
  <w:style w:type="paragraph" w:styleId="Title">
    <w:name w:val="Title"/>
    <w:basedOn w:val="Normal"/>
    <w:next w:val="Normal"/>
    <w:link w:val="TitleChar"/>
    <w:qFormat/>
    <w:rsid w:val="003178ED"/>
    <w:pPr>
      <w:spacing w:line="280" w:lineRule="exact"/>
      <w:jc w:val="center"/>
    </w:pPr>
    <w:rPr>
      <w:rFonts w:asciiTheme="minorHAnsi" w:hAnsiTheme="minorHAnsi"/>
      <w:b/>
      <w:i/>
      <w:sz w:val="28"/>
      <w:szCs w:val="22"/>
      <w:lang w:eastAsia="de-DE"/>
    </w:rPr>
  </w:style>
  <w:style w:type="character" w:customStyle="1" w:styleId="TitleChar">
    <w:name w:val="Title Char"/>
    <w:basedOn w:val="DefaultParagraphFont"/>
    <w:link w:val="Title"/>
    <w:rsid w:val="003178ED"/>
    <w:rPr>
      <w:rFonts w:asciiTheme="minorHAnsi" w:hAnsiTheme="minorHAnsi"/>
      <w:b/>
      <w:i/>
      <w:sz w:val="28"/>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0D968-D486-CF49-BB00-7490893B3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1672</Words>
  <Characters>9537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11187</CharactersWithSpaces>
  <SharedDoc>false</SharedDoc>
  <HLinks>
    <vt:vector size="108" baseType="variant">
      <vt:variant>
        <vt:i4>1376309</vt:i4>
      </vt:variant>
      <vt:variant>
        <vt:i4>104</vt:i4>
      </vt:variant>
      <vt:variant>
        <vt:i4>0</vt:i4>
      </vt:variant>
      <vt:variant>
        <vt:i4>5</vt:i4>
      </vt:variant>
      <vt:variant>
        <vt:lpwstr/>
      </vt:variant>
      <vt:variant>
        <vt:lpwstr>_Toc386039330</vt:lpwstr>
      </vt:variant>
      <vt:variant>
        <vt:i4>1310773</vt:i4>
      </vt:variant>
      <vt:variant>
        <vt:i4>98</vt:i4>
      </vt:variant>
      <vt:variant>
        <vt:i4>0</vt:i4>
      </vt:variant>
      <vt:variant>
        <vt:i4>5</vt:i4>
      </vt:variant>
      <vt:variant>
        <vt:lpwstr/>
      </vt:variant>
      <vt:variant>
        <vt:lpwstr>_Toc386039329</vt:lpwstr>
      </vt:variant>
      <vt:variant>
        <vt:i4>1310773</vt:i4>
      </vt:variant>
      <vt:variant>
        <vt:i4>92</vt:i4>
      </vt:variant>
      <vt:variant>
        <vt:i4>0</vt:i4>
      </vt:variant>
      <vt:variant>
        <vt:i4>5</vt:i4>
      </vt:variant>
      <vt:variant>
        <vt:lpwstr/>
      </vt:variant>
      <vt:variant>
        <vt:lpwstr>_Toc386039328</vt:lpwstr>
      </vt:variant>
      <vt:variant>
        <vt:i4>1310773</vt:i4>
      </vt:variant>
      <vt:variant>
        <vt:i4>86</vt:i4>
      </vt:variant>
      <vt:variant>
        <vt:i4>0</vt:i4>
      </vt:variant>
      <vt:variant>
        <vt:i4>5</vt:i4>
      </vt:variant>
      <vt:variant>
        <vt:lpwstr/>
      </vt:variant>
      <vt:variant>
        <vt:lpwstr>_Toc386039327</vt:lpwstr>
      </vt:variant>
      <vt:variant>
        <vt:i4>1310773</vt:i4>
      </vt:variant>
      <vt:variant>
        <vt:i4>80</vt:i4>
      </vt:variant>
      <vt:variant>
        <vt:i4>0</vt:i4>
      </vt:variant>
      <vt:variant>
        <vt:i4>5</vt:i4>
      </vt:variant>
      <vt:variant>
        <vt:lpwstr/>
      </vt:variant>
      <vt:variant>
        <vt:lpwstr>_Toc386039326</vt:lpwstr>
      </vt:variant>
      <vt:variant>
        <vt:i4>1310773</vt:i4>
      </vt:variant>
      <vt:variant>
        <vt:i4>74</vt:i4>
      </vt:variant>
      <vt:variant>
        <vt:i4>0</vt:i4>
      </vt:variant>
      <vt:variant>
        <vt:i4>5</vt:i4>
      </vt:variant>
      <vt:variant>
        <vt:lpwstr/>
      </vt:variant>
      <vt:variant>
        <vt:lpwstr>_Toc386039325</vt:lpwstr>
      </vt:variant>
      <vt:variant>
        <vt:i4>1310773</vt:i4>
      </vt:variant>
      <vt:variant>
        <vt:i4>68</vt:i4>
      </vt:variant>
      <vt:variant>
        <vt:i4>0</vt:i4>
      </vt:variant>
      <vt:variant>
        <vt:i4>5</vt:i4>
      </vt:variant>
      <vt:variant>
        <vt:lpwstr/>
      </vt:variant>
      <vt:variant>
        <vt:lpwstr>_Toc386039324</vt:lpwstr>
      </vt:variant>
      <vt:variant>
        <vt:i4>1310773</vt:i4>
      </vt:variant>
      <vt:variant>
        <vt:i4>62</vt:i4>
      </vt:variant>
      <vt:variant>
        <vt:i4>0</vt:i4>
      </vt:variant>
      <vt:variant>
        <vt:i4>5</vt:i4>
      </vt:variant>
      <vt:variant>
        <vt:lpwstr/>
      </vt:variant>
      <vt:variant>
        <vt:lpwstr>_Toc386039323</vt:lpwstr>
      </vt:variant>
      <vt:variant>
        <vt:i4>1310773</vt:i4>
      </vt:variant>
      <vt:variant>
        <vt:i4>56</vt:i4>
      </vt:variant>
      <vt:variant>
        <vt:i4>0</vt:i4>
      </vt:variant>
      <vt:variant>
        <vt:i4>5</vt:i4>
      </vt:variant>
      <vt:variant>
        <vt:lpwstr/>
      </vt:variant>
      <vt:variant>
        <vt:lpwstr>_Toc386039322</vt:lpwstr>
      </vt:variant>
      <vt:variant>
        <vt:i4>1310773</vt:i4>
      </vt:variant>
      <vt:variant>
        <vt:i4>50</vt:i4>
      </vt:variant>
      <vt:variant>
        <vt:i4>0</vt:i4>
      </vt:variant>
      <vt:variant>
        <vt:i4>5</vt:i4>
      </vt:variant>
      <vt:variant>
        <vt:lpwstr/>
      </vt:variant>
      <vt:variant>
        <vt:lpwstr>_Toc386039321</vt:lpwstr>
      </vt:variant>
      <vt:variant>
        <vt:i4>1310773</vt:i4>
      </vt:variant>
      <vt:variant>
        <vt:i4>44</vt:i4>
      </vt:variant>
      <vt:variant>
        <vt:i4>0</vt:i4>
      </vt:variant>
      <vt:variant>
        <vt:i4>5</vt:i4>
      </vt:variant>
      <vt:variant>
        <vt:lpwstr/>
      </vt:variant>
      <vt:variant>
        <vt:lpwstr>_Toc386039320</vt:lpwstr>
      </vt:variant>
      <vt:variant>
        <vt:i4>1507381</vt:i4>
      </vt:variant>
      <vt:variant>
        <vt:i4>38</vt:i4>
      </vt:variant>
      <vt:variant>
        <vt:i4>0</vt:i4>
      </vt:variant>
      <vt:variant>
        <vt:i4>5</vt:i4>
      </vt:variant>
      <vt:variant>
        <vt:lpwstr/>
      </vt:variant>
      <vt:variant>
        <vt:lpwstr>_Toc386039319</vt:lpwstr>
      </vt:variant>
      <vt:variant>
        <vt:i4>1507381</vt:i4>
      </vt:variant>
      <vt:variant>
        <vt:i4>32</vt:i4>
      </vt:variant>
      <vt:variant>
        <vt:i4>0</vt:i4>
      </vt:variant>
      <vt:variant>
        <vt:i4>5</vt:i4>
      </vt:variant>
      <vt:variant>
        <vt:lpwstr/>
      </vt:variant>
      <vt:variant>
        <vt:lpwstr>_Toc386039318</vt:lpwstr>
      </vt:variant>
      <vt:variant>
        <vt:i4>1507381</vt:i4>
      </vt:variant>
      <vt:variant>
        <vt:i4>26</vt:i4>
      </vt:variant>
      <vt:variant>
        <vt:i4>0</vt:i4>
      </vt:variant>
      <vt:variant>
        <vt:i4>5</vt:i4>
      </vt:variant>
      <vt:variant>
        <vt:lpwstr/>
      </vt:variant>
      <vt:variant>
        <vt:lpwstr>_Toc386039317</vt:lpwstr>
      </vt:variant>
      <vt:variant>
        <vt:i4>1507381</vt:i4>
      </vt:variant>
      <vt:variant>
        <vt:i4>20</vt:i4>
      </vt:variant>
      <vt:variant>
        <vt:i4>0</vt:i4>
      </vt:variant>
      <vt:variant>
        <vt:i4>5</vt:i4>
      </vt:variant>
      <vt:variant>
        <vt:lpwstr/>
      </vt:variant>
      <vt:variant>
        <vt:lpwstr>_Toc386039316</vt:lpwstr>
      </vt:variant>
      <vt:variant>
        <vt:i4>1507381</vt:i4>
      </vt:variant>
      <vt:variant>
        <vt:i4>14</vt:i4>
      </vt:variant>
      <vt:variant>
        <vt:i4>0</vt:i4>
      </vt:variant>
      <vt:variant>
        <vt:i4>5</vt:i4>
      </vt:variant>
      <vt:variant>
        <vt:lpwstr/>
      </vt:variant>
      <vt:variant>
        <vt:lpwstr>_Toc386039315</vt:lpwstr>
      </vt:variant>
      <vt:variant>
        <vt:i4>1507381</vt:i4>
      </vt:variant>
      <vt:variant>
        <vt:i4>8</vt:i4>
      </vt:variant>
      <vt:variant>
        <vt:i4>0</vt:i4>
      </vt:variant>
      <vt:variant>
        <vt:i4>5</vt:i4>
      </vt:variant>
      <vt:variant>
        <vt:lpwstr/>
      </vt:variant>
      <vt:variant>
        <vt:lpwstr>_Toc386039314</vt:lpwstr>
      </vt:variant>
      <vt:variant>
        <vt:i4>1507381</vt:i4>
      </vt:variant>
      <vt:variant>
        <vt:i4>2</vt:i4>
      </vt:variant>
      <vt:variant>
        <vt:i4>0</vt:i4>
      </vt:variant>
      <vt:variant>
        <vt:i4>5</vt:i4>
      </vt:variant>
      <vt:variant>
        <vt:lpwstr/>
      </vt:variant>
      <vt:variant>
        <vt:lpwstr>_Toc386039313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Rafael Nunez</cp:lastModifiedBy>
  <cp:revision>7</cp:revision>
  <dcterms:created xsi:type="dcterms:W3CDTF">2019-10-11T01:00:00Z</dcterms:created>
  <dcterms:modified xsi:type="dcterms:W3CDTF">2020-12-15T22:48:00Z</dcterms:modified>
</cp:coreProperties>
</file>