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55F9" w:rsidRDefault="00E955F9" w:rsidP="00E955F9">
      <w:pPr>
        <w:jc w:val="center"/>
        <w:rPr>
          <w:rFonts w:asciiTheme="minorHAnsi" w:hAnsiTheme="minorHAnsi" w:cstheme="minorHAnsi"/>
          <w:i/>
          <w:iCs/>
          <w:color w:val="000000" w:themeColor="text1"/>
          <w:sz w:val="144"/>
          <w:szCs w:val="144"/>
        </w:rPr>
      </w:pPr>
      <w:r w:rsidRPr="00E955F9">
        <w:rPr>
          <w:rFonts w:asciiTheme="minorHAnsi" w:hAnsiTheme="minorHAnsi" w:cstheme="minorHAnsi"/>
          <w:i/>
          <w:iCs/>
          <w:color w:val="000000" w:themeColor="text1"/>
          <w:sz w:val="144"/>
          <w:szCs w:val="144"/>
        </w:rPr>
        <w:t>Information Exchange</w:t>
      </w:r>
    </w:p>
    <w:p w:rsidR="00D13DA3" w:rsidRPr="00E955F9" w:rsidRDefault="00E955F9" w:rsidP="00E955F9">
      <w:pPr>
        <w:jc w:val="center"/>
        <w:rPr>
          <w:rFonts w:asciiTheme="minorHAnsi" w:hAnsiTheme="minorHAnsi" w:cstheme="minorHAnsi"/>
          <w:i/>
          <w:iCs/>
          <w:color w:val="000000" w:themeColor="text1"/>
          <w:sz w:val="144"/>
          <w:szCs w:val="144"/>
        </w:rPr>
      </w:pPr>
      <w:r w:rsidRPr="00E955F9">
        <w:rPr>
          <w:rFonts w:asciiTheme="minorHAnsi" w:hAnsiTheme="minorHAnsi" w:cstheme="minorHAnsi"/>
          <w:i/>
          <w:iCs/>
          <w:color w:val="000000" w:themeColor="text1"/>
          <w:sz w:val="144"/>
          <w:szCs w:val="144"/>
        </w:rPr>
        <w:t xml:space="preserve"> Policy</w:t>
      </w:r>
      <w:r w:rsidRPr="00E955F9">
        <w:rPr>
          <w:rFonts w:asciiTheme="minorHAnsi" w:hAnsiTheme="minorHAnsi" w:cstheme="minorHAnsi"/>
          <w:i/>
          <w:iCs/>
          <w:color w:val="000000" w:themeColor="text1"/>
          <w:sz w:val="144"/>
          <w:szCs w:val="144"/>
        </w:rPr>
        <w:br/>
      </w:r>
      <w:r w:rsidRPr="00E955F9">
        <w:rPr>
          <w:rFonts w:asciiTheme="minorHAnsi" w:hAnsiTheme="minorHAnsi" w:cstheme="minorHAnsi"/>
          <w:i/>
          <w:iCs/>
          <w:color w:val="000000" w:themeColor="text1"/>
          <w:sz w:val="144"/>
          <w:szCs w:val="144"/>
        </w:rPr>
        <w:br/>
      </w:r>
    </w:p>
    <w:p w:rsidR="00E955F9" w:rsidRDefault="00E955F9" w:rsidP="002D5B91">
      <w:pPr>
        <w:pStyle w:val="PolicySubheader"/>
        <w:spacing w:before="120"/>
      </w:pPr>
      <w:bookmarkStart w:id="0" w:name="_Toc242654773"/>
    </w:p>
    <w:p w:rsidR="00E955F9" w:rsidRDefault="00E955F9" w:rsidP="002D5B91">
      <w:pPr>
        <w:pStyle w:val="PolicySubheader"/>
        <w:spacing w:before="120"/>
      </w:pPr>
    </w:p>
    <w:p w:rsidR="00E955F9" w:rsidRDefault="00E955F9" w:rsidP="002D5B91">
      <w:pPr>
        <w:pStyle w:val="PolicySubheader"/>
        <w:spacing w:before="120"/>
      </w:pPr>
    </w:p>
    <w:p w:rsidR="00E955F9" w:rsidRDefault="00E955F9" w:rsidP="002D5B91">
      <w:pPr>
        <w:pStyle w:val="PolicySubheader"/>
        <w:spacing w:before="120"/>
      </w:pPr>
    </w:p>
    <w:p w:rsidR="00E955F9" w:rsidRDefault="00E955F9" w:rsidP="002D5B91">
      <w:pPr>
        <w:pStyle w:val="PolicySubheader"/>
        <w:spacing w:before="120"/>
      </w:pPr>
    </w:p>
    <w:p w:rsidR="00E955F9" w:rsidRDefault="00E955F9" w:rsidP="002D5B91">
      <w:pPr>
        <w:pStyle w:val="PolicySubheader"/>
        <w:spacing w:before="120"/>
      </w:pPr>
    </w:p>
    <w:p w:rsidR="00E955F9" w:rsidRDefault="00E955F9" w:rsidP="002D5B91">
      <w:pPr>
        <w:pStyle w:val="PolicySubheader"/>
        <w:spacing w:before="120"/>
      </w:pPr>
    </w:p>
    <w:p w:rsidR="00652980" w:rsidRDefault="005B23C5" w:rsidP="002D5B91">
      <w:pPr>
        <w:pStyle w:val="PolicySubheader"/>
        <w:spacing w:before="120"/>
        <w:rPr>
          <w:noProof/>
        </w:rPr>
      </w:pPr>
      <w:r w:rsidRPr="0029313E">
        <w:lastRenderedPageBreak/>
        <w:t>Table of Contents</w:t>
      </w:r>
      <w:bookmarkEnd w:id="0"/>
      <w:r w:rsidR="00562F38">
        <w:fldChar w:fldCharType="begin"/>
      </w:r>
      <w:r w:rsidR="0085160B">
        <w:instrText xml:space="preserve"> TOC \o "1-3" \h \z \u </w:instrText>
      </w:r>
      <w:r w:rsidR="00562F38">
        <w:fldChar w:fldCharType="separate"/>
      </w:r>
    </w:p>
    <w:p w:rsidR="00652980" w:rsidRPr="00796DF8" w:rsidRDefault="00E70416">
      <w:pPr>
        <w:pStyle w:val="TOC1"/>
        <w:rPr>
          <w:rFonts w:ascii="Calibri" w:hAnsi="Calibri"/>
          <w:noProof/>
          <w:szCs w:val="22"/>
        </w:rPr>
      </w:pPr>
      <w:hyperlink w:anchor="_Toc3879571" w:history="1">
        <w:r w:rsidR="00652980" w:rsidRPr="00A311E1">
          <w:rPr>
            <w:rStyle w:val="Hyperlink"/>
            <w:bCs/>
            <w:noProof/>
          </w:rPr>
          <w:t>Purpose</w:t>
        </w:r>
        <w:r w:rsidR="00652980">
          <w:rPr>
            <w:noProof/>
            <w:webHidden/>
          </w:rPr>
          <w:tab/>
        </w:r>
        <w:r w:rsidR="00652980">
          <w:rPr>
            <w:noProof/>
            <w:webHidden/>
          </w:rPr>
          <w:fldChar w:fldCharType="begin"/>
        </w:r>
        <w:r w:rsidR="00652980">
          <w:rPr>
            <w:noProof/>
            <w:webHidden/>
          </w:rPr>
          <w:instrText xml:space="preserve"> PAGEREF _Toc3879571 \h </w:instrText>
        </w:r>
        <w:r w:rsidR="00652980">
          <w:rPr>
            <w:noProof/>
            <w:webHidden/>
          </w:rPr>
        </w:r>
        <w:r w:rsidR="00652980">
          <w:rPr>
            <w:noProof/>
            <w:webHidden/>
          </w:rPr>
          <w:fldChar w:fldCharType="separate"/>
        </w:r>
        <w:r w:rsidR="00652980">
          <w:rPr>
            <w:noProof/>
            <w:webHidden/>
          </w:rPr>
          <w:t>1</w:t>
        </w:r>
        <w:r w:rsidR="00652980">
          <w:rPr>
            <w:noProof/>
            <w:webHidden/>
          </w:rPr>
          <w:fldChar w:fldCharType="end"/>
        </w:r>
      </w:hyperlink>
    </w:p>
    <w:p w:rsidR="00652980" w:rsidRPr="00796DF8" w:rsidRDefault="00E70416">
      <w:pPr>
        <w:pStyle w:val="TOC1"/>
        <w:rPr>
          <w:rFonts w:ascii="Calibri" w:hAnsi="Calibri"/>
          <w:noProof/>
          <w:szCs w:val="22"/>
        </w:rPr>
      </w:pPr>
      <w:hyperlink w:anchor="_Toc3879572" w:history="1">
        <w:r w:rsidR="00652980" w:rsidRPr="00A311E1">
          <w:rPr>
            <w:rStyle w:val="Hyperlink"/>
            <w:bCs/>
            <w:noProof/>
          </w:rPr>
          <w:t>Scope</w:t>
        </w:r>
        <w:r w:rsidR="00652980">
          <w:rPr>
            <w:noProof/>
            <w:webHidden/>
          </w:rPr>
          <w:tab/>
        </w:r>
        <w:r w:rsidR="00652980">
          <w:rPr>
            <w:noProof/>
            <w:webHidden/>
          </w:rPr>
          <w:fldChar w:fldCharType="begin"/>
        </w:r>
        <w:r w:rsidR="00652980">
          <w:rPr>
            <w:noProof/>
            <w:webHidden/>
          </w:rPr>
          <w:instrText xml:space="preserve"> PAGEREF _Toc3879572 \h </w:instrText>
        </w:r>
        <w:r w:rsidR="00652980">
          <w:rPr>
            <w:noProof/>
            <w:webHidden/>
          </w:rPr>
        </w:r>
        <w:r w:rsidR="00652980">
          <w:rPr>
            <w:noProof/>
            <w:webHidden/>
          </w:rPr>
          <w:fldChar w:fldCharType="separate"/>
        </w:r>
        <w:r w:rsidR="00652980">
          <w:rPr>
            <w:noProof/>
            <w:webHidden/>
          </w:rPr>
          <w:t>1</w:t>
        </w:r>
        <w:r w:rsidR="00652980">
          <w:rPr>
            <w:noProof/>
            <w:webHidden/>
          </w:rPr>
          <w:fldChar w:fldCharType="end"/>
        </w:r>
      </w:hyperlink>
    </w:p>
    <w:p w:rsidR="00652980" w:rsidRPr="00796DF8" w:rsidRDefault="00E70416">
      <w:pPr>
        <w:pStyle w:val="TOC1"/>
        <w:rPr>
          <w:rFonts w:ascii="Calibri" w:hAnsi="Calibri"/>
          <w:noProof/>
          <w:szCs w:val="22"/>
        </w:rPr>
      </w:pPr>
      <w:hyperlink w:anchor="_Toc3879573" w:history="1">
        <w:r w:rsidR="00652980" w:rsidRPr="00A311E1">
          <w:rPr>
            <w:rStyle w:val="Hyperlink"/>
            <w:bCs/>
            <w:noProof/>
          </w:rPr>
          <w:t>Policy</w:t>
        </w:r>
        <w:r w:rsidR="00652980">
          <w:rPr>
            <w:noProof/>
            <w:webHidden/>
          </w:rPr>
          <w:tab/>
        </w:r>
        <w:r w:rsidR="00652980">
          <w:rPr>
            <w:noProof/>
            <w:webHidden/>
          </w:rPr>
          <w:fldChar w:fldCharType="begin"/>
        </w:r>
        <w:r w:rsidR="00652980">
          <w:rPr>
            <w:noProof/>
            <w:webHidden/>
          </w:rPr>
          <w:instrText xml:space="preserve"> PAGEREF _Toc3879573 \h </w:instrText>
        </w:r>
        <w:r w:rsidR="00652980">
          <w:rPr>
            <w:noProof/>
            <w:webHidden/>
          </w:rPr>
        </w:r>
        <w:r w:rsidR="00652980">
          <w:rPr>
            <w:noProof/>
            <w:webHidden/>
          </w:rPr>
          <w:fldChar w:fldCharType="separate"/>
        </w:r>
        <w:r w:rsidR="00652980">
          <w:rPr>
            <w:noProof/>
            <w:webHidden/>
          </w:rPr>
          <w:t>2</w:t>
        </w:r>
        <w:r w:rsidR="00652980">
          <w:rPr>
            <w:noProof/>
            <w:webHidden/>
          </w:rPr>
          <w:fldChar w:fldCharType="end"/>
        </w:r>
      </w:hyperlink>
    </w:p>
    <w:p w:rsidR="00652980" w:rsidRPr="00796DF8" w:rsidRDefault="00E70416">
      <w:pPr>
        <w:pStyle w:val="TOC3"/>
        <w:tabs>
          <w:tab w:val="right" w:leader="dot" w:pos="9350"/>
        </w:tabs>
        <w:rPr>
          <w:rFonts w:ascii="Calibri" w:hAnsi="Calibri"/>
          <w:noProof/>
          <w:szCs w:val="22"/>
        </w:rPr>
      </w:pPr>
      <w:hyperlink w:anchor="_Toc3879574" w:history="1">
        <w:r w:rsidR="00652980" w:rsidRPr="00A311E1">
          <w:rPr>
            <w:rStyle w:val="Hyperlink"/>
            <w:noProof/>
          </w:rPr>
          <w:t>Disclosure Restrictions</w:t>
        </w:r>
        <w:r w:rsidR="00652980">
          <w:rPr>
            <w:noProof/>
            <w:webHidden/>
          </w:rPr>
          <w:tab/>
        </w:r>
        <w:r w:rsidR="00652980">
          <w:rPr>
            <w:noProof/>
            <w:webHidden/>
          </w:rPr>
          <w:fldChar w:fldCharType="begin"/>
        </w:r>
        <w:r w:rsidR="00652980">
          <w:rPr>
            <w:noProof/>
            <w:webHidden/>
          </w:rPr>
          <w:instrText xml:space="preserve"> PAGEREF _Toc3879574 \h </w:instrText>
        </w:r>
        <w:r w:rsidR="00652980">
          <w:rPr>
            <w:noProof/>
            <w:webHidden/>
          </w:rPr>
        </w:r>
        <w:r w:rsidR="00652980">
          <w:rPr>
            <w:noProof/>
            <w:webHidden/>
          </w:rPr>
          <w:fldChar w:fldCharType="separate"/>
        </w:r>
        <w:r w:rsidR="00652980">
          <w:rPr>
            <w:noProof/>
            <w:webHidden/>
          </w:rPr>
          <w:t>2</w:t>
        </w:r>
        <w:r w:rsidR="00652980">
          <w:rPr>
            <w:noProof/>
            <w:webHidden/>
          </w:rPr>
          <w:fldChar w:fldCharType="end"/>
        </w:r>
      </w:hyperlink>
    </w:p>
    <w:p w:rsidR="00652980" w:rsidRPr="00796DF8" w:rsidRDefault="00E70416">
      <w:pPr>
        <w:pStyle w:val="TOC3"/>
        <w:tabs>
          <w:tab w:val="right" w:leader="dot" w:pos="9350"/>
        </w:tabs>
        <w:rPr>
          <w:rFonts w:ascii="Calibri" w:hAnsi="Calibri"/>
          <w:noProof/>
          <w:szCs w:val="22"/>
        </w:rPr>
      </w:pPr>
      <w:hyperlink w:anchor="_Toc3879575" w:history="1">
        <w:r w:rsidR="00652980" w:rsidRPr="00A311E1">
          <w:rPr>
            <w:rStyle w:val="Hyperlink"/>
            <w:noProof/>
          </w:rPr>
          <w:t>Public Information Disclosures</w:t>
        </w:r>
        <w:r w:rsidR="00652980">
          <w:rPr>
            <w:noProof/>
            <w:webHidden/>
          </w:rPr>
          <w:tab/>
        </w:r>
        <w:r w:rsidR="00652980">
          <w:rPr>
            <w:noProof/>
            <w:webHidden/>
          </w:rPr>
          <w:fldChar w:fldCharType="begin"/>
        </w:r>
        <w:r w:rsidR="00652980">
          <w:rPr>
            <w:noProof/>
            <w:webHidden/>
          </w:rPr>
          <w:instrText xml:space="preserve"> PAGEREF _Toc3879575 \h </w:instrText>
        </w:r>
        <w:r w:rsidR="00652980">
          <w:rPr>
            <w:noProof/>
            <w:webHidden/>
          </w:rPr>
        </w:r>
        <w:r w:rsidR="00652980">
          <w:rPr>
            <w:noProof/>
            <w:webHidden/>
          </w:rPr>
          <w:fldChar w:fldCharType="separate"/>
        </w:r>
        <w:r w:rsidR="00652980">
          <w:rPr>
            <w:noProof/>
            <w:webHidden/>
          </w:rPr>
          <w:t>2</w:t>
        </w:r>
        <w:r w:rsidR="00652980">
          <w:rPr>
            <w:noProof/>
            <w:webHidden/>
          </w:rPr>
          <w:fldChar w:fldCharType="end"/>
        </w:r>
      </w:hyperlink>
    </w:p>
    <w:p w:rsidR="00652980" w:rsidRPr="00796DF8" w:rsidRDefault="00E70416">
      <w:pPr>
        <w:pStyle w:val="TOC3"/>
        <w:tabs>
          <w:tab w:val="right" w:leader="dot" w:pos="9350"/>
        </w:tabs>
        <w:rPr>
          <w:rFonts w:ascii="Calibri" w:hAnsi="Calibri"/>
          <w:noProof/>
          <w:szCs w:val="22"/>
        </w:rPr>
      </w:pPr>
      <w:hyperlink w:anchor="_Toc3879576" w:history="1">
        <w:r w:rsidR="00652980" w:rsidRPr="00A311E1">
          <w:rPr>
            <w:rStyle w:val="Hyperlink"/>
            <w:noProof/>
          </w:rPr>
          <w:t>Agreements</w:t>
        </w:r>
        <w:r w:rsidR="00652980">
          <w:rPr>
            <w:noProof/>
            <w:webHidden/>
          </w:rPr>
          <w:tab/>
        </w:r>
        <w:r w:rsidR="00652980">
          <w:rPr>
            <w:noProof/>
            <w:webHidden/>
          </w:rPr>
          <w:fldChar w:fldCharType="begin"/>
        </w:r>
        <w:r w:rsidR="00652980">
          <w:rPr>
            <w:noProof/>
            <w:webHidden/>
          </w:rPr>
          <w:instrText xml:space="preserve"> PAGEREF _Toc3879576 \h </w:instrText>
        </w:r>
        <w:r w:rsidR="00652980">
          <w:rPr>
            <w:noProof/>
            <w:webHidden/>
          </w:rPr>
        </w:r>
        <w:r w:rsidR="00652980">
          <w:rPr>
            <w:noProof/>
            <w:webHidden/>
          </w:rPr>
          <w:fldChar w:fldCharType="separate"/>
        </w:r>
        <w:r w:rsidR="00652980">
          <w:rPr>
            <w:noProof/>
            <w:webHidden/>
          </w:rPr>
          <w:t>3</w:t>
        </w:r>
        <w:r w:rsidR="00652980">
          <w:rPr>
            <w:noProof/>
            <w:webHidden/>
          </w:rPr>
          <w:fldChar w:fldCharType="end"/>
        </w:r>
      </w:hyperlink>
    </w:p>
    <w:p w:rsidR="00652980" w:rsidRPr="00796DF8" w:rsidRDefault="00E70416">
      <w:pPr>
        <w:pStyle w:val="TOC3"/>
        <w:tabs>
          <w:tab w:val="right" w:leader="dot" w:pos="9350"/>
        </w:tabs>
        <w:rPr>
          <w:rFonts w:ascii="Calibri" w:hAnsi="Calibri"/>
          <w:noProof/>
          <w:szCs w:val="22"/>
        </w:rPr>
      </w:pPr>
      <w:hyperlink w:anchor="_Toc3879577" w:history="1">
        <w:r w:rsidR="00652980" w:rsidRPr="00A311E1">
          <w:rPr>
            <w:rStyle w:val="Hyperlink"/>
            <w:noProof/>
          </w:rPr>
          <w:t>Physical Transit Controls</w:t>
        </w:r>
        <w:r w:rsidR="00652980">
          <w:rPr>
            <w:noProof/>
            <w:webHidden/>
          </w:rPr>
          <w:tab/>
        </w:r>
        <w:r w:rsidR="00652980">
          <w:rPr>
            <w:noProof/>
            <w:webHidden/>
          </w:rPr>
          <w:fldChar w:fldCharType="begin"/>
        </w:r>
        <w:r w:rsidR="00652980">
          <w:rPr>
            <w:noProof/>
            <w:webHidden/>
          </w:rPr>
          <w:instrText xml:space="preserve"> PAGEREF _Toc3879577 \h </w:instrText>
        </w:r>
        <w:r w:rsidR="00652980">
          <w:rPr>
            <w:noProof/>
            <w:webHidden/>
          </w:rPr>
        </w:r>
        <w:r w:rsidR="00652980">
          <w:rPr>
            <w:noProof/>
            <w:webHidden/>
          </w:rPr>
          <w:fldChar w:fldCharType="separate"/>
        </w:r>
        <w:r w:rsidR="00652980">
          <w:rPr>
            <w:noProof/>
            <w:webHidden/>
          </w:rPr>
          <w:t>3</w:t>
        </w:r>
        <w:r w:rsidR="00652980">
          <w:rPr>
            <w:noProof/>
            <w:webHidden/>
          </w:rPr>
          <w:fldChar w:fldCharType="end"/>
        </w:r>
      </w:hyperlink>
    </w:p>
    <w:p w:rsidR="00652980" w:rsidRPr="00796DF8" w:rsidRDefault="00E70416">
      <w:pPr>
        <w:pStyle w:val="TOC3"/>
        <w:tabs>
          <w:tab w:val="right" w:leader="dot" w:pos="9350"/>
        </w:tabs>
        <w:rPr>
          <w:rFonts w:ascii="Calibri" w:hAnsi="Calibri"/>
          <w:noProof/>
          <w:szCs w:val="22"/>
        </w:rPr>
      </w:pPr>
      <w:hyperlink w:anchor="_Toc3879578" w:history="1">
        <w:r w:rsidR="00652980" w:rsidRPr="00A311E1">
          <w:rPr>
            <w:rStyle w:val="Hyperlink"/>
            <w:noProof/>
          </w:rPr>
          <w:t>Confidential Information Removal</w:t>
        </w:r>
        <w:r w:rsidR="00652980">
          <w:rPr>
            <w:noProof/>
            <w:webHidden/>
          </w:rPr>
          <w:tab/>
        </w:r>
        <w:r w:rsidR="00652980">
          <w:rPr>
            <w:noProof/>
            <w:webHidden/>
          </w:rPr>
          <w:fldChar w:fldCharType="begin"/>
        </w:r>
        <w:r w:rsidR="00652980">
          <w:rPr>
            <w:noProof/>
            <w:webHidden/>
          </w:rPr>
          <w:instrText xml:space="preserve"> PAGEREF _Toc3879578 \h </w:instrText>
        </w:r>
        <w:r w:rsidR="00652980">
          <w:rPr>
            <w:noProof/>
            <w:webHidden/>
          </w:rPr>
        </w:r>
        <w:r w:rsidR="00652980">
          <w:rPr>
            <w:noProof/>
            <w:webHidden/>
          </w:rPr>
          <w:fldChar w:fldCharType="separate"/>
        </w:r>
        <w:r w:rsidR="00652980">
          <w:rPr>
            <w:noProof/>
            <w:webHidden/>
          </w:rPr>
          <w:t>4</w:t>
        </w:r>
        <w:r w:rsidR="00652980">
          <w:rPr>
            <w:noProof/>
            <w:webHidden/>
          </w:rPr>
          <w:fldChar w:fldCharType="end"/>
        </w:r>
      </w:hyperlink>
    </w:p>
    <w:p w:rsidR="00652980" w:rsidRPr="00796DF8" w:rsidRDefault="00E70416">
      <w:pPr>
        <w:pStyle w:val="TOC3"/>
        <w:tabs>
          <w:tab w:val="right" w:leader="dot" w:pos="9350"/>
        </w:tabs>
        <w:rPr>
          <w:rFonts w:ascii="Calibri" w:hAnsi="Calibri"/>
          <w:noProof/>
          <w:szCs w:val="22"/>
        </w:rPr>
      </w:pPr>
      <w:hyperlink w:anchor="_Toc3879579" w:history="1">
        <w:r w:rsidR="00652980" w:rsidRPr="00A311E1">
          <w:rPr>
            <w:rStyle w:val="Hyperlink"/>
            <w:noProof/>
          </w:rPr>
          <w:t>Electronic Transmission</w:t>
        </w:r>
        <w:r w:rsidR="00652980">
          <w:rPr>
            <w:noProof/>
            <w:webHidden/>
          </w:rPr>
          <w:tab/>
        </w:r>
        <w:r w:rsidR="00652980">
          <w:rPr>
            <w:noProof/>
            <w:webHidden/>
          </w:rPr>
          <w:fldChar w:fldCharType="begin"/>
        </w:r>
        <w:r w:rsidR="00652980">
          <w:rPr>
            <w:noProof/>
            <w:webHidden/>
          </w:rPr>
          <w:instrText xml:space="preserve"> PAGEREF _Toc3879579 \h </w:instrText>
        </w:r>
        <w:r w:rsidR="00652980">
          <w:rPr>
            <w:noProof/>
            <w:webHidden/>
          </w:rPr>
        </w:r>
        <w:r w:rsidR="00652980">
          <w:rPr>
            <w:noProof/>
            <w:webHidden/>
          </w:rPr>
          <w:fldChar w:fldCharType="separate"/>
        </w:r>
        <w:r w:rsidR="00652980">
          <w:rPr>
            <w:noProof/>
            <w:webHidden/>
          </w:rPr>
          <w:t>4</w:t>
        </w:r>
        <w:r w:rsidR="00652980">
          <w:rPr>
            <w:noProof/>
            <w:webHidden/>
          </w:rPr>
          <w:fldChar w:fldCharType="end"/>
        </w:r>
      </w:hyperlink>
    </w:p>
    <w:p w:rsidR="00652980" w:rsidRPr="00796DF8" w:rsidRDefault="00E70416">
      <w:pPr>
        <w:pStyle w:val="TOC3"/>
        <w:tabs>
          <w:tab w:val="right" w:leader="dot" w:pos="9350"/>
        </w:tabs>
        <w:rPr>
          <w:rFonts w:ascii="Calibri" w:hAnsi="Calibri"/>
          <w:noProof/>
          <w:szCs w:val="22"/>
        </w:rPr>
      </w:pPr>
      <w:hyperlink w:anchor="_Toc3879580" w:history="1">
        <w:r w:rsidR="00652980" w:rsidRPr="00A311E1">
          <w:rPr>
            <w:rStyle w:val="Hyperlink"/>
            <w:noProof/>
          </w:rPr>
          <w:t>Electronic Mail</w:t>
        </w:r>
        <w:r w:rsidR="00652980">
          <w:rPr>
            <w:noProof/>
            <w:webHidden/>
          </w:rPr>
          <w:tab/>
        </w:r>
        <w:r w:rsidR="00652980">
          <w:rPr>
            <w:noProof/>
            <w:webHidden/>
          </w:rPr>
          <w:fldChar w:fldCharType="begin"/>
        </w:r>
        <w:r w:rsidR="00652980">
          <w:rPr>
            <w:noProof/>
            <w:webHidden/>
          </w:rPr>
          <w:instrText xml:space="preserve"> PAGEREF _Toc3879580 \h </w:instrText>
        </w:r>
        <w:r w:rsidR="00652980">
          <w:rPr>
            <w:noProof/>
            <w:webHidden/>
          </w:rPr>
        </w:r>
        <w:r w:rsidR="00652980">
          <w:rPr>
            <w:noProof/>
            <w:webHidden/>
          </w:rPr>
          <w:fldChar w:fldCharType="separate"/>
        </w:r>
        <w:r w:rsidR="00652980">
          <w:rPr>
            <w:noProof/>
            <w:webHidden/>
          </w:rPr>
          <w:t>4</w:t>
        </w:r>
        <w:r w:rsidR="00652980">
          <w:rPr>
            <w:noProof/>
            <w:webHidden/>
          </w:rPr>
          <w:fldChar w:fldCharType="end"/>
        </w:r>
      </w:hyperlink>
    </w:p>
    <w:p w:rsidR="00652980" w:rsidRPr="00796DF8" w:rsidRDefault="00E70416">
      <w:pPr>
        <w:pStyle w:val="TOC3"/>
        <w:tabs>
          <w:tab w:val="right" w:leader="dot" w:pos="9350"/>
        </w:tabs>
        <w:rPr>
          <w:rFonts w:ascii="Calibri" w:hAnsi="Calibri"/>
          <w:noProof/>
          <w:szCs w:val="22"/>
        </w:rPr>
      </w:pPr>
      <w:hyperlink w:anchor="_Toc3879581" w:history="1">
        <w:r w:rsidR="00652980" w:rsidRPr="00A311E1">
          <w:rPr>
            <w:rStyle w:val="Hyperlink"/>
            <w:noProof/>
          </w:rPr>
          <w:t>Travel Considerations</w:t>
        </w:r>
        <w:r w:rsidR="00652980">
          <w:rPr>
            <w:noProof/>
            <w:webHidden/>
          </w:rPr>
          <w:tab/>
        </w:r>
        <w:r w:rsidR="00652980">
          <w:rPr>
            <w:noProof/>
            <w:webHidden/>
          </w:rPr>
          <w:fldChar w:fldCharType="begin"/>
        </w:r>
        <w:r w:rsidR="00652980">
          <w:rPr>
            <w:noProof/>
            <w:webHidden/>
          </w:rPr>
          <w:instrText xml:space="preserve"> PAGEREF _Toc3879581 \h </w:instrText>
        </w:r>
        <w:r w:rsidR="00652980">
          <w:rPr>
            <w:noProof/>
            <w:webHidden/>
          </w:rPr>
        </w:r>
        <w:r w:rsidR="00652980">
          <w:rPr>
            <w:noProof/>
            <w:webHidden/>
          </w:rPr>
          <w:fldChar w:fldCharType="separate"/>
        </w:r>
        <w:r w:rsidR="00652980">
          <w:rPr>
            <w:noProof/>
            <w:webHidden/>
          </w:rPr>
          <w:t>5</w:t>
        </w:r>
        <w:r w:rsidR="00652980">
          <w:rPr>
            <w:noProof/>
            <w:webHidden/>
          </w:rPr>
          <w:fldChar w:fldCharType="end"/>
        </w:r>
      </w:hyperlink>
    </w:p>
    <w:p w:rsidR="00652980" w:rsidRPr="00796DF8" w:rsidRDefault="00E70416">
      <w:pPr>
        <w:pStyle w:val="TOC3"/>
        <w:tabs>
          <w:tab w:val="right" w:leader="dot" w:pos="9350"/>
        </w:tabs>
        <w:rPr>
          <w:rFonts w:ascii="Calibri" w:hAnsi="Calibri"/>
          <w:noProof/>
          <w:szCs w:val="22"/>
        </w:rPr>
      </w:pPr>
      <w:hyperlink w:anchor="_Toc3879582" w:history="1">
        <w:r w:rsidR="00652980" w:rsidRPr="00A311E1">
          <w:rPr>
            <w:rStyle w:val="Hyperlink"/>
            <w:noProof/>
          </w:rPr>
          <w:t>Faxing Information</w:t>
        </w:r>
        <w:r w:rsidR="00652980">
          <w:rPr>
            <w:noProof/>
            <w:webHidden/>
          </w:rPr>
          <w:tab/>
        </w:r>
        <w:r w:rsidR="00652980">
          <w:rPr>
            <w:noProof/>
            <w:webHidden/>
          </w:rPr>
          <w:fldChar w:fldCharType="begin"/>
        </w:r>
        <w:r w:rsidR="00652980">
          <w:rPr>
            <w:noProof/>
            <w:webHidden/>
          </w:rPr>
          <w:instrText xml:space="preserve"> PAGEREF _Toc3879582 \h </w:instrText>
        </w:r>
        <w:r w:rsidR="00652980">
          <w:rPr>
            <w:noProof/>
            <w:webHidden/>
          </w:rPr>
        </w:r>
        <w:r w:rsidR="00652980">
          <w:rPr>
            <w:noProof/>
            <w:webHidden/>
          </w:rPr>
          <w:fldChar w:fldCharType="separate"/>
        </w:r>
        <w:r w:rsidR="00652980">
          <w:rPr>
            <w:noProof/>
            <w:webHidden/>
          </w:rPr>
          <w:t>5</w:t>
        </w:r>
        <w:r w:rsidR="00652980">
          <w:rPr>
            <w:noProof/>
            <w:webHidden/>
          </w:rPr>
          <w:fldChar w:fldCharType="end"/>
        </w:r>
      </w:hyperlink>
    </w:p>
    <w:p w:rsidR="00652980" w:rsidRPr="00796DF8" w:rsidRDefault="00E70416">
      <w:pPr>
        <w:pStyle w:val="TOC3"/>
        <w:tabs>
          <w:tab w:val="right" w:leader="dot" w:pos="9350"/>
        </w:tabs>
        <w:rPr>
          <w:rFonts w:ascii="Calibri" w:hAnsi="Calibri"/>
          <w:noProof/>
          <w:szCs w:val="22"/>
        </w:rPr>
      </w:pPr>
      <w:hyperlink w:anchor="_Toc3879583" w:history="1">
        <w:r w:rsidR="00652980" w:rsidRPr="00A311E1">
          <w:rPr>
            <w:rStyle w:val="Hyperlink"/>
            <w:noProof/>
          </w:rPr>
          <w:t>Customer Communications</w:t>
        </w:r>
        <w:r w:rsidR="00652980">
          <w:rPr>
            <w:noProof/>
            <w:webHidden/>
          </w:rPr>
          <w:tab/>
        </w:r>
        <w:r w:rsidR="00652980">
          <w:rPr>
            <w:noProof/>
            <w:webHidden/>
          </w:rPr>
          <w:fldChar w:fldCharType="begin"/>
        </w:r>
        <w:r w:rsidR="00652980">
          <w:rPr>
            <w:noProof/>
            <w:webHidden/>
          </w:rPr>
          <w:instrText xml:space="preserve"> PAGEREF _Toc3879583 \h </w:instrText>
        </w:r>
        <w:r w:rsidR="00652980">
          <w:rPr>
            <w:noProof/>
            <w:webHidden/>
          </w:rPr>
        </w:r>
        <w:r w:rsidR="00652980">
          <w:rPr>
            <w:noProof/>
            <w:webHidden/>
          </w:rPr>
          <w:fldChar w:fldCharType="separate"/>
        </w:r>
        <w:r w:rsidR="00652980">
          <w:rPr>
            <w:noProof/>
            <w:webHidden/>
          </w:rPr>
          <w:t>6</w:t>
        </w:r>
        <w:r w:rsidR="00652980">
          <w:rPr>
            <w:noProof/>
            <w:webHidden/>
          </w:rPr>
          <w:fldChar w:fldCharType="end"/>
        </w:r>
      </w:hyperlink>
    </w:p>
    <w:p w:rsidR="00652980" w:rsidRPr="00796DF8" w:rsidRDefault="00E70416">
      <w:pPr>
        <w:pStyle w:val="TOC3"/>
        <w:tabs>
          <w:tab w:val="right" w:leader="dot" w:pos="9350"/>
        </w:tabs>
        <w:rPr>
          <w:rFonts w:ascii="Calibri" w:hAnsi="Calibri"/>
          <w:noProof/>
          <w:szCs w:val="22"/>
        </w:rPr>
      </w:pPr>
      <w:hyperlink w:anchor="_Toc3879584" w:history="1">
        <w:r w:rsidR="00652980" w:rsidRPr="00A311E1">
          <w:rPr>
            <w:rStyle w:val="Hyperlink"/>
            <w:noProof/>
          </w:rPr>
          <w:t>Business Information Systems</w:t>
        </w:r>
        <w:r w:rsidR="00652980">
          <w:rPr>
            <w:noProof/>
            <w:webHidden/>
          </w:rPr>
          <w:tab/>
        </w:r>
        <w:r w:rsidR="00652980">
          <w:rPr>
            <w:noProof/>
            <w:webHidden/>
          </w:rPr>
          <w:fldChar w:fldCharType="begin"/>
        </w:r>
        <w:r w:rsidR="00652980">
          <w:rPr>
            <w:noProof/>
            <w:webHidden/>
          </w:rPr>
          <w:instrText xml:space="preserve"> PAGEREF _Toc3879584 \h </w:instrText>
        </w:r>
        <w:r w:rsidR="00652980">
          <w:rPr>
            <w:noProof/>
            <w:webHidden/>
          </w:rPr>
        </w:r>
        <w:r w:rsidR="00652980">
          <w:rPr>
            <w:noProof/>
            <w:webHidden/>
          </w:rPr>
          <w:fldChar w:fldCharType="separate"/>
        </w:r>
        <w:r w:rsidR="00652980">
          <w:rPr>
            <w:noProof/>
            <w:webHidden/>
          </w:rPr>
          <w:t>6</w:t>
        </w:r>
        <w:r w:rsidR="00652980">
          <w:rPr>
            <w:noProof/>
            <w:webHidden/>
          </w:rPr>
          <w:fldChar w:fldCharType="end"/>
        </w:r>
      </w:hyperlink>
    </w:p>
    <w:p w:rsidR="00652980" w:rsidRPr="00796DF8" w:rsidRDefault="00E70416">
      <w:pPr>
        <w:pStyle w:val="TOC3"/>
        <w:tabs>
          <w:tab w:val="right" w:leader="dot" w:pos="9350"/>
        </w:tabs>
        <w:rPr>
          <w:rFonts w:ascii="Calibri" w:hAnsi="Calibri"/>
          <w:noProof/>
          <w:szCs w:val="22"/>
        </w:rPr>
      </w:pPr>
      <w:hyperlink w:anchor="_Toc3879585" w:history="1">
        <w:r w:rsidR="00652980" w:rsidRPr="00A311E1">
          <w:rPr>
            <w:rStyle w:val="Hyperlink"/>
            <w:noProof/>
          </w:rPr>
          <w:t>Verbal and Written Communication</w:t>
        </w:r>
        <w:r w:rsidR="00652980">
          <w:rPr>
            <w:noProof/>
            <w:webHidden/>
          </w:rPr>
          <w:tab/>
        </w:r>
        <w:r w:rsidR="00652980">
          <w:rPr>
            <w:noProof/>
            <w:webHidden/>
          </w:rPr>
          <w:fldChar w:fldCharType="begin"/>
        </w:r>
        <w:r w:rsidR="00652980">
          <w:rPr>
            <w:noProof/>
            <w:webHidden/>
          </w:rPr>
          <w:instrText xml:space="preserve"> PAGEREF _Toc3879585 \h </w:instrText>
        </w:r>
        <w:r w:rsidR="00652980">
          <w:rPr>
            <w:noProof/>
            <w:webHidden/>
          </w:rPr>
        </w:r>
        <w:r w:rsidR="00652980">
          <w:rPr>
            <w:noProof/>
            <w:webHidden/>
          </w:rPr>
          <w:fldChar w:fldCharType="separate"/>
        </w:r>
        <w:r w:rsidR="00652980">
          <w:rPr>
            <w:noProof/>
            <w:webHidden/>
          </w:rPr>
          <w:t>6</w:t>
        </w:r>
        <w:r w:rsidR="00652980">
          <w:rPr>
            <w:noProof/>
            <w:webHidden/>
          </w:rPr>
          <w:fldChar w:fldCharType="end"/>
        </w:r>
      </w:hyperlink>
    </w:p>
    <w:p w:rsidR="00652980" w:rsidRPr="00796DF8" w:rsidRDefault="00E70416">
      <w:pPr>
        <w:pStyle w:val="TOC3"/>
        <w:tabs>
          <w:tab w:val="right" w:leader="dot" w:pos="9350"/>
        </w:tabs>
        <w:rPr>
          <w:rFonts w:ascii="Calibri" w:hAnsi="Calibri"/>
          <w:noProof/>
          <w:szCs w:val="22"/>
        </w:rPr>
      </w:pPr>
      <w:hyperlink w:anchor="_Toc3879586" w:history="1">
        <w:r w:rsidR="00652980" w:rsidRPr="00A311E1">
          <w:rPr>
            <w:rStyle w:val="Hyperlink"/>
            <w:noProof/>
          </w:rPr>
          <w:t>Internet and Intranet</w:t>
        </w:r>
        <w:r w:rsidR="00652980">
          <w:rPr>
            <w:noProof/>
            <w:webHidden/>
          </w:rPr>
          <w:tab/>
        </w:r>
        <w:r w:rsidR="00652980">
          <w:rPr>
            <w:noProof/>
            <w:webHidden/>
          </w:rPr>
          <w:fldChar w:fldCharType="begin"/>
        </w:r>
        <w:r w:rsidR="00652980">
          <w:rPr>
            <w:noProof/>
            <w:webHidden/>
          </w:rPr>
          <w:instrText xml:space="preserve"> PAGEREF _Toc3879586 \h </w:instrText>
        </w:r>
        <w:r w:rsidR="00652980">
          <w:rPr>
            <w:noProof/>
            <w:webHidden/>
          </w:rPr>
        </w:r>
        <w:r w:rsidR="00652980">
          <w:rPr>
            <w:noProof/>
            <w:webHidden/>
          </w:rPr>
          <w:fldChar w:fldCharType="separate"/>
        </w:r>
        <w:r w:rsidR="00652980">
          <w:rPr>
            <w:noProof/>
            <w:webHidden/>
          </w:rPr>
          <w:t>7</w:t>
        </w:r>
        <w:r w:rsidR="00652980">
          <w:rPr>
            <w:noProof/>
            <w:webHidden/>
          </w:rPr>
          <w:fldChar w:fldCharType="end"/>
        </w:r>
      </w:hyperlink>
    </w:p>
    <w:p w:rsidR="00652980" w:rsidRPr="00796DF8" w:rsidRDefault="00E70416">
      <w:pPr>
        <w:pStyle w:val="TOC3"/>
        <w:tabs>
          <w:tab w:val="right" w:leader="dot" w:pos="9350"/>
        </w:tabs>
        <w:rPr>
          <w:rFonts w:ascii="Calibri" w:hAnsi="Calibri"/>
          <w:noProof/>
          <w:szCs w:val="22"/>
        </w:rPr>
      </w:pPr>
      <w:hyperlink w:anchor="_Toc3879587" w:history="1">
        <w:r w:rsidR="00652980" w:rsidRPr="00A311E1">
          <w:rPr>
            <w:rStyle w:val="Hyperlink"/>
            <w:noProof/>
          </w:rPr>
          <w:t>Intranet Content</w:t>
        </w:r>
        <w:r w:rsidR="00652980">
          <w:rPr>
            <w:noProof/>
            <w:webHidden/>
          </w:rPr>
          <w:tab/>
        </w:r>
        <w:r w:rsidR="00652980">
          <w:rPr>
            <w:noProof/>
            <w:webHidden/>
          </w:rPr>
          <w:fldChar w:fldCharType="begin"/>
        </w:r>
        <w:r w:rsidR="00652980">
          <w:rPr>
            <w:noProof/>
            <w:webHidden/>
          </w:rPr>
          <w:instrText xml:space="preserve"> PAGEREF _Toc3879587 \h </w:instrText>
        </w:r>
        <w:r w:rsidR="00652980">
          <w:rPr>
            <w:noProof/>
            <w:webHidden/>
          </w:rPr>
        </w:r>
        <w:r w:rsidR="00652980">
          <w:rPr>
            <w:noProof/>
            <w:webHidden/>
          </w:rPr>
          <w:fldChar w:fldCharType="separate"/>
        </w:r>
        <w:r w:rsidR="00652980">
          <w:rPr>
            <w:noProof/>
            <w:webHidden/>
          </w:rPr>
          <w:t>7</w:t>
        </w:r>
        <w:r w:rsidR="00652980">
          <w:rPr>
            <w:noProof/>
            <w:webHidden/>
          </w:rPr>
          <w:fldChar w:fldCharType="end"/>
        </w:r>
      </w:hyperlink>
    </w:p>
    <w:p w:rsidR="00652980" w:rsidRPr="00796DF8" w:rsidRDefault="00E70416">
      <w:pPr>
        <w:pStyle w:val="TOC3"/>
        <w:tabs>
          <w:tab w:val="right" w:leader="dot" w:pos="9350"/>
        </w:tabs>
        <w:rPr>
          <w:rFonts w:ascii="Calibri" w:hAnsi="Calibri"/>
          <w:noProof/>
          <w:szCs w:val="22"/>
        </w:rPr>
      </w:pPr>
      <w:hyperlink w:anchor="_Toc3879588" w:history="1">
        <w:r w:rsidR="00652980" w:rsidRPr="00A311E1">
          <w:rPr>
            <w:rStyle w:val="Hyperlink"/>
            <w:noProof/>
          </w:rPr>
          <w:t>Web Site Security</w:t>
        </w:r>
        <w:r w:rsidR="00652980">
          <w:rPr>
            <w:noProof/>
            <w:webHidden/>
          </w:rPr>
          <w:tab/>
        </w:r>
        <w:r w:rsidR="00652980">
          <w:rPr>
            <w:noProof/>
            <w:webHidden/>
          </w:rPr>
          <w:fldChar w:fldCharType="begin"/>
        </w:r>
        <w:r w:rsidR="00652980">
          <w:rPr>
            <w:noProof/>
            <w:webHidden/>
          </w:rPr>
          <w:instrText xml:space="preserve"> PAGEREF _Toc3879588 \h </w:instrText>
        </w:r>
        <w:r w:rsidR="00652980">
          <w:rPr>
            <w:noProof/>
            <w:webHidden/>
          </w:rPr>
        </w:r>
        <w:r w:rsidR="00652980">
          <w:rPr>
            <w:noProof/>
            <w:webHidden/>
          </w:rPr>
          <w:fldChar w:fldCharType="separate"/>
        </w:r>
        <w:r w:rsidR="00652980">
          <w:rPr>
            <w:noProof/>
            <w:webHidden/>
          </w:rPr>
          <w:t>7</w:t>
        </w:r>
        <w:r w:rsidR="00652980">
          <w:rPr>
            <w:noProof/>
            <w:webHidden/>
          </w:rPr>
          <w:fldChar w:fldCharType="end"/>
        </w:r>
      </w:hyperlink>
    </w:p>
    <w:p w:rsidR="00652980" w:rsidRPr="00796DF8" w:rsidRDefault="00E70416">
      <w:pPr>
        <w:pStyle w:val="TOC3"/>
        <w:tabs>
          <w:tab w:val="right" w:leader="dot" w:pos="9350"/>
        </w:tabs>
        <w:rPr>
          <w:rFonts w:ascii="Calibri" w:hAnsi="Calibri"/>
          <w:noProof/>
          <w:szCs w:val="22"/>
        </w:rPr>
      </w:pPr>
      <w:hyperlink w:anchor="_Toc3879589" w:history="1">
        <w:r w:rsidR="00652980" w:rsidRPr="00A311E1">
          <w:rPr>
            <w:rStyle w:val="Hyperlink"/>
            <w:noProof/>
          </w:rPr>
          <w:t>Public Information</w:t>
        </w:r>
        <w:r w:rsidR="00652980">
          <w:rPr>
            <w:noProof/>
            <w:webHidden/>
          </w:rPr>
          <w:tab/>
        </w:r>
        <w:r w:rsidR="00652980">
          <w:rPr>
            <w:noProof/>
            <w:webHidden/>
          </w:rPr>
          <w:fldChar w:fldCharType="begin"/>
        </w:r>
        <w:r w:rsidR="00652980">
          <w:rPr>
            <w:noProof/>
            <w:webHidden/>
          </w:rPr>
          <w:instrText xml:space="preserve"> PAGEREF _Toc3879589 \h </w:instrText>
        </w:r>
        <w:r w:rsidR="00652980">
          <w:rPr>
            <w:noProof/>
            <w:webHidden/>
          </w:rPr>
        </w:r>
        <w:r w:rsidR="00652980">
          <w:rPr>
            <w:noProof/>
            <w:webHidden/>
          </w:rPr>
          <w:fldChar w:fldCharType="separate"/>
        </w:r>
        <w:r w:rsidR="00652980">
          <w:rPr>
            <w:noProof/>
            <w:webHidden/>
          </w:rPr>
          <w:t>8</w:t>
        </w:r>
        <w:r w:rsidR="00652980">
          <w:rPr>
            <w:noProof/>
            <w:webHidden/>
          </w:rPr>
          <w:fldChar w:fldCharType="end"/>
        </w:r>
      </w:hyperlink>
    </w:p>
    <w:p w:rsidR="00652980" w:rsidRPr="00796DF8" w:rsidRDefault="00E70416">
      <w:pPr>
        <w:pStyle w:val="TOC1"/>
        <w:rPr>
          <w:rFonts w:ascii="Calibri" w:hAnsi="Calibri"/>
          <w:noProof/>
          <w:szCs w:val="22"/>
        </w:rPr>
      </w:pPr>
      <w:hyperlink w:anchor="_Toc3879590" w:history="1">
        <w:r w:rsidR="00652980" w:rsidRPr="00A311E1">
          <w:rPr>
            <w:rStyle w:val="Hyperlink"/>
            <w:bCs/>
            <w:noProof/>
          </w:rPr>
          <w:t>Violations</w:t>
        </w:r>
        <w:r w:rsidR="00652980">
          <w:rPr>
            <w:noProof/>
            <w:webHidden/>
          </w:rPr>
          <w:tab/>
        </w:r>
        <w:r w:rsidR="00652980">
          <w:rPr>
            <w:noProof/>
            <w:webHidden/>
          </w:rPr>
          <w:fldChar w:fldCharType="begin"/>
        </w:r>
        <w:r w:rsidR="00652980">
          <w:rPr>
            <w:noProof/>
            <w:webHidden/>
          </w:rPr>
          <w:instrText xml:space="preserve"> PAGEREF _Toc3879590 \h </w:instrText>
        </w:r>
        <w:r w:rsidR="00652980">
          <w:rPr>
            <w:noProof/>
            <w:webHidden/>
          </w:rPr>
        </w:r>
        <w:r w:rsidR="00652980">
          <w:rPr>
            <w:noProof/>
            <w:webHidden/>
          </w:rPr>
          <w:fldChar w:fldCharType="separate"/>
        </w:r>
        <w:r w:rsidR="00652980">
          <w:rPr>
            <w:noProof/>
            <w:webHidden/>
          </w:rPr>
          <w:t>8</w:t>
        </w:r>
        <w:r w:rsidR="00652980">
          <w:rPr>
            <w:noProof/>
            <w:webHidden/>
          </w:rPr>
          <w:fldChar w:fldCharType="end"/>
        </w:r>
      </w:hyperlink>
    </w:p>
    <w:p w:rsidR="00652980" w:rsidRPr="00796DF8" w:rsidRDefault="00E70416">
      <w:pPr>
        <w:pStyle w:val="TOC1"/>
        <w:rPr>
          <w:rFonts w:ascii="Calibri" w:hAnsi="Calibri"/>
          <w:noProof/>
          <w:szCs w:val="22"/>
        </w:rPr>
      </w:pPr>
      <w:hyperlink w:anchor="_Toc3879591" w:history="1">
        <w:r w:rsidR="00652980" w:rsidRPr="00A311E1">
          <w:rPr>
            <w:rStyle w:val="Hyperlink"/>
            <w:bCs/>
            <w:noProof/>
          </w:rPr>
          <w:t>Definitions</w:t>
        </w:r>
        <w:r w:rsidR="00652980">
          <w:rPr>
            <w:noProof/>
            <w:webHidden/>
          </w:rPr>
          <w:tab/>
        </w:r>
        <w:r w:rsidR="00652980">
          <w:rPr>
            <w:noProof/>
            <w:webHidden/>
          </w:rPr>
          <w:fldChar w:fldCharType="begin"/>
        </w:r>
        <w:r w:rsidR="00652980">
          <w:rPr>
            <w:noProof/>
            <w:webHidden/>
          </w:rPr>
          <w:instrText xml:space="preserve"> PAGEREF _Toc3879591 \h </w:instrText>
        </w:r>
        <w:r w:rsidR="00652980">
          <w:rPr>
            <w:noProof/>
            <w:webHidden/>
          </w:rPr>
        </w:r>
        <w:r w:rsidR="00652980">
          <w:rPr>
            <w:noProof/>
            <w:webHidden/>
          </w:rPr>
          <w:fldChar w:fldCharType="separate"/>
        </w:r>
        <w:r w:rsidR="00652980">
          <w:rPr>
            <w:noProof/>
            <w:webHidden/>
          </w:rPr>
          <w:t>8</w:t>
        </w:r>
        <w:r w:rsidR="00652980">
          <w:rPr>
            <w:noProof/>
            <w:webHidden/>
          </w:rPr>
          <w:fldChar w:fldCharType="end"/>
        </w:r>
      </w:hyperlink>
    </w:p>
    <w:p w:rsidR="00652980" w:rsidRPr="00796DF8" w:rsidRDefault="00E70416">
      <w:pPr>
        <w:pStyle w:val="TOC1"/>
        <w:rPr>
          <w:rFonts w:ascii="Calibri" w:hAnsi="Calibri"/>
          <w:noProof/>
          <w:szCs w:val="22"/>
        </w:rPr>
      </w:pPr>
      <w:hyperlink w:anchor="_Toc3879592" w:history="1">
        <w:r w:rsidR="00652980" w:rsidRPr="00A311E1">
          <w:rPr>
            <w:rStyle w:val="Hyperlink"/>
            <w:noProof/>
          </w:rPr>
          <w:t>References</w:t>
        </w:r>
        <w:r w:rsidR="00652980">
          <w:rPr>
            <w:noProof/>
            <w:webHidden/>
          </w:rPr>
          <w:tab/>
        </w:r>
        <w:r w:rsidR="00652980">
          <w:rPr>
            <w:noProof/>
            <w:webHidden/>
          </w:rPr>
          <w:fldChar w:fldCharType="begin"/>
        </w:r>
        <w:r w:rsidR="00652980">
          <w:rPr>
            <w:noProof/>
            <w:webHidden/>
          </w:rPr>
          <w:instrText xml:space="preserve"> PAGEREF _Toc3879592 \h </w:instrText>
        </w:r>
        <w:r w:rsidR="00652980">
          <w:rPr>
            <w:noProof/>
            <w:webHidden/>
          </w:rPr>
        </w:r>
        <w:r w:rsidR="00652980">
          <w:rPr>
            <w:noProof/>
            <w:webHidden/>
          </w:rPr>
          <w:fldChar w:fldCharType="separate"/>
        </w:r>
        <w:r w:rsidR="00652980">
          <w:rPr>
            <w:noProof/>
            <w:webHidden/>
          </w:rPr>
          <w:t>9</w:t>
        </w:r>
        <w:r w:rsidR="00652980">
          <w:rPr>
            <w:noProof/>
            <w:webHidden/>
          </w:rPr>
          <w:fldChar w:fldCharType="end"/>
        </w:r>
      </w:hyperlink>
    </w:p>
    <w:p w:rsidR="00652980" w:rsidRPr="00796DF8" w:rsidRDefault="00E70416">
      <w:pPr>
        <w:pStyle w:val="TOC1"/>
        <w:rPr>
          <w:rFonts w:ascii="Calibri" w:hAnsi="Calibri"/>
          <w:noProof/>
          <w:szCs w:val="22"/>
        </w:rPr>
      </w:pPr>
      <w:hyperlink w:anchor="_Toc3879593" w:history="1">
        <w:r w:rsidR="00652980" w:rsidRPr="00A311E1">
          <w:rPr>
            <w:rStyle w:val="Hyperlink"/>
            <w:noProof/>
          </w:rPr>
          <w:t>Related Documents</w:t>
        </w:r>
        <w:r w:rsidR="00652980">
          <w:rPr>
            <w:noProof/>
            <w:webHidden/>
          </w:rPr>
          <w:tab/>
        </w:r>
        <w:r w:rsidR="00652980">
          <w:rPr>
            <w:noProof/>
            <w:webHidden/>
          </w:rPr>
          <w:fldChar w:fldCharType="begin"/>
        </w:r>
        <w:r w:rsidR="00652980">
          <w:rPr>
            <w:noProof/>
            <w:webHidden/>
          </w:rPr>
          <w:instrText xml:space="preserve"> PAGEREF _Toc3879593 \h </w:instrText>
        </w:r>
        <w:r w:rsidR="00652980">
          <w:rPr>
            <w:noProof/>
            <w:webHidden/>
          </w:rPr>
        </w:r>
        <w:r w:rsidR="00652980">
          <w:rPr>
            <w:noProof/>
            <w:webHidden/>
          </w:rPr>
          <w:fldChar w:fldCharType="separate"/>
        </w:r>
        <w:r w:rsidR="00652980">
          <w:rPr>
            <w:noProof/>
            <w:webHidden/>
          </w:rPr>
          <w:t>9</w:t>
        </w:r>
        <w:r w:rsidR="00652980">
          <w:rPr>
            <w:noProof/>
            <w:webHidden/>
          </w:rPr>
          <w:fldChar w:fldCharType="end"/>
        </w:r>
      </w:hyperlink>
    </w:p>
    <w:p w:rsidR="00652980" w:rsidRPr="00796DF8" w:rsidRDefault="00E70416">
      <w:pPr>
        <w:pStyle w:val="TOC1"/>
        <w:rPr>
          <w:rFonts w:ascii="Calibri" w:hAnsi="Calibri"/>
          <w:noProof/>
          <w:szCs w:val="22"/>
        </w:rPr>
      </w:pPr>
      <w:hyperlink w:anchor="_Toc3879594" w:history="1">
        <w:r w:rsidR="00652980" w:rsidRPr="00A311E1">
          <w:rPr>
            <w:rStyle w:val="Hyperlink"/>
            <w:bCs/>
            <w:noProof/>
          </w:rPr>
          <w:t>Approval and Ownership</w:t>
        </w:r>
        <w:r w:rsidR="00652980">
          <w:rPr>
            <w:noProof/>
            <w:webHidden/>
          </w:rPr>
          <w:tab/>
        </w:r>
        <w:r w:rsidR="00652980">
          <w:rPr>
            <w:noProof/>
            <w:webHidden/>
          </w:rPr>
          <w:fldChar w:fldCharType="begin"/>
        </w:r>
        <w:r w:rsidR="00652980">
          <w:rPr>
            <w:noProof/>
            <w:webHidden/>
          </w:rPr>
          <w:instrText xml:space="preserve"> PAGEREF _Toc3879594 \h </w:instrText>
        </w:r>
        <w:r w:rsidR="00652980">
          <w:rPr>
            <w:noProof/>
            <w:webHidden/>
          </w:rPr>
        </w:r>
        <w:r w:rsidR="00652980">
          <w:rPr>
            <w:noProof/>
            <w:webHidden/>
          </w:rPr>
          <w:fldChar w:fldCharType="separate"/>
        </w:r>
        <w:r w:rsidR="00652980">
          <w:rPr>
            <w:noProof/>
            <w:webHidden/>
          </w:rPr>
          <w:t>9</w:t>
        </w:r>
        <w:r w:rsidR="00652980">
          <w:rPr>
            <w:noProof/>
            <w:webHidden/>
          </w:rPr>
          <w:fldChar w:fldCharType="end"/>
        </w:r>
      </w:hyperlink>
    </w:p>
    <w:p w:rsidR="00652980" w:rsidRPr="00796DF8" w:rsidRDefault="00E70416">
      <w:pPr>
        <w:pStyle w:val="TOC1"/>
        <w:rPr>
          <w:rFonts w:ascii="Calibri" w:hAnsi="Calibri"/>
          <w:noProof/>
          <w:szCs w:val="22"/>
        </w:rPr>
      </w:pPr>
      <w:hyperlink w:anchor="_Toc3879595" w:history="1">
        <w:r w:rsidR="00652980" w:rsidRPr="00A311E1">
          <w:rPr>
            <w:rStyle w:val="Hyperlink"/>
            <w:bCs/>
            <w:noProof/>
          </w:rPr>
          <w:t>Revision History</w:t>
        </w:r>
        <w:r w:rsidR="00652980">
          <w:rPr>
            <w:noProof/>
            <w:webHidden/>
          </w:rPr>
          <w:tab/>
        </w:r>
        <w:r w:rsidR="00652980">
          <w:rPr>
            <w:noProof/>
            <w:webHidden/>
          </w:rPr>
          <w:fldChar w:fldCharType="begin"/>
        </w:r>
        <w:r w:rsidR="00652980">
          <w:rPr>
            <w:noProof/>
            <w:webHidden/>
          </w:rPr>
          <w:instrText xml:space="preserve"> PAGEREF _Toc3879595 \h </w:instrText>
        </w:r>
        <w:r w:rsidR="00652980">
          <w:rPr>
            <w:noProof/>
            <w:webHidden/>
          </w:rPr>
        </w:r>
        <w:r w:rsidR="00652980">
          <w:rPr>
            <w:noProof/>
            <w:webHidden/>
          </w:rPr>
          <w:fldChar w:fldCharType="separate"/>
        </w:r>
        <w:r w:rsidR="00652980">
          <w:rPr>
            <w:noProof/>
            <w:webHidden/>
          </w:rPr>
          <w:t>9</w:t>
        </w:r>
        <w:r w:rsidR="00652980">
          <w:rPr>
            <w:noProof/>
            <w:webHidden/>
          </w:rPr>
          <w:fldChar w:fldCharType="end"/>
        </w:r>
      </w:hyperlink>
    </w:p>
    <w:p w:rsidR="0085160B" w:rsidRDefault="00562F38" w:rsidP="00E65349">
      <w:pPr>
        <w:pStyle w:val="TOC1"/>
      </w:pPr>
      <w:r>
        <w:fldChar w:fldCharType="end"/>
      </w:r>
    </w:p>
    <w:p w:rsidR="00E955F9" w:rsidRDefault="00E955F9" w:rsidP="00E955F9"/>
    <w:p w:rsidR="00E955F9" w:rsidRDefault="00E955F9" w:rsidP="00E955F9"/>
    <w:p w:rsidR="00E955F9" w:rsidRDefault="00E955F9" w:rsidP="00E955F9"/>
    <w:p w:rsidR="00E955F9" w:rsidRDefault="00E955F9" w:rsidP="00E955F9"/>
    <w:p w:rsidR="00E955F9" w:rsidRDefault="00E955F9" w:rsidP="00E955F9"/>
    <w:p w:rsidR="00E955F9" w:rsidRDefault="00E955F9" w:rsidP="00E955F9"/>
    <w:p w:rsidR="00E955F9" w:rsidRDefault="00E955F9" w:rsidP="00E955F9"/>
    <w:p w:rsidR="00E955F9" w:rsidRDefault="00E955F9" w:rsidP="00E955F9"/>
    <w:p w:rsidR="00E955F9" w:rsidRDefault="00E955F9" w:rsidP="00E955F9"/>
    <w:p w:rsidR="00E955F9" w:rsidRDefault="00E955F9" w:rsidP="00E955F9"/>
    <w:p w:rsidR="00E955F9" w:rsidRDefault="00E955F9" w:rsidP="00E955F9"/>
    <w:p w:rsidR="00E955F9" w:rsidRDefault="00E955F9" w:rsidP="00E955F9"/>
    <w:p w:rsidR="00E955F9" w:rsidRDefault="00E955F9" w:rsidP="00E955F9"/>
    <w:p w:rsidR="00E955F9" w:rsidRPr="00E955F9" w:rsidRDefault="00E955F9" w:rsidP="00E955F9"/>
    <w:p w:rsidR="00B35F97" w:rsidRPr="003F09FA" w:rsidRDefault="00B35F97" w:rsidP="00B35F97">
      <w:pPr>
        <w:pStyle w:val="PolicyElementHeader"/>
        <w:rPr>
          <w:bCs/>
          <w:color w:val="00527A"/>
        </w:rPr>
      </w:pPr>
      <w:bookmarkStart w:id="1" w:name="_Toc293391939"/>
      <w:bookmarkStart w:id="2" w:name="_Toc3879571"/>
      <w:bookmarkStart w:id="3" w:name="_Toc241985854"/>
      <w:r w:rsidRPr="003F09FA">
        <w:rPr>
          <w:bCs/>
          <w:color w:val="00527A"/>
        </w:rPr>
        <w:lastRenderedPageBreak/>
        <w:t>Purpose</w:t>
      </w:r>
      <w:bookmarkEnd w:id="1"/>
      <w:bookmarkEnd w:id="2"/>
    </w:p>
    <w:p w:rsidR="00B35F97" w:rsidRDefault="00B35F97" w:rsidP="00B35F97">
      <w:bookmarkStart w:id="4" w:name="_Toc293391940"/>
      <w:r>
        <w:t>This policy defines</w:t>
      </w:r>
      <w:r w:rsidRPr="000A0026">
        <w:t xml:space="preserve"> </w:t>
      </w:r>
      <w:r>
        <w:t>controls</w:t>
      </w:r>
      <w:r w:rsidRPr="000A0026">
        <w:t xml:space="preserve"> for the proper disposal of all </w:t>
      </w:r>
      <w:r w:rsidR="00961256">
        <w:t>CompanyX</w:t>
      </w:r>
      <w:r>
        <w:t xml:space="preserve"> </w:t>
      </w:r>
      <w:r w:rsidR="00E955F9">
        <w:t xml:space="preserve">(the “Company”) </w:t>
      </w:r>
      <w:r w:rsidRPr="000A0026">
        <w:t>sensitive information, either in paper or electronic format.</w:t>
      </w:r>
      <w:r>
        <w:t xml:space="preserve">  </w:t>
      </w:r>
    </w:p>
    <w:p w:rsidR="00B35F97" w:rsidRPr="003F09FA" w:rsidRDefault="00B35F97" w:rsidP="00B35F97">
      <w:pPr>
        <w:pStyle w:val="PolicyElementHeader"/>
        <w:rPr>
          <w:bCs/>
          <w:color w:val="00527A"/>
        </w:rPr>
      </w:pPr>
      <w:bookmarkStart w:id="5" w:name="_Toc3879572"/>
      <w:r w:rsidRPr="003F09FA">
        <w:rPr>
          <w:bCs/>
          <w:color w:val="00527A"/>
        </w:rPr>
        <w:t>Scope</w:t>
      </w:r>
      <w:bookmarkEnd w:id="4"/>
      <w:bookmarkEnd w:id="5"/>
    </w:p>
    <w:p w:rsidR="00B35F97" w:rsidRPr="0077342D" w:rsidRDefault="00B35F97" w:rsidP="00B35F97">
      <w:bookmarkStart w:id="6" w:name="_Toc293391941"/>
      <w:r w:rsidRPr="005A4B62">
        <w:t xml:space="preserve">This </w:t>
      </w:r>
      <w:r>
        <w:t>policy</w:t>
      </w:r>
      <w:r w:rsidRPr="005A4B62">
        <w:t xml:space="preserve"> applies to all </w:t>
      </w:r>
      <w:r w:rsidR="00961256">
        <w:t>CompanyX</w:t>
      </w:r>
      <w:r w:rsidRPr="005A4B62">
        <w:t xml:space="preserve"> </w:t>
      </w:r>
      <w:r w:rsidR="00D46B3D">
        <w:t>Information system</w:t>
      </w:r>
      <w:r w:rsidRPr="005A4B62">
        <w:t xml:space="preserve">s and facilities, </w:t>
      </w:r>
      <w:r>
        <w:t xml:space="preserve">including those managed for </w:t>
      </w:r>
      <w:r w:rsidR="00961256">
        <w:t>CompanyX</w:t>
      </w:r>
      <w:r>
        <w:t xml:space="preserve"> customers.  </w:t>
      </w:r>
      <w:r w:rsidRPr="0081411B">
        <w:t xml:space="preserve">This </w:t>
      </w:r>
      <w:r>
        <w:t>p</w:t>
      </w:r>
      <w:r w:rsidR="004B4B1E">
        <w:t>olicy applies to all employees and T</w:t>
      </w:r>
      <w:r>
        <w:t>hird-</w:t>
      </w:r>
      <w:r w:rsidR="004B4B1E">
        <w:t>P</w:t>
      </w:r>
      <w:r>
        <w:t xml:space="preserve">arties with access to </w:t>
      </w:r>
      <w:r w:rsidR="00961256">
        <w:t>CompanyX</w:t>
      </w:r>
      <w:r>
        <w:t xml:space="preserve"> information assets in digital or hardcopy form</w:t>
      </w:r>
      <w:r w:rsidRPr="0081411B">
        <w:t>.</w:t>
      </w:r>
    </w:p>
    <w:p w:rsidR="00B35F97" w:rsidRPr="008D4F8B" w:rsidRDefault="00B35F97" w:rsidP="00B35F97">
      <w:pPr>
        <w:pStyle w:val="PolicyElementHeader"/>
        <w:rPr>
          <w:bCs/>
          <w:color w:val="00527A"/>
        </w:rPr>
      </w:pPr>
      <w:bookmarkStart w:id="7" w:name="_Toc3879573"/>
      <w:r w:rsidRPr="008D4F8B">
        <w:rPr>
          <w:bCs/>
          <w:color w:val="00527A"/>
        </w:rPr>
        <w:t>Policy</w:t>
      </w:r>
      <w:bookmarkEnd w:id="6"/>
      <w:bookmarkEnd w:id="7"/>
    </w:p>
    <w:p w:rsidR="00DC3A20" w:rsidRPr="00760E35" w:rsidRDefault="00DC3A20" w:rsidP="000037EE">
      <w:pPr>
        <w:pStyle w:val="Heading3"/>
        <w:rPr>
          <w:rStyle w:val="Strong"/>
          <w:b/>
        </w:rPr>
      </w:pPr>
      <w:bookmarkStart w:id="8" w:name="_Toc3879574"/>
      <w:r w:rsidRPr="00760E35">
        <w:rPr>
          <w:rStyle w:val="Strong"/>
          <w:b/>
        </w:rPr>
        <w:t>Disclosure Restrictions</w:t>
      </w:r>
      <w:bookmarkEnd w:id="8"/>
    </w:p>
    <w:p w:rsidR="00DC3A20" w:rsidRPr="00CA4606" w:rsidRDefault="00DC3A20" w:rsidP="00DC3A20">
      <w:pPr>
        <w:spacing w:after="120"/>
        <w:ind w:left="360"/>
        <w:rPr>
          <w:rStyle w:val="Strong"/>
        </w:rPr>
      </w:pPr>
      <w:r w:rsidRPr="00CA4606">
        <w:rPr>
          <w:rStyle w:val="Strong"/>
        </w:rPr>
        <w:t>External Information Requests</w:t>
      </w:r>
      <w:r>
        <w:rPr>
          <w:rStyle w:val="Strong"/>
        </w:rPr>
        <w:t xml:space="preserve"> </w:t>
      </w:r>
      <w:r w:rsidRPr="00E5158E">
        <w:t xml:space="preserve">- All requests from a </w:t>
      </w:r>
      <w:r w:rsidR="00D038C8">
        <w:t>Third-Party</w:t>
      </w:r>
      <w:r w:rsidRPr="00E5158E">
        <w:t xml:space="preserve"> for internal information that is not </w:t>
      </w:r>
      <w:r>
        <w:t>classified as PUBLIC</w:t>
      </w:r>
      <w:r w:rsidRPr="00E5158E">
        <w:t xml:space="preserve"> must be approved by both the Information Owner and the </w:t>
      </w:r>
      <w:r w:rsidR="00961256">
        <w:t>CompanyX</w:t>
      </w:r>
      <w:r w:rsidRPr="00E5158E">
        <w:t xml:space="preserve"> corporate counsel, who must each be given five business days to evaluate the merits of the request.</w:t>
      </w:r>
    </w:p>
    <w:p w:rsidR="00DC3A20" w:rsidRDefault="00DC3A20" w:rsidP="00DC3A20">
      <w:pPr>
        <w:spacing w:after="120"/>
        <w:ind w:left="360"/>
      </w:pPr>
      <w:r w:rsidRPr="00CA4606">
        <w:rPr>
          <w:rStyle w:val="Strong"/>
        </w:rPr>
        <w:t xml:space="preserve">Information Transfer To </w:t>
      </w:r>
      <w:r w:rsidR="00F30D46">
        <w:rPr>
          <w:rStyle w:val="Strong"/>
        </w:rPr>
        <w:t>Third-Part</w:t>
      </w:r>
      <w:r w:rsidRPr="00CA4606">
        <w:rPr>
          <w:rStyle w:val="Strong"/>
        </w:rPr>
        <w:t>ies</w:t>
      </w:r>
      <w:r>
        <w:rPr>
          <w:rStyle w:val="Strong"/>
        </w:rPr>
        <w:t xml:space="preserve"> </w:t>
      </w:r>
      <w:r w:rsidRPr="00E5158E">
        <w:t xml:space="preserve">- </w:t>
      </w:r>
      <w:r w:rsidR="00961256">
        <w:t>CompanyX</w:t>
      </w:r>
      <w:r w:rsidRPr="00E5158E">
        <w:t xml:space="preserve"> software, documentation, and all other types of internal information must not be sold or otherwise transferred to any non-</w:t>
      </w:r>
      <w:r w:rsidR="00961256">
        <w:t>CompanyX</w:t>
      </w:r>
      <w:r w:rsidRPr="00E5158E">
        <w:t xml:space="preserve"> party for any purposes other than those expressly authorized by management.</w:t>
      </w:r>
    </w:p>
    <w:p w:rsidR="00DC3A20" w:rsidRDefault="00DC3A20" w:rsidP="00DC3A20">
      <w:pPr>
        <w:spacing w:after="120"/>
        <w:ind w:left="360"/>
        <w:rPr>
          <w:rStyle w:val="Strong"/>
        </w:rPr>
      </w:pPr>
      <w:r w:rsidRPr="00CA4606">
        <w:rPr>
          <w:rStyle w:val="Strong"/>
        </w:rPr>
        <w:t>Requests For Organization Information</w:t>
      </w:r>
      <w:r>
        <w:rPr>
          <w:rStyle w:val="Strong"/>
        </w:rPr>
        <w:t xml:space="preserve"> </w:t>
      </w:r>
      <w:r>
        <w:t>- Unless authorized by</w:t>
      </w:r>
      <w:r w:rsidRPr="00E5158E">
        <w:t xml:space="preserve"> management, all requests for information about </w:t>
      </w:r>
      <w:r w:rsidR="00961256">
        <w:t>CompanyX</w:t>
      </w:r>
      <w:r w:rsidRPr="00E5158E">
        <w:t xml:space="preserve"> and its business activities including, but not limited to, questionnaires, surveys, and newspaper interviews, must be referred to the Public Relations Department.</w:t>
      </w:r>
    </w:p>
    <w:p w:rsidR="00DC3A20" w:rsidRPr="00CA4606" w:rsidRDefault="00DC3A20" w:rsidP="00DC3A20">
      <w:pPr>
        <w:spacing w:after="120"/>
        <w:ind w:left="360"/>
        <w:rPr>
          <w:rStyle w:val="Strong"/>
        </w:rPr>
      </w:pPr>
      <w:r>
        <w:rPr>
          <w:rStyle w:val="Strong"/>
        </w:rPr>
        <w:t>C</w:t>
      </w:r>
      <w:r w:rsidRPr="00CA4606">
        <w:rPr>
          <w:rStyle w:val="Strong"/>
        </w:rPr>
        <w:t>omputer-Related Access Numbers</w:t>
      </w:r>
      <w:r>
        <w:rPr>
          <w:rStyle w:val="Strong"/>
        </w:rPr>
        <w:t xml:space="preserve"> </w:t>
      </w:r>
      <w:r w:rsidRPr="00E5158E">
        <w:t xml:space="preserve">- Information regarding access to </w:t>
      </w:r>
      <w:r w:rsidR="00961256">
        <w:t>CompanyX</w:t>
      </w:r>
      <w:r w:rsidRPr="00E5158E">
        <w:t xml:space="preserve"> </w:t>
      </w:r>
      <w:r w:rsidR="00D46B3D">
        <w:t>Information systems</w:t>
      </w:r>
      <w:r w:rsidRPr="00E5158E">
        <w:t xml:space="preserve">, such as dial-up modem phone numbers, is considered confidential and must not be posted on the Internet, listed in telephone directories, placed on business cards, or otherwise made available to </w:t>
      </w:r>
      <w:r w:rsidR="00D038C8">
        <w:t>Third-Parties</w:t>
      </w:r>
      <w:r w:rsidRPr="00E5158E">
        <w:t xml:space="preserve"> without the advance written permission of the Information Security Manager.</w:t>
      </w:r>
    </w:p>
    <w:p w:rsidR="00DC3A20" w:rsidRDefault="00DC3A20" w:rsidP="00DC3A20">
      <w:pPr>
        <w:spacing w:after="120"/>
        <w:ind w:left="360"/>
      </w:pPr>
      <w:r w:rsidRPr="00CA4606">
        <w:rPr>
          <w:rStyle w:val="Strong"/>
        </w:rPr>
        <w:t>Disclosure Of Information System Controls</w:t>
      </w:r>
      <w:r>
        <w:rPr>
          <w:rStyle w:val="Strong"/>
        </w:rPr>
        <w:t xml:space="preserve"> </w:t>
      </w:r>
      <w:r w:rsidRPr="00E5158E">
        <w:t xml:space="preserve">- Workers must not disclose to any persons outside </w:t>
      </w:r>
      <w:r w:rsidR="00961256">
        <w:t>CompanyX</w:t>
      </w:r>
      <w:r w:rsidRPr="00E5158E">
        <w:t xml:space="preserve"> either the information system controls that are in use or the way in which these controls are implemented without the permission of the Information Security Manager.</w:t>
      </w:r>
    </w:p>
    <w:p w:rsidR="00DC3A20" w:rsidRPr="00CA4606" w:rsidRDefault="00DC3A20" w:rsidP="00DC3A20">
      <w:pPr>
        <w:spacing w:after="120"/>
        <w:ind w:left="360"/>
        <w:rPr>
          <w:rStyle w:val="Strong"/>
        </w:rPr>
      </w:pPr>
      <w:r w:rsidRPr="00CA4606">
        <w:rPr>
          <w:rStyle w:val="Strong"/>
        </w:rPr>
        <w:t>Nature And Location Of Organization Information</w:t>
      </w:r>
      <w:r>
        <w:rPr>
          <w:rStyle w:val="Strong"/>
        </w:rPr>
        <w:t xml:space="preserve"> </w:t>
      </w:r>
      <w:r w:rsidRPr="00935EC8">
        <w:t xml:space="preserve">- Information about the nature and location of </w:t>
      </w:r>
      <w:r w:rsidR="00961256">
        <w:t>CompanyX</w:t>
      </w:r>
      <w:r w:rsidRPr="00935EC8">
        <w:t xml:space="preserve"> information, such as that found in a data dictionary, is confidential and must only be disclosed to those with a demonstrable need to know.</w:t>
      </w:r>
    </w:p>
    <w:p w:rsidR="00DC3A20" w:rsidRPr="00CA4606" w:rsidRDefault="00DC3A20" w:rsidP="00DC3A20">
      <w:pPr>
        <w:spacing w:after="120"/>
        <w:ind w:left="360"/>
        <w:rPr>
          <w:rStyle w:val="Strong"/>
        </w:rPr>
      </w:pPr>
      <w:r w:rsidRPr="00CA4606">
        <w:rPr>
          <w:rStyle w:val="Strong"/>
        </w:rPr>
        <w:t>Financial Information Disclosure</w:t>
      </w:r>
      <w:r>
        <w:rPr>
          <w:rStyle w:val="Strong"/>
        </w:rPr>
        <w:t xml:space="preserve"> </w:t>
      </w:r>
      <w:r w:rsidRPr="00E5158E">
        <w:t xml:space="preserve">- Every disclosure of information about the financial condition of </w:t>
      </w:r>
      <w:r w:rsidR="00961256">
        <w:t>CompanyX</w:t>
      </w:r>
      <w:r w:rsidRPr="00E5158E">
        <w:t>, anticipated changes in financial position, and business developments that could reasonably be expected to materially alter the way investors view the company must be cleared in advance with the Public Relations Department or a vice president, and made publicly available to all investors and interested parties at the same time.</w:t>
      </w:r>
    </w:p>
    <w:p w:rsidR="00DC3A20" w:rsidRDefault="00DC3A20" w:rsidP="00DC3A20">
      <w:pPr>
        <w:spacing w:after="120"/>
        <w:ind w:left="360"/>
      </w:pPr>
      <w:r w:rsidRPr="00CA4606">
        <w:rPr>
          <w:rStyle w:val="Strong"/>
        </w:rPr>
        <w:lastRenderedPageBreak/>
        <w:t>Future Earnings Or Products</w:t>
      </w:r>
      <w:r>
        <w:rPr>
          <w:rStyle w:val="Strong"/>
        </w:rPr>
        <w:t xml:space="preserve"> </w:t>
      </w:r>
      <w:r w:rsidRPr="00E5158E">
        <w:t xml:space="preserve">- Workers must not make any public representations about </w:t>
      </w:r>
      <w:r w:rsidR="00961256">
        <w:t>CompanyX</w:t>
      </w:r>
      <w:r w:rsidRPr="00E5158E">
        <w:t xml:space="preserve"> future earnings or the prospects for new products.</w:t>
      </w:r>
    </w:p>
    <w:p w:rsidR="00DC3A20" w:rsidRDefault="00DC3A20" w:rsidP="00DC3A20">
      <w:pPr>
        <w:spacing w:after="120"/>
        <w:ind w:left="360"/>
      </w:pPr>
      <w:r w:rsidRPr="00CA4606">
        <w:rPr>
          <w:rStyle w:val="Strong"/>
        </w:rPr>
        <w:t>Sharing Marketing Information</w:t>
      </w:r>
      <w:r>
        <w:rPr>
          <w:rStyle w:val="Strong"/>
        </w:rPr>
        <w:t xml:space="preserve"> </w:t>
      </w:r>
      <w:r w:rsidRPr="00E5158E">
        <w:t>- Marketing information including, but not limited to, prices, sales policies, strategies, plans, market share status, and other marketing information must never be disclosed to competitors.</w:t>
      </w:r>
    </w:p>
    <w:p w:rsidR="00DC3A20" w:rsidRDefault="00DC3A20" w:rsidP="00DC3A20">
      <w:pPr>
        <w:spacing w:after="120"/>
        <w:ind w:left="360"/>
      </w:pPr>
      <w:r w:rsidRPr="00CA4606">
        <w:rPr>
          <w:rStyle w:val="Strong"/>
        </w:rPr>
        <w:t>Legal Action Information</w:t>
      </w:r>
      <w:r>
        <w:rPr>
          <w:rStyle w:val="Strong"/>
        </w:rPr>
        <w:t xml:space="preserve"> </w:t>
      </w:r>
      <w:r w:rsidRPr="00E5158E">
        <w:t>- Third-party requests for information related to a current legal case must not be granted unless the request is made by an authorized government agency or court of law.</w:t>
      </w:r>
    </w:p>
    <w:p w:rsidR="00DC3A20" w:rsidRPr="00760E35" w:rsidRDefault="00DC3A20" w:rsidP="000037EE">
      <w:pPr>
        <w:pStyle w:val="Heading3"/>
        <w:rPr>
          <w:rStyle w:val="Strong"/>
          <w:b/>
        </w:rPr>
      </w:pPr>
      <w:bookmarkStart w:id="9" w:name="_Toc3879575"/>
      <w:r w:rsidRPr="00760E35">
        <w:rPr>
          <w:rStyle w:val="Strong"/>
          <w:b/>
        </w:rPr>
        <w:t>Public Information Disclosures</w:t>
      </w:r>
      <w:bookmarkEnd w:id="9"/>
    </w:p>
    <w:p w:rsidR="00DC3A20" w:rsidRDefault="00DC3A20" w:rsidP="00DC3A20">
      <w:pPr>
        <w:spacing w:after="120"/>
        <w:ind w:left="360"/>
      </w:pPr>
      <w:r w:rsidRPr="00CA4606">
        <w:rPr>
          <w:rStyle w:val="Strong"/>
        </w:rPr>
        <w:t>Public Representation Approval</w:t>
      </w:r>
      <w:r>
        <w:rPr>
          <w:rStyle w:val="Strong"/>
        </w:rPr>
        <w:t xml:space="preserve"> </w:t>
      </w:r>
      <w:r w:rsidRPr="00E5158E">
        <w:t>- All public representations including, but not limited to, media advertisements, Internet home pages, electronic bulletin board postings, and voice mail broadcast messages, must be issued or approved by the Public Relations Department.</w:t>
      </w:r>
    </w:p>
    <w:p w:rsidR="00652980" w:rsidRPr="00652980" w:rsidRDefault="00652980" w:rsidP="00652980">
      <w:pPr>
        <w:spacing w:after="120"/>
        <w:ind w:left="360"/>
        <w:rPr>
          <w:rStyle w:val="Strong"/>
          <w:b w:val="0"/>
          <w:bCs w:val="0"/>
        </w:rPr>
      </w:pPr>
      <w:r w:rsidRPr="00CA4606">
        <w:rPr>
          <w:rStyle w:val="Strong"/>
        </w:rPr>
        <w:t>Release Of Organization Information</w:t>
      </w:r>
      <w:r>
        <w:rPr>
          <w:rStyle w:val="Strong"/>
        </w:rPr>
        <w:t xml:space="preserve"> </w:t>
      </w:r>
      <w:r w:rsidRPr="00E5158E">
        <w:t xml:space="preserve">- Permission to disclose any internal </w:t>
      </w:r>
      <w:r w:rsidR="00961256">
        <w:t>CompanyX</w:t>
      </w:r>
      <w:r w:rsidRPr="00E5158E">
        <w:t xml:space="preserve"> information to the news media or to other </w:t>
      </w:r>
      <w:r>
        <w:t>Third-Parties</w:t>
      </w:r>
      <w:r w:rsidRPr="00E5158E">
        <w:t xml:space="preserve"> must be obtained from </w:t>
      </w:r>
      <w:r w:rsidR="00961256">
        <w:t>CompanyX</w:t>
      </w:r>
      <w:r w:rsidRPr="00E5158E">
        <w:t xml:space="preserve"> senior management prior to release.</w:t>
      </w:r>
    </w:p>
    <w:p w:rsidR="00DC3A20" w:rsidRPr="00CA4606" w:rsidRDefault="00DC3A20" w:rsidP="00DC3A20">
      <w:pPr>
        <w:spacing w:after="120"/>
        <w:ind w:left="360"/>
        <w:rPr>
          <w:rStyle w:val="Strong"/>
        </w:rPr>
      </w:pPr>
      <w:r w:rsidRPr="00CA4606">
        <w:rPr>
          <w:rStyle w:val="Strong"/>
        </w:rPr>
        <w:t>Information Released To The Public — Contact Name</w:t>
      </w:r>
      <w:r>
        <w:rPr>
          <w:rStyle w:val="Strong"/>
        </w:rPr>
        <w:t xml:space="preserve"> </w:t>
      </w:r>
      <w:r w:rsidRPr="00E5158E">
        <w:t xml:space="preserve">- Information generated by </w:t>
      </w:r>
      <w:r w:rsidR="00961256">
        <w:t>CompanyX</w:t>
      </w:r>
      <w:r w:rsidRPr="00E5158E">
        <w:t xml:space="preserve"> and released to the public must be accompanied by the name of a designated staff member acting as the single recognized official source and point-of-contact.</w:t>
      </w:r>
    </w:p>
    <w:p w:rsidR="00DC3A20" w:rsidRPr="00CA4606" w:rsidRDefault="00DC3A20" w:rsidP="00DC3A20">
      <w:pPr>
        <w:spacing w:after="120"/>
        <w:ind w:left="360"/>
        <w:rPr>
          <w:rStyle w:val="Strong"/>
        </w:rPr>
      </w:pPr>
      <w:r w:rsidRPr="00CA4606">
        <w:rPr>
          <w:rStyle w:val="Strong"/>
        </w:rPr>
        <w:t>Information Released To The Public — Authorization</w:t>
      </w:r>
      <w:r>
        <w:rPr>
          <w:rStyle w:val="Strong"/>
        </w:rPr>
        <w:t xml:space="preserve"> </w:t>
      </w:r>
      <w:r w:rsidRPr="00935EC8">
        <w:t xml:space="preserve">- All internal </w:t>
      </w:r>
      <w:r w:rsidR="00961256">
        <w:t>CompanyX</w:t>
      </w:r>
      <w:r w:rsidRPr="00935EC8">
        <w:t xml:space="preserve"> information to be released to the public must have first been reviewed by management according to an established and documented process.</w:t>
      </w:r>
    </w:p>
    <w:p w:rsidR="00DC3A20" w:rsidRPr="00760E35" w:rsidRDefault="00DC3A20" w:rsidP="000037EE">
      <w:pPr>
        <w:pStyle w:val="Heading3"/>
        <w:rPr>
          <w:rStyle w:val="Strong"/>
          <w:b/>
        </w:rPr>
      </w:pPr>
      <w:bookmarkStart w:id="10" w:name="_Toc3879576"/>
      <w:r w:rsidRPr="00760E35">
        <w:rPr>
          <w:rStyle w:val="Strong"/>
          <w:b/>
        </w:rPr>
        <w:t>Agreements</w:t>
      </w:r>
      <w:bookmarkEnd w:id="10"/>
    </w:p>
    <w:p w:rsidR="00DC3A20" w:rsidRPr="00A3558C" w:rsidRDefault="00DC3A20" w:rsidP="00DC3A20">
      <w:pPr>
        <w:spacing w:after="120"/>
        <w:ind w:left="360"/>
        <w:rPr>
          <w:rStyle w:val="Strong"/>
        </w:rPr>
      </w:pPr>
      <w:r w:rsidRPr="00A3558C">
        <w:rPr>
          <w:rStyle w:val="Strong"/>
        </w:rPr>
        <w:t>Software And Data Exchange Agreements</w:t>
      </w:r>
      <w:r>
        <w:rPr>
          <w:rStyle w:val="Strong"/>
        </w:rPr>
        <w:t xml:space="preserve"> </w:t>
      </w:r>
      <w:r w:rsidRPr="00935EC8">
        <w:t xml:space="preserve">- Exchanges of in-house software or internal information between </w:t>
      </w:r>
      <w:r w:rsidR="00961256">
        <w:t>CompanyX</w:t>
      </w:r>
      <w:r w:rsidRPr="00935EC8">
        <w:t xml:space="preserve"> and any </w:t>
      </w:r>
      <w:r w:rsidR="00D038C8">
        <w:t>Third-Party</w:t>
      </w:r>
      <w:r w:rsidRPr="00935EC8">
        <w:t xml:space="preserve"> must be accompanied by a written agreement that specifies the terms of the exchange, and the manner in which the software or information is to be handled and protected.</w:t>
      </w:r>
    </w:p>
    <w:p w:rsidR="00DC3A20" w:rsidRPr="00A3558C" w:rsidRDefault="00DC3A20" w:rsidP="00DC3A20">
      <w:pPr>
        <w:spacing w:after="120"/>
        <w:ind w:left="360"/>
        <w:rPr>
          <w:rStyle w:val="Strong"/>
        </w:rPr>
      </w:pPr>
      <w:r w:rsidRPr="00A3558C">
        <w:rPr>
          <w:rStyle w:val="Strong"/>
        </w:rPr>
        <w:t>Third-Party Software Agreements</w:t>
      </w:r>
      <w:r>
        <w:rPr>
          <w:rStyle w:val="Strong"/>
        </w:rPr>
        <w:t xml:space="preserve"> </w:t>
      </w:r>
      <w:r w:rsidRPr="00935EC8">
        <w:t xml:space="preserve">- All software developed by </w:t>
      </w:r>
      <w:r w:rsidR="00961256">
        <w:t>CompanyX</w:t>
      </w:r>
      <w:r w:rsidRPr="00935EC8">
        <w:t xml:space="preserve"> for use by prospects, customers, business </w:t>
      </w:r>
      <w:r w:rsidR="00D46B3D">
        <w:t>Third-Parties</w:t>
      </w:r>
      <w:r w:rsidRPr="00935EC8">
        <w:t xml:space="preserve">, and others, must be distributed only after the recipients have signed an agreement stating they will not disassemble, reverse engineer, modify, or otherwise use the programs except as agreed with </w:t>
      </w:r>
      <w:r w:rsidR="00961256">
        <w:t>CompanyX</w:t>
      </w:r>
      <w:r w:rsidRPr="00935EC8">
        <w:t>.</w:t>
      </w:r>
    </w:p>
    <w:p w:rsidR="00DC3A20" w:rsidRPr="00A3558C" w:rsidRDefault="00DC3A20" w:rsidP="00DC3A20">
      <w:pPr>
        <w:spacing w:after="120"/>
        <w:ind w:left="360"/>
        <w:rPr>
          <w:rStyle w:val="Strong"/>
        </w:rPr>
      </w:pPr>
      <w:r w:rsidRPr="00A3558C">
        <w:rPr>
          <w:rStyle w:val="Strong"/>
        </w:rPr>
        <w:t>Online Contracts By Exchange Of Paper And Signatures</w:t>
      </w:r>
      <w:r>
        <w:rPr>
          <w:rStyle w:val="Strong"/>
        </w:rPr>
        <w:t xml:space="preserve"> </w:t>
      </w:r>
      <w:r w:rsidRPr="00935EC8">
        <w:t xml:space="preserve">- Whenever </w:t>
      </w:r>
      <w:r w:rsidR="00D038C8">
        <w:t>Third-Parties</w:t>
      </w:r>
      <w:r w:rsidRPr="00935EC8">
        <w:t xml:space="preserve"> accept an online offer made by </w:t>
      </w:r>
      <w:r w:rsidR="00961256">
        <w:t>CompanyX</w:t>
      </w:r>
      <w:r w:rsidRPr="00935EC8">
        <w:t>, they must provide paper-based, hand-rendered signatures by regular mail or courier.</w:t>
      </w:r>
    </w:p>
    <w:p w:rsidR="00DC3A20" w:rsidRPr="00A3558C" w:rsidRDefault="00DC3A20" w:rsidP="00DC3A20">
      <w:pPr>
        <w:spacing w:after="120"/>
        <w:ind w:left="360"/>
        <w:rPr>
          <w:rStyle w:val="Strong"/>
        </w:rPr>
      </w:pPr>
      <w:r w:rsidRPr="00A3558C">
        <w:rPr>
          <w:rStyle w:val="Strong"/>
        </w:rPr>
        <w:t>Identity Validation Of External Parties</w:t>
      </w:r>
      <w:r>
        <w:rPr>
          <w:rStyle w:val="Strong"/>
        </w:rPr>
        <w:t xml:space="preserve"> </w:t>
      </w:r>
      <w:r w:rsidRPr="00935EC8">
        <w:t xml:space="preserve">- Before workers release any internal </w:t>
      </w:r>
      <w:r w:rsidR="00961256">
        <w:t>CompanyX</w:t>
      </w:r>
      <w:r w:rsidRPr="00935EC8">
        <w:t xml:space="preserve"> information, enter into any contracts, or order any products through public networks, the identity of the individuals and organizations contacted must be confirmed through digital certificates, letters of credit, </w:t>
      </w:r>
      <w:r w:rsidR="00D038C8">
        <w:t>Third-Party</w:t>
      </w:r>
      <w:r w:rsidRPr="00935EC8">
        <w:t xml:space="preserve"> references, or telephone conversations.</w:t>
      </w:r>
    </w:p>
    <w:p w:rsidR="00DC3A20" w:rsidRPr="00760E35" w:rsidRDefault="0050303A" w:rsidP="000037EE">
      <w:pPr>
        <w:pStyle w:val="Heading3"/>
        <w:rPr>
          <w:rStyle w:val="Strong"/>
          <w:b/>
        </w:rPr>
      </w:pPr>
      <w:bookmarkStart w:id="11" w:name="_Toc3879577"/>
      <w:r w:rsidRPr="00760E35">
        <w:rPr>
          <w:rStyle w:val="Strong"/>
          <w:b/>
        </w:rPr>
        <w:t xml:space="preserve">Physical </w:t>
      </w:r>
      <w:r w:rsidR="00DC3A20" w:rsidRPr="00760E35">
        <w:rPr>
          <w:rStyle w:val="Strong"/>
          <w:b/>
        </w:rPr>
        <w:t>Transit Controls</w:t>
      </w:r>
      <w:bookmarkEnd w:id="11"/>
    </w:p>
    <w:p w:rsidR="00DC3A20" w:rsidRPr="00A3558C" w:rsidRDefault="00DC3A20" w:rsidP="00DC3A20">
      <w:pPr>
        <w:spacing w:after="120"/>
        <w:ind w:left="360"/>
        <w:rPr>
          <w:rStyle w:val="Strong"/>
        </w:rPr>
      </w:pPr>
      <w:r w:rsidRPr="00A3558C">
        <w:rPr>
          <w:rStyle w:val="Strong"/>
        </w:rPr>
        <w:lastRenderedPageBreak/>
        <w:t>Delivering Sensitive Computer Output</w:t>
      </w:r>
      <w:r>
        <w:rPr>
          <w:rStyle w:val="Strong"/>
        </w:rPr>
        <w:t xml:space="preserve"> </w:t>
      </w:r>
      <w:r w:rsidRPr="00935EC8">
        <w:t xml:space="preserve">- </w:t>
      </w:r>
      <w:r>
        <w:t>Confidential</w:t>
      </w:r>
      <w:r w:rsidRPr="00935EC8">
        <w:t xml:space="preserve"> </w:t>
      </w:r>
      <w:r w:rsidR="00D46B3D">
        <w:t>Information system</w:t>
      </w:r>
      <w:r w:rsidRPr="00935EC8">
        <w:t xml:space="preserve"> hardcopy output must be personally delivered to the designated recipients and never delivered to an unattended </w:t>
      </w:r>
      <w:r w:rsidR="00452F88" w:rsidRPr="00935EC8">
        <w:t>desk or</w:t>
      </w:r>
      <w:r w:rsidRPr="00935EC8">
        <w:t xml:space="preserve"> left out in the open in an unoccupied office.</w:t>
      </w:r>
    </w:p>
    <w:p w:rsidR="00DC3A20" w:rsidRPr="00A3558C" w:rsidRDefault="00DC3A20" w:rsidP="00DC3A20">
      <w:pPr>
        <w:spacing w:after="120"/>
        <w:ind w:left="360"/>
        <w:rPr>
          <w:rStyle w:val="Strong"/>
        </w:rPr>
      </w:pPr>
      <w:r w:rsidRPr="00A3558C">
        <w:rPr>
          <w:rStyle w:val="Strong"/>
        </w:rPr>
        <w:t>Using Couriers</w:t>
      </w:r>
      <w:r>
        <w:rPr>
          <w:rStyle w:val="Strong"/>
        </w:rPr>
        <w:t xml:space="preserve"> </w:t>
      </w:r>
      <w:r w:rsidRPr="00935EC8">
        <w:t xml:space="preserve">- Private, Confidential, or </w:t>
      </w:r>
      <w:r w:rsidR="00D53A22">
        <w:t>Confidential</w:t>
      </w:r>
      <w:r w:rsidRPr="00935EC8">
        <w:t xml:space="preserve"> information in hardcopy form that is sent through commercial courier must always be tracked with a weigh bill number and must always be marked recipient “signature required.”</w:t>
      </w:r>
    </w:p>
    <w:p w:rsidR="00DC3A20" w:rsidRDefault="00DC3A20" w:rsidP="00DC3A20">
      <w:pPr>
        <w:spacing w:after="120"/>
        <w:ind w:left="360"/>
      </w:pPr>
      <w:r w:rsidRPr="00A3558C">
        <w:rPr>
          <w:rStyle w:val="Strong"/>
        </w:rPr>
        <w:t xml:space="preserve">Sending </w:t>
      </w:r>
      <w:r w:rsidR="0050303A" w:rsidRPr="00A3558C">
        <w:rPr>
          <w:rStyle w:val="Strong"/>
        </w:rPr>
        <w:t xml:space="preserve">Confidential </w:t>
      </w:r>
      <w:r w:rsidRPr="00A3558C">
        <w:rPr>
          <w:rStyle w:val="Strong"/>
        </w:rPr>
        <w:t>Information</w:t>
      </w:r>
      <w:r>
        <w:rPr>
          <w:rStyle w:val="Strong"/>
        </w:rPr>
        <w:t xml:space="preserve"> </w:t>
      </w:r>
      <w:r w:rsidR="0050303A">
        <w:rPr>
          <w:rStyle w:val="Strong"/>
        </w:rPr>
        <w:t>– Mail Packaging</w:t>
      </w:r>
      <w:r>
        <w:rPr>
          <w:rStyle w:val="Strong"/>
        </w:rPr>
        <w:t xml:space="preserve"> </w:t>
      </w:r>
      <w:r w:rsidRPr="00935EC8">
        <w:t>- If private</w:t>
      </w:r>
      <w:r>
        <w:t xml:space="preserve"> or confidential</w:t>
      </w:r>
      <w:r w:rsidRPr="00935EC8">
        <w:t xml:space="preserve"> information is sent through internal mail, external mail, or by courier, it must be enclosed in two envelopes or containers with the outside envelope or container providing no indication of the sensitivity of the information contained therein and the inside sealed and opaque envelope or container labeled “Private,” “Confidential,” or “</w:t>
      </w:r>
      <w:r w:rsidR="00D53A22">
        <w:t>Confidential</w:t>
      </w:r>
      <w:r w:rsidRPr="00935EC8">
        <w:t>.”</w:t>
      </w:r>
    </w:p>
    <w:p w:rsidR="0050303A" w:rsidRDefault="0050303A" w:rsidP="0050303A">
      <w:pPr>
        <w:spacing w:after="120"/>
        <w:ind w:left="360"/>
      </w:pPr>
      <w:r>
        <w:rPr>
          <w:rStyle w:val="Strong"/>
        </w:rPr>
        <w:t>Sending Confidential</w:t>
      </w:r>
      <w:r w:rsidRPr="00A3558C">
        <w:rPr>
          <w:rStyle w:val="Strong"/>
        </w:rPr>
        <w:t xml:space="preserve"> Information</w:t>
      </w:r>
      <w:r>
        <w:rPr>
          <w:rStyle w:val="Strong"/>
        </w:rPr>
        <w:t xml:space="preserve"> - Packaging </w:t>
      </w:r>
      <w:r w:rsidRPr="00935EC8">
        <w:t xml:space="preserve">- </w:t>
      </w:r>
      <w:r>
        <w:t>Confidential</w:t>
      </w:r>
      <w:r w:rsidRPr="00935EC8">
        <w:t xml:space="preserve"> information must be shipped or sent through internal or external mails in a sealed opaque envelope marked “To Be Opened By Addressee Only,” which is enclosed in a plain outer envelope that does not indicate the sensitivity of the contents.</w:t>
      </w:r>
    </w:p>
    <w:p w:rsidR="00DC3A20" w:rsidRDefault="0050303A" w:rsidP="00DC3A20">
      <w:pPr>
        <w:spacing w:after="120"/>
        <w:ind w:left="360"/>
      </w:pPr>
      <w:r>
        <w:rPr>
          <w:rStyle w:val="Strong"/>
        </w:rPr>
        <w:t xml:space="preserve">Sending </w:t>
      </w:r>
      <w:r w:rsidR="00DC3A20" w:rsidRPr="00A3558C">
        <w:rPr>
          <w:rStyle w:val="Strong"/>
        </w:rPr>
        <w:t>Confidential Information</w:t>
      </w:r>
      <w:r w:rsidR="00DC3A20">
        <w:rPr>
          <w:rStyle w:val="Strong"/>
        </w:rPr>
        <w:t xml:space="preserve"> </w:t>
      </w:r>
      <w:r>
        <w:rPr>
          <w:rStyle w:val="Strong"/>
        </w:rPr>
        <w:t xml:space="preserve">– Transport </w:t>
      </w:r>
      <w:r w:rsidR="00DC3A20" w:rsidRPr="00935EC8">
        <w:t>- Private and confidential information must be shipped or sent through internal or external mails in a sealed opaque envelope marked “To Be Opened By Addressee Only.”</w:t>
      </w:r>
    </w:p>
    <w:p w:rsidR="0050303A" w:rsidRPr="0050303A" w:rsidRDefault="0050303A" w:rsidP="0050303A">
      <w:pPr>
        <w:spacing w:after="120"/>
        <w:ind w:left="360"/>
      </w:pPr>
      <w:r>
        <w:rPr>
          <w:rStyle w:val="Strong"/>
        </w:rPr>
        <w:t>Sending</w:t>
      </w:r>
      <w:r w:rsidRPr="00A3558C">
        <w:rPr>
          <w:rStyle w:val="Strong"/>
        </w:rPr>
        <w:t xml:space="preserve"> </w:t>
      </w:r>
      <w:r>
        <w:rPr>
          <w:rStyle w:val="Strong"/>
        </w:rPr>
        <w:t>Confidential</w:t>
      </w:r>
      <w:r w:rsidRPr="00A3558C">
        <w:rPr>
          <w:rStyle w:val="Strong"/>
        </w:rPr>
        <w:t xml:space="preserve"> Hardcopy Information</w:t>
      </w:r>
      <w:r>
        <w:rPr>
          <w:rStyle w:val="Strong"/>
        </w:rPr>
        <w:t xml:space="preserve"> </w:t>
      </w:r>
      <w:r w:rsidRPr="00935EC8">
        <w:t xml:space="preserve">- </w:t>
      </w:r>
      <w:r>
        <w:t>Confidential</w:t>
      </w:r>
      <w:r w:rsidRPr="00935EC8">
        <w:t xml:space="preserve"> information in hardcopy form must be sent by trusted courier or registered mail.</w:t>
      </w:r>
    </w:p>
    <w:p w:rsidR="00DC3A20" w:rsidRPr="00760E35" w:rsidRDefault="00D53A22" w:rsidP="000037EE">
      <w:pPr>
        <w:pStyle w:val="Heading3"/>
        <w:rPr>
          <w:b w:val="0"/>
        </w:rPr>
      </w:pPr>
      <w:bookmarkStart w:id="12" w:name="_Toc3879578"/>
      <w:r w:rsidRPr="00760E35">
        <w:rPr>
          <w:rStyle w:val="Strong"/>
          <w:b/>
        </w:rPr>
        <w:t>Confidential</w:t>
      </w:r>
      <w:r w:rsidR="00DC3A20" w:rsidRPr="00760E35">
        <w:rPr>
          <w:rStyle w:val="Strong"/>
          <w:b/>
        </w:rPr>
        <w:t xml:space="preserve"> Information</w:t>
      </w:r>
      <w:r w:rsidR="0050303A" w:rsidRPr="00760E35">
        <w:rPr>
          <w:rStyle w:val="Strong"/>
          <w:b/>
        </w:rPr>
        <w:t xml:space="preserve"> Removal</w:t>
      </w:r>
      <w:bookmarkEnd w:id="12"/>
    </w:p>
    <w:p w:rsidR="0050303A" w:rsidRDefault="0050303A" w:rsidP="0050303A">
      <w:pPr>
        <w:spacing w:after="120"/>
        <w:ind w:left="360"/>
      </w:pPr>
      <w:r>
        <w:rPr>
          <w:rStyle w:val="Strong"/>
        </w:rPr>
        <w:t>Confidential</w:t>
      </w:r>
      <w:r w:rsidRPr="00A3558C">
        <w:rPr>
          <w:rStyle w:val="Strong"/>
        </w:rPr>
        <w:t xml:space="preserve"> Information Leaving Offices</w:t>
      </w:r>
      <w:r>
        <w:rPr>
          <w:rStyle w:val="Strong"/>
        </w:rPr>
        <w:t xml:space="preserve"> </w:t>
      </w:r>
      <w:r w:rsidRPr="00935EC8">
        <w:t xml:space="preserve">- </w:t>
      </w:r>
      <w:r>
        <w:t>Confidential</w:t>
      </w:r>
      <w:r w:rsidRPr="00935EC8">
        <w:t xml:space="preserve"> </w:t>
      </w:r>
      <w:r w:rsidR="00961256">
        <w:t>CompanyX</w:t>
      </w:r>
      <w:r w:rsidRPr="00935EC8">
        <w:t xml:space="preserve"> information, no matter what form it happens to take, must not leave </w:t>
      </w:r>
      <w:r w:rsidR="00961256">
        <w:t>CompanyX</w:t>
      </w:r>
      <w:r w:rsidRPr="00935EC8">
        <w:t xml:space="preserve"> offices unless the approval of the Information Security Manager has first been obtained.</w:t>
      </w:r>
    </w:p>
    <w:p w:rsidR="0050303A" w:rsidRPr="00A3558C" w:rsidRDefault="0050303A" w:rsidP="0050303A">
      <w:pPr>
        <w:spacing w:after="120"/>
        <w:ind w:left="360"/>
        <w:rPr>
          <w:rStyle w:val="Strong"/>
        </w:rPr>
      </w:pPr>
      <w:r w:rsidRPr="00A3558C">
        <w:rPr>
          <w:rStyle w:val="Strong"/>
        </w:rPr>
        <w:t>Sensitive Information Removal Log</w:t>
      </w:r>
      <w:r>
        <w:rPr>
          <w:rStyle w:val="Strong"/>
        </w:rPr>
        <w:t xml:space="preserve"> </w:t>
      </w:r>
      <w:r w:rsidRPr="00935EC8">
        <w:t xml:space="preserve">- All sensitive information removed from </w:t>
      </w:r>
      <w:r w:rsidR="00961256">
        <w:t>CompanyX</w:t>
      </w:r>
      <w:r w:rsidRPr="00935EC8">
        <w:t xml:space="preserve"> premises must be logged with a record of the date, the information involved, and the persons possessing the information.</w:t>
      </w:r>
    </w:p>
    <w:p w:rsidR="00DC3A20" w:rsidRPr="00A3558C" w:rsidRDefault="00DC3A20" w:rsidP="00DC3A20">
      <w:pPr>
        <w:spacing w:after="120"/>
        <w:ind w:left="360"/>
        <w:rPr>
          <w:rStyle w:val="Strong"/>
        </w:rPr>
      </w:pPr>
      <w:r w:rsidRPr="00A3558C">
        <w:rPr>
          <w:rStyle w:val="Strong"/>
        </w:rPr>
        <w:t xml:space="preserve">Delivery Of </w:t>
      </w:r>
      <w:r w:rsidR="00D53A22">
        <w:rPr>
          <w:rStyle w:val="Strong"/>
        </w:rPr>
        <w:t>Confidential</w:t>
      </w:r>
      <w:r w:rsidRPr="00A3558C">
        <w:rPr>
          <w:rStyle w:val="Strong"/>
        </w:rPr>
        <w:t xml:space="preserve"> Information</w:t>
      </w:r>
      <w:r>
        <w:rPr>
          <w:rStyle w:val="Strong"/>
        </w:rPr>
        <w:t xml:space="preserve"> </w:t>
      </w:r>
      <w:r w:rsidRPr="00935EC8">
        <w:t xml:space="preserve">- All deliveries of </w:t>
      </w:r>
      <w:r w:rsidR="00D53A22">
        <w:t>confidential</w:t>
      </w:r>
      <w:r w:rsidRPr="00935EC8">
        <w:t xml:space="preserve"> information must be conducted such that the recipient formally acknowledges that the information has been received.</w:t>
      </w:r>
    </w:p>
    <w:p w:rsidR="0050303A" w:rsidRPr="00760E35" w:rsidRDefault="0050303A" w:rsidP="000037EE">
      <w:pPr>
        <w:pStyle w:val="Heading3"/>
        <w:rPr>
          <w:b w:val="0"/>
        </w:rPr>
      </w:pPr>
      <w:bookmarkStart w:id="13" w:name="_Toc3879579"/>
      <w:r w:rsidRPr="00760E35">
        <w:rPr>
          <w:rStyle w:val="Strong"/>
          <w:b/>
        </w:rPr>
        <w:t>Electronic Transmission</w:t>
      </w:r>
      <w:bookmarkEnd w:id="13"/>
    </w:p>
    <w:p w:rsidR="0050303A" w:rsidRPr="00A3558C" w:rsidRDefault="0050303A" w:rsidP="0050303A">
      <w:pPr>
        <w:spacing w:after="120"/>
        <w:ind w:left="360"/>
        <w:rPr>
          <w:rStyle w:val="Strong"/>
        </w:rPr>
      </w:pPr>
      <w:r>
        <w:rPr>
          <w:rStyle w:val="Strong"/>
        </w:rPr>
        <w:t>Transferring</w:t>
      </w:r>
      <w:r w:rsidRPr="00A3558C">
        <w:rPr>
          <w:rStyle w:val="Strong"/>
        </w:rPr>
        <w:t xml:space="preserve"> Sensitive Information</w:t>
      </w:r>
      <w:r>
        <w:rPr>
          <w:rStyle w:val="Strong"/>
        </w:rPr>
        <w:t xml:space="preserve"> </w:t>
      </w:r>
      <w:r w:rsidRPr="00935EC8">
        <w:t xml:space="preserve">- Before any </w:t>
      </w:r>
      <w:r w:rsidR="00961256">
        <w:t>CompanyX</w:t>
      </w:r>
      <w:r w:rsidRPr="00935EC8">
        <w:t xml:space="preserve"> </w:t>
      </w:r>
      <w:r>
        <w:t>C</w:t>
      </w:r>
      <w:r w:rsidRPr="00935EC8">
        <w:t>onfidential or private information may be transferred from one computer to another, the worker making the transfer must ensure that access controls on the destination computer are commensurate with access controls on the originating computer.</w:t>
      </w:r>
    </w:p>
    <w:p w:rsidR="00DC3A20" w:rsidRPr="00A3558C" w:rsidRDefault="00DC3A20" w:rsidP="00DC3A20">
      <w:pPr>
        <w:spacing w:after="120"/>
        <w:ind w:left="360"/>
        <w:rPr>
          <w:rStyle w:val="Strong"/>
        </w:rPr>
      </w:pPr>
      <w:r w:rsidRPr="00A3558C">
        <w:rPr>
          <w:rStyle w:val="Strong"/>
        </w:rPr>
        <w:t xml:space="preserve">Wireless Transmissions Of </w:t>
      </w:r>
      <w:r w:rsidR="00D53A22">
        <w:rPr>
          <w:rStyle w:val="Strong"/>
        </w:rPr>
        <w:t>Confidential</w:t>
      </w:r>
      <w:r w:rsidRPr="00A3558C">
        <w:rPr>
          <w:rStyle w:val="Strong"/>
        </w:rPr>
        <w:t xml:space="preserve"> Information</w:t>
      </w:r>
      <w:r>
        <w:rPr>
          <w:rStyle w:val="Strong"/>
        </w:rPr>
        <w:t xml:space="preserve"> </w:t>
      </w:r>
      <w:r w:rsidRPr="00935EC8">
        <w:t xml:space="preserve">- Wireless technology must never be used for the transmission of unencrypted </w:t>
      </w:r>
      <w:r w:rsidR="00D53A22">
        <w:t>confidential</w:t>
      </w:r>
      <w:r w:rsidRPr="00935EC8">
        <w:t xml:space="preserve"> information.</w:t>
      </w:r>
    </w:p>
    <w:p w:rsidR="00DC3A20" w:rsidRDefault="00DC3A20" w:rsidP="00DC3A20">
      <w:pPr>
        <w:spacing w:after="120"/>
        <w:ind w:left="360"/>
      </w:pPr>
      <w:r w:rsidRPr="00A3558C">
        <w:rPr>
          <w:rStyle w:val="Strong"/>
        </w:rPr>
        <w:lastRenderedPageBreak/>
        <w:t xml:space="preserve">Third-Party Delivery Of </w:t>
      </w:r>
      <w:r w:rsidR="00D53A22">
        <w:rPr>
          <w:rStyle w:val="Strong"/>
        </w:rPr>
        <w:t>Confidential</w:t>
      </w:r>
      <w:r w:rsidRPr="00A3558C">
        <w:rPr>
          <w:rStyle w:val="Strong"/>
        </w:rPr>
        <w:t xml:space="preserve"> Information</w:t>
      </w:r>
      <w:r>
        <w:rPr>
          <w:rStyle w:val="Strong"/>
        </w:rPr>
        <w:t xml:space="preserve"> </w:t>
      </w:r>
      <w:r w:rsidRPr="00935EC8">
        <w:t xml:space="preserve">- Unencrypted </w:t>
      </w:r>
      <w:r w:rsidR="00D53A22">
        <w:t>confidential</w:t>
      </w:r>
      <w:r w:rsidRPr="00935EC8">
        <w:t xml:space="preserve"> information must not be sent through any </w:t>
      </w:r>
      <w:r w:rsidR="00D038C8">
        <w:t>Third-Parties</w:t>
      </w:r>
      <w:r w:rsidR="0050303A">
        <w:t xml:space="preserve"> including, </w:t>
      </w:r>
      <w:r w:rsidRPr="00935EC8">
        <w:t>but not limited to, couriers, postal services, telephone companies, and Internet service providers.</w:t>
      </w:r>
    </w:p>
    <w:p w:rsidR="00DC3A20" w:rsidRDefault="00DC3A20" w:rsidP="00DC3A20">
      <w:pPr>
        <w:spacing w:after="120"/>
        <w:ind w:left="360"/>
      </w:pPr>
      <w:r w:rsidRPr="00A3558C">
        <w:rPr>
          <w:rStyle w:val="Strong"/>
        </w:rPr>
        <w:t>Public Network Data Transmission</w:t>
      </w:r>
      <w:r>
        <w:rPr>
          <w:rStyle w:val="Strong"/>
        </w:rPr>
        <w:t xml:space="preserve"> </w:t>
      </w:r>
      <w:r w:rsidRPr="00935EC8">
        <w:t xml:space="preserve">- Strong cryptography and security protocols such as SSL/TLS or IPSEC must be implemented to safeguard confidential </w:t>
      </w:r>
      <w:r w:rsidR="00961256">
        <w:t>CompanyX</w:t>
      </w:r>
      <w:r>
        <w:t xml:space="preserve"> information </w:t>
      </w:r>
      <w:r w:rsidRPr="00935EC8">
        <w:t>during transmission over open, public networks.</w:t>
      </w:r>
    </w:p>
    <w:p w:rsidR="00D53A22" w:rsidRDefault="00D53A22" w:rsidP="00D53A22">
      <w:pPr>
        <w:spacing w:after="120"/>
        <w:ind w:left="360"/>
      </w:pPr>
      <w:r>
        <w:rPr>
          <w:rStyle w:val="Strong"/>
        </w:rPr>
        <w:t>Confidential</w:t>
      </w:r>
      <w:r w:rsidRPr="00AC511C">
        <w:rPr>
          <w:rStyle w:val="Strong"/>
        </w:rPr>
        <w:t xml:space="preserve"> Data </w:t>
      </w:r>
      <w:r>
        <w:rPr>
          <w:rStyle w:val="Strong"/>
        </w:rPr>
        <w:t xml:space="preserve">Electronic </w:t>
      </w:r>
      <w:r w:rsidRPr="00AC511C">
        <w:rPr>
          <w:rStyle w:val="Strong"/>
        </w:rPr>
        <w:t>Trans</w:t>
      </w:r>
      <w:r>
        <w:rPr>
          <w:rStyle w:val="Strong"/>
        </w:rPr>
        <w:t xml:space="preserve">mission </w:t>
      </w:r>
      <w:r w:rsidRPr="00E5158E">
        <w:t xml:space="preserve">- All </w:t>
      </w:r>
      <w:r w:rsidR="00961256">
        <w:t>CompanyX</w:t>
      </w:r>
      <w:r w:rsidRPr="00E5158E">
        <w:t xml:space="preserve"> </w:t>
      </w:r>
      <w:r>
        <w:t>confidential</w:t>
      </w:r>
      <w:r w:rsidRPr="00E5158E">
        <w:t xml:space="preserve"> data transmitted over any communication network must be encrypted.</w:t>
      </w:r>
    </w:p>
    <w:p w:rsidR="00D53A22" w:rsidRDefault="00D53A22" w:rsidP="00D53A22">
      <w:pPr>
        <w:spacing w:after="120"/>
        <w:ind w:left="360"/>
      </w:pPr>
      <w:r>
        <w:rPr>
          <w:rStyle w:val="Strong"/>
        </w:rPr>
        <w:t xml:space="preserve">Confidential Information Encryption </w:t>
      </w:r>
      <w:r w:rsidRPr="00E5158E">
        <w:t xml:space="preserve">- All computerized </w:t>
      </w:r>
      <w:r>
        <w:t>confidential</w:t>
      </w:r>
      <w:r w:rsidRPr="00E5158E">
        <w:t xml:space="preserve"> information must be encrypted, with tools approved by the </w:t>
      </w:r>
      <w:r w:rsidR="00D46B3D">
        <w:t>Information Security Department</w:t>
      </w:r>
      <w:r w:rsidRPr="00E5158E">
        <w:t>, when not in active use for authorized business purposes.</w:t>
      </w:r>
    </w:p>
    <w:p w:rsidR="004A3D03" w:rsidRPr="00760E35" w:rsidRDefault="004A3D03" w:rsidP="000037EE">
      <w:pPr>
        <w:pStyle w:val="Heading3"/>
        <w:rPr>
          <w:b w:val="0"/>
        </w:rPr>
      </w:pPr>
      <w:bookmarkStart w:id="14" w:name="_Toc3879580"/>
      <w:r w:rsidRPr="00760E35">
        <w:rPr>
          <w:rStyle w:val="Strong"/>
          <w:b/>
        </w:rPr>
        <w:t>Electronic Mail</w:t>
      </w:r>
      <w:bookmarkEnd w:id="14"/>
    </w:p>
    <w:p w:rsidR="0050303A" w:rsidRPr="0045344B" w:rsidRDefault="0050303A" w:rsidP="0050303A">
      <w:pPr>
        <w:spacing w:after="120"/>
        <w:ind w:left="360"/>
        <w:rPr>
          <w:b/>
          <w:bCs/>
        </w:rPr>
      </w:pPr>
      <w:r>
        <w:rPr>
          <w:rStyle w:val="Strong"/>
        </w:rPr>
        <w:t xml:space="preserve">Electronic Mail Encryption </w:t>
      </w:r>
      <w:r w:rsidRPr="00E5158E">
        <w:t>- All sensitive information including, but not lim</w:t>
      </w:r>
      <w:r>
        <w:t>ited to electronic health information (EPHI)</w:t>
      </w:r>
      <w:r w:rsidRPr="00E5158E">
        <w:t xml:space="preserve"> must be encrypted when transmitted through electronic mail.</w:t>
      </w:r>
    </w:p>
    <w:p w:rsidR="0050303A" w:rsidRPr="008A3C0A" w:rsidRDefault="0050303A" w:rsidP="0050303A">
      <w:pPr>
        <w:spacing w:after="120"/>
        <w:ind w:left="360"/>
        <w:rPr>
          <w:rStyle w:val="Strong"/>
        </w:rPr>
      </w:pPr>
      <w:r w:rsidRPr="008A3C0A">
        <w:rPr>
          <w:rStyle w:val="Strong"/>
        </w:rPr>
        <w:t>Electronic Mail</w:t>
      </w:r>
      <w:r>
        <w:rPr>
          <w:rStyle w:val="Strong"/>
        </w:rPr>
        <w:t xml:space="preserve"> Approval </w:t>
      </w:r>
      <w:r w:rsidRPr="00935EC8">
        <w:t xml:space="preserve">- Unencrypted </w:t>
      </w:r>
      <w:r>
        <w:t>sensitive or confidential</w:t>
      </w:r>
      <w:r w:rsidRPr="00935EC8">
        <w:t xml:space="preserve"> information must not be sent by electronic mail unless a vice president specifically authorizes each occurrence.</w:t>
      </w:r>
    </w:p>
    <w:p w:rsidR="00D53A22" w:rsidRPr="00A3558C" w:rsidRDefault="0050303A" w:rsidP="004A3D03">
      <w:pPr>
        <w:spacing w:after="120"/>
        <w:ind w:left="360"/>
        <w:rPr>
          <w:rStyle w:val="Strong"/>
        </w:rPr>
      </w:pPr>
      <w:r w:rsidRPr="008A3C0A">
        <w:rPr>
          <w:rStyle w:val="Strong"/>
        </w:rPr>
        <w:t>Electronic Mail Addresses</w:t>
      </w:r>
      <w:r>
        <w:rPr>
          <w:rStyle w:val="Strong"/>
        </w:rPr>
        <w:t xml:space="preserve"> </w:t>
      </w:r>
      <w:r w:rsidRPr="00935EC8">
        <w:t xml:space="preserve">- Workers must not employ any electronic mail addresses other than official </w:t>
      </w:r>
      <w:r w:rsidR="00961256">
        <w:t>CompanyX</w:t>
      </w:r>
      <w:r w:rsidRPr="00935EC8">
        <w:t xml:space="preserve"> electronic mail addresses for all company business matters.</w:t>
      </w:r>
    </w:p>
    <w:p w:rsidR="00DC3A20" w:rsidRPr="00760E35" w:rsidRDefault="00D53A22" w:rsidP="000037EE">
      <w:pPr>
        <w:pStyle w:val="Heading3"/>
        <w:rPr>
          <w:rStyle w:val="Strong"/>
          <w:b/>
        </w:rPr>
      </w:pPr>
      <w:bookmarkStart w:id="15" w:name="_Toc3879581"/>
      <w:r w:rsidRPr="00760E35">
        <w:rPr>
          <w:rStyle w:val="Strong"/>
          <w:b/>
        </w:rPr>
        <w:t>Travel Considerations</w:t>
      </w:r>
      <w:bookmarkEnd w:id="15"/>
    </w:p>
    <w:p w:rsidR="00D53A22" w:rsidRDefault="00D53A22" w:rsidP="00D53A22">
      <w:pPr>
        <w:spacing w:after="120"/>
        <w:ind w:left="360"/>
        <w:rPr>
          <w:rStyle w:val="Strong"/>
        </w:rPr>
      </w:pPr>
      <w:r w:rsidRPr="00A3558C">
        <w:rPr>
          <w:rStyle w:val="Strong"/>
        </w:rPr>
        <w:t>International Travel - Special Travel Laptops Required</w:t>
      </w:r>
      <w:r>
        <w:rPr>
          <w:rStyle w:val="Strong"/>
        </w:rPr>
        <w:t xml:space="preserve"> </w:t>
      </w:r>
      <w:r w:rsidRPr="00935EC8">
        <w:t xml:space="preserve">- All </w:t>
      </w:r>
      <w:r w:rsidR="00961256">
        <w:t>CompanyX</w:t>
      </w:r>
      <w:r w:rsidRPr="00935EC8">
        <w:t xml:space="preserve"> employees traveling with </w:t>
      </w:r>
      <w:r>
        <w:t>Confidential</w:t>
      </w:r>
      <w:r w:rsidRPr="00935EC8">
        <w:t xml:space="preserve"> information must only use special “travel” laptops issued by the Information Technology </w:t>
      </w:r>
      <w:r w:rsidR="00D46B3D">
        <w:t>D</w:t>
      </w:r>
      <w:r w:rsidRPr="00935EC8">
        <w:t>epartment.  These special devices are stripped of all non-essential information and must employ both full-disk encryption and two-factor authentication.</w:t>
      </w:r>
    </w:p>
    <w:p w:rsidR="00DC3A20" w:rsidRDefault="00DC3A20" w:rsidP="00DC3A20">
      <w:pPr>
        <w:spacing w:after="120"/>
        <w:ind w:left="360"/>
      </w:pPr>
      <w:r w:rsidRPr="00A3558C">
        <w:rPr>
          <w:rStyle w:val="Strong"/>
        </w:rPr>
        <w:t xml:space="preserve">Traveling With </w:t>
      </w:r>
      <w:r w:rsidR="00D53A22">
        <w:rPr>
          <w:rStyle w:val="Strong"/>
        </w:rPr>
        <w:t>Confidential</w:t>
      </w:r>
      <w:r w:rsidRPr="00A3558C">
        <w:rPr>
          <w:rStyle w:val="Strong"/>
        </w:rPr>
        <w:t xml:space="preserve"> Information</w:t>
      </w:r>
      <w:r>
        <w:rPr>
          <w:rStyle w:val="Strong"/>
        </w:rPr>
        <w:t xml:space="preserve"> </w:t>
      </w:r>
      <w:r w:rsidRPr="00935EC8">
        <w:t xml:space="preserve">- Workers must not travel on public transportation when in the possession of </w:t>
      </w:r>
      <w:r w:rsidR="00D53A22">
        <w:t>confidential</w:t>
      </w:r>
      <w:r w:rsidRPr="00935EC8">
        <w:t xml:space="preserve"> </w:t>
      </w:r>
      <w:r w:rsidR="00961256">
        <w:t>CompanyX</w:t>
      </w:r>
      <w:r w:rsidRPr="00935EC8">
        <w:t xml:space="preserve"> information unless specific management approval has been obtained.</w:t>
      </w:r>
    </w:p>
    <w:p w:rsidR="00DC3A20" w:rsidRPr="00A3558C" w:rsidRDefault="00DC3A20" w:rsidP="00DC3A20">
      <w:pPr>
        <w:spacing w:after="120"/>
        <w:ind w:left="360"/>
        <w:rPr>
          <w:rStyle w:val="Strong"/>
        </w:rPr>
      </w:pPr>
      <w:r w:rsidRPr="00A3558C">
        <w:rPr>
          <w:rStyle w:val="Strong"/>
        </w:rPr>
        <w:t xml:space="preserve">International Transport Of </w:t>
      </w:r>
      <w:r w:rsidR="00D53A22">
        <w:rPr>
          <w:rStyle w:val="Strong"/>
        </w:rPr>
        <w:t>Confidential</w:t>
      </w:r>
      <w:r w:rsidRPr="00A3558C">
        <w:rPr>
          <w:rStyle w:val="Strong"/>
        </w:rPr>
        <w:t xml:space="preserve"> Information — Security</w:t>
      </w:r>
      <w:r>
        <w:rPr>
          <w:rStyle w:val="Strong"/>
        </w:rPr>
        <w:t xml:space="preserve"> </w:t>
      </w:r>
      <w:r w:rsidRPr="00935EC8">
        <w:t xml:space="preserve">- Whenever </w:t>
      </w:r>
      <w:r w:rsidR="00D53A22">
        <w:t>confidential</w:t>
      </w:r>
      <w:r w:rsidRPr="00935EC8">
        <w:t xml:space="preserve"> information is carried by a </w:t>
      </w:r>
      <w:r w:rsidR="00961256">
        <w:t>CompanyX</w:t>
      </w:r>
      <w:r w:rsidRPr="00935EC8">
        <w:t xml:space="preserve"> worker into a foreign country, the information must either be stored in some inaccessible form or must remain in the worker’s possession at all times.</w:t>
      </w:r>
    </w:p>
    <w:p w:rsidR="00DC3A20" w:rsidRPr="00904683" w:rsidRDefault="00DC3A20" w:rsidP="00DC3A20">
      <w:pPr>
        <w:spacing w:after="120"/>
        <w:ind w:left="360"/>
        <w:rPr>
          <w:b/>
          <w:bCs/>
        </w:rPr>
      </w:pPr>
      <w:r w:rsidRPr="00A3558C">
        <w:rPr>
          <w:rStyle w:val="Strong"/>
        </w:rPr>
        <w:t xml:space="preserve">International Transport Of </w:t>
      </w:r>
      <w:r w:rsidR="00D53A22">
        <w:rPr>
          <w:rStyle w:val="Strong"/>
        </w:rPr>
        <w:t>Confidential</w:t>
      </w:r>
      <w:r w:rsidRPr="00A3558C">
        <w:rPr>
          <w:rStyle w:val="Strong"/>
        </w:rPr>
        <w:t xml:space="preserve"> Information — Authorization</w:t>
      </w:r>
      <w:r>
        <w:rPr>
          <w:rStyle w:val="Strong"/>
        </w:rPr>
        <w:t xml:space="preserve"> </w:t>
      </w:r>
      <w:r w:rsidRPr="00935EC8">
        <w:t xml:space="preserve">- </w:t>
      </w:r>
      <w:r w:rsidR="00961256">
        <w:t>CompanyX</w:t>
      </w:r>
      <w:r w:rsidRPr="00935EC8">
        <w:t xml:space="preserve"> workers must not take </w:t>
      </w:r>
      <w:r w:rsidR="00D53A22">
        <w:t>confidential</w:t>
      </w:r>
      <w:r w:rsidRPr="00935EC8">
        <w:t xml:space="preserve"> </w:t>
      </w:r>
      <w:r w:rsidR="00961256">
        <w:t>CompanyX</w:t>
      </w:r>
      <w:r w:rsidRPr="00935EC8">
        <w:t xml:space="preserve"> information into another country unless advance permission has been obtained from the Information Security Manager.</w:t>
      </w:r>
    </w:p>
    <w:p w:rsidR="00DC3A20" w:rsidRPr="00760E35" w:rsidRDefault="00DC3A20" w:rsidP="000037EE">
      <w:pPr>
        <w:pStyle w:val="Heading3"/>
        <w:rPr>
          <w:rStyle w:val="Strong"/>
          <w:b/>
        </w:rPr>
      </w:pPr>
      <w:bookmarkStart w:id="16" w:name="_Toc3879582"/>
      <w:r w:rsidRPr="00760E35">
        <w:rPr>
          <w:rStyle w:val="Strong"/>
          <w:b/>
        </w:rPr>
        <w:t>Faxing Information</w:t>
      </w:r>
      <w:bookmarkEnd w:id="16"/>
    </w:p>
    <w:p w:rsidR="00DC3A20" w:rsidRDefault="00DC3A20" w:rsidP="00DC3A20">
      <w:pPr>
        <w:spacing w:after="120"/>
        <w:ind w:left="360"/>
        <w:rPr>
          <w:rStyle w:val="Strong"/>
        </w:rPr>
      </w:pPr>
      <w:r w:rsidRPr="00A3558C">
        <w:rPr>
          <w:rStyle w:val="Strong"/>
        </w:rPr>
        <w:t>Fax Cover Sheet Notice</w:t>
      </w:r>
      <w:r>
        <w:rPr>
          <w:rStyle w:val="Strong"/>
        </w:rPr>
        <w:t xml:space="preserve"> </w:t>
      </w:r>
      <w:r w:rsidRPr="00935EC8">
        <w:t xml:space="preserve">- All outgoing </w:t>
      </w:r>
      <w:r w:rsidR="00961256">
        <w:t>CompanyX</w:t>
      </w:r>
      <w:r w:rsidRPr="00935EC8">
        <w:t xml:space="preserve"> faxes must include a cover sheet that includes wording approved by the Legal Department.</w:t>
      </w:r>
    </w:p>
    <w:p w:rsidR="00DC3A20" w:rsidRPr="00A3558C" w:rsidRDefault="00DC3A20" w:rsidP="00DC3A20">
      <w:pPr>
        <w:spacing w:after="120"/>
        <w:ind w:left="360"/>
        <w:rPr>
          <w:rStyle w:val="Strong"/>
        </w:rPr>
      </w:pPr>
      <w:r w:rsidRPr="008064E1">
        <w:rPr>
          <w:rStyle w:val="Strong"/>
        </w:rPr>
        <w:lastRenderedPageBreak/>
        <w:t>Fax Logs</w:t>
      </w:r>
      <w:r>
        <w:rPr>
          <w:rStyle w:val="Strong"/>
        </w:rPr>
        <w:t xml:space="preserve"> </w:t>
      </w:r>
      <w:r w:rsidRPr="00935EC8">
        <w:t>- Logs reflecting the involved phone numbers and the number of pages for all inbound and outbound fax transmissions must be retained for one year.</w:t>
      </w:r>
    </w:p>
    <w:p w:rsidR="00DC3A20" w:rsidRPr="00A3558C" w:rsidRDefault="00DC3A20" w:rsidP="00DC3A20">
      <w:pPr>
        <w:spacing w:after="120"/>
        <w:ind w:left="360"/>
        <w:rPr>
          <w:rStyle w:val="Strong"/>
        </w:rPr>
      </w:pPr>
      <w:r w:rsidRPr="00A3558C">
        <w:rPr>
          <w:rStyle w:val="Strong"/>
        </w:rPr>
        <w:t>Faxing Sensitive Information — Notification</w:t>
      </w:r>
      <w:r>
        <w:rPr>
          <w:rStyle w:val="Strong"/>
        </w:rPr>
        <w:t xml:space="preserve"> </w:t>
      </w:r>
      <w:r w:rsidRPr="00935EC8">
        <w:t xml:space="preserve">- If </w:t>
      </w:r>
      <w:r>
        <w:t>sensitive</w:t>
      </w:r>
      <w:r w:rsidRPr="00935EC8">
        <w:t xml:space="preserve"> information is to be sent by fax, the recipient must have been notified of the time when it will be transmitted, and also have agreed that an authorized person will be present at the destination machine when the material is sent. An exception to this policy is permitted when the destination fax machine is physically or logically restricted such that persons who are not authorized to see the material being faxed may not enter the immediate area or otherwise gain access to faxes received.</w:t>
      </w:r>
    </w:p>
    <w:p w:rsidR="00DC3A20" w:rsidRPr="00A3558C" w:rsidRDefault="00DC3A20" w:rsidP="00DC3A20">
      <w:pPr>
        <w:spacing w:after="120"/>
        <w:ind w:left="360"/>
        <w:rPr>
          <w:rStyle w:val="Strong"/>
        </w:rPr>
      </w:pPr>
      <w:r w:rsidRPr="00A3558C">
        <w:rPr>
          <w:rStyle w:val="Strong"/>
        </w:rPr>
        <w:t>Faxing Sensitive Information — Human Presence</w:t>
      </w:r>
      <w:r>
        <w:rPr>
          <w:rStyle w:val="Strong"/>
        </w:rPr>
        <w:t xml:space="preserve"> </w:t>
      </w:r>
      <w:r w:rsidRPr="00935EC8">
        <w:t>- Sensitive materials must not be faxed unless the sender has immediately beforehand confirmed that an authorized staff member is on hand to properly handle the materials at the receiving machine. When the transmission is complete, the staff member at the receiving end must confirm to the sender that a certain number of pages were received. An exception is allowed if the receiving machine is in a locked room accessible only to authorized personnel, or if a password-protected fax mailbox is used to restrict unauthorized release of faxed materials.</w:t>
      </w:r>
    </w:p>
    <w:p w:rsidR="00DC3A20" w:rsidRPr="00A3558C" w:rsidRDefault="00DC3A20" w:rsidP="00DC3A20">
      <w:pPr>
        <w:spacing w:after="120"/>
        <w:ind w:left="360"/>
        <w:rPr>
          <w:rStyle w:val="Strong"/>
        </w:rPr>
      </w:pPr>
      <w:r w:rsidRPr="00A3558C">
        <w:rPr>
          <w:rStyle w:val="Strong"/>
        </w:rPr>
        <w:t>Faxing Sensitive Information — Intermediaries</w:t>
      </w:r>
      <w:r>
        <w:rPr>
          <w:rStyle w:val="Strong"/>
        </w:rPr>
        <w:t xml:space="preserve"> </w:t>
      </w:r>
      <w:r w:rsidRPr="00935EC8">
        <w:t xml:space="preserve">- Sensitive </w:t>
      </w:r>
      <w:r w:rsidR="00961256">
        <w:t>CompanyX</w:t>
      </w:r>
      <w:r w:rsidRPr="00935EC8">
        <w:t xml:space="preserve"> information must not be faxed through un</w:t>
      </w:r>
      <w:r>
        <w:t>-</w:t>
      </w:r>
      <w:r w:rsidRPr="00935EC8">
        <w:t>trusted intermediaries including, but not limited to, hotel staff, airport office services staff, and rented mailbox store staff.</w:t>
      </w:r>
    </w:p>
    <w:p w:rsidR="00DC3A20" w:rsidRPr="00A3558C" w:rsidRDefault="00DC3A20" w:rsidP="00DC3A20">
      <w:pPr>
        <w:spacing w:after="120"/>
        <w:ind w:left="360"/>
        <w:rPr>
          <w:rStyle w:val="Strong"/>
        </w:rPr>
      </w:pPr>
      <w:r w:rsidRPr="00A3558C">
        <w:rPr>
          <w:rStyle w:val="Strong"/>
        </w:rPr>
        <w:t xml:space="preserve">Faxing Sensitive Information — </w:t>
      </w:r>
      <w:r>
        <w:rPr>
          <w:rStyle w:val="Strong"/>
        </w:rPr>
        <w:t xml:space="preserve">Dual </w:t>
      </w:r>
      <w:r w:rsidRPr="00A3558C">
        <w:rPr>
          <w:rStyle w:val="Strong"/>
        </w:rPr>
        <w:t>Cover Sheet</w:t>
      </w:r>
      <w:r>
        <w:rPr>
          <w:rStyle w:val="Strong"/>
        </w:rPr>
        <w:t xml:space="preserve"> </w:t>
      </w:r>
      <w:r w:rsidRPr="00935EC8">
        <w:t>- When sensitive information must be faxed, a cover sheet must be sent and acknowledged by the recipient, after which the sensitive information may be sent through a second call.</w:t>
      </w:r>
    </w:p>
    <w:p w:rsidR="00DC3A20" w:rsidRPr="00A3558C" w:rsidRDefault="00DC3A20" w:rsidP="00DC3A20">
      <w:pPr>
        <w:spacing w:after="120"/>
        <w:ind w:left="360"/>
        <w:rPr>
          <w:rStyle w:val="Strong"/>
        </w:rPr>
      </w:pPr>
      <w:r w:rsidRPr="00A3558C">
        <w:rPr>
          <w:rStyle w:val="Strong"/>
        </w:rPr>
        <w:t>Faxing Sensitive Information — Physical Security</w:t>
      </w:r>
      <w:r>
        <w:rPr>
          <w:rStyle w:val="Strong"/>
        </w:rPr>
        <w:t xml:space="preserve"> </w:t>
      </w:r>
      <w:r>
        <w:t>- C</w:t>
      </w:r>
      <w:r w:rsidRPr="00935EC8">
        <w:t>onfidential information must not be sent to an unattended fax machine unless the destination machine is in a locked room for which the keys are possessed only by people authorized to receive the information.</w:t>
      </w:r>
    </w:p>
    <w:p w:rsidR="00DC3A20" w:rsidRPr="008064E1" w:rsidRDefault="00DC3A20" w:rsidP="00DC3A20">
      <w:pPr>
        <w:spacing w:after="120"/>
        <w:ind w:left="360"/>
        <w:rPr>
          <w:b/>
          <w:bCs/>
        </w:rPr>
      </w:pPr>
      <w:r w:rsidRPr="00935EC8">
        <w:rPr>
          <w:rStyle w:val="Strong"/>
        </w:rPr>
        <w:t>Faxing Sensitive Information - Annual Inventory of FAX numbers</w:t>
      </w:r>
      <w:r>
        <w:rPr>
          <w:b/>
          <w:bCs/>
        </w:rPr>
        <w:t xml:space="preserve"> </w:t>
      </w:r>
      <w:r w:rsidRPr="00935EC8">
        <w:t xml:space="preserve">- </w:t>
      </w:r>
      <w:r w:rsidR="00961256">
        <w:t>CompanyX</w:t>
      </w:r>
      <w:r w:rsidRPr="00935EC8">
        <w:t xml:space="preserve"> must maintain an inventory of all outgoing FAX numbers and the associated organization designated to receive sensitive information.  The list of numbers must be updated and verified annually.  The list must be distributed to all personnel responsible for transmitting sensitive data.</w:t>
      </w:r>
      <w:r w:rsidRPr="008064E1">
        <w:rPr>
          <w:b/>
          <w:bCs/>
        </w:rPr>
        <w:t xml:space="preserve"> </w:t>
      </w:r>
    </w:p>
    <w:p w:rsidR="00DC3A20" w:rsidRPr="00760E35" w:rsidRDefault="00DC3A20" w:rsidP="000037EE">
      <w:pPr>
        <w:pStyle w:val="Heading3"/>
        <w:rPr>
          <w:rStyle w:val="Strong"/>
          <w:b/>
        </w:rPr>
      </w:pPr>
      <w:bookmarkStart w:id="17" w:name="_Toc3879583"/>
      <w:r w:rsidRPr="00760E35">
        <w:rPr>
          <w:rStyle w:val="Strong"/>
          <w:b/>
        </w:rPr>
        <w:t>Customer Communications</w:t>
      </w:r>
      <w:bookmarkEnd w:id="17"/>
    </w:p>
    <w:p w:rsidR="00DC3A20" w:rsidRPr="008A3C0A" w:rsidRDefault="00DC3A20" w:rsidP="00DC3A20">
      <w:pPr>
        <w:spacing w:after="120"/>
        <w:ind w:left="360"/>
        <w:rPr>
          <w:rStyle w:val="Strong"/>
        </w:rPr>
      </w:pPr>
      <w:r w:rsidRPr="008A3C0A">
        <w:rPr>
          <w:rStyle w:val="Strong"/>
        </w:rPr>
        <w:t>Electronic Mail Distributions</w:t>
      </w:r>
      <w:r>
        <w:rPr>
          <w:rStyle w:val="Strong"/>
        </w:rPr>
        <w:t xml:space="preserve"> </w:t>
      </w:r>
      <w:r w:rsidRPr="00935EC8">
        <w:t xml:space="preserve">- </w:t>
      </w:r>
      <w:r w:rsidR="00961256">
        <w:t>CompanyX</w:t>
      </w:r>
      <w:r w:rsidRPr="00935EC8">
        <w:t xml:space="preserve"> must receive a positive confirmation through an opt-in process for anyone who is placed on an electronic mail distribution list.</w:t>
      </w:r>
    </w:p>
    <w:p w:rsidR="00DC3A20" w:rsidRDefault="00DC3A20" w:rsidP="00DC3A20">
      <w:pPr>
        <w:spacing w:after="120"/>
        <w:ind w:left="360"/>
      </w:pPr>
      <w:r w:rsidRPr="008A3C0A">
        <w:rPr>
          <w:rStyle w:val="Strong"/>
        </w:rPr>
        <w:t>Customer Status Notifications Sent Via Electronic Mail</w:t>
      </w:r>
      <w:r>
        <w:rPr>
          <w:rStyle w:val="Strong"/>
        </w:rPr>
        <w:t xml:space="preserve"> </w:t>
      </w:r>
      <w:r w:rsidRPr="00935EC8">
        <w:t xml:space="preserve">- </w:t>
      </w:r>
      <w:r w:rsidR="00961256">
        <w:t>CompanyX</w:t>
      </w:r>
      <w:r w:rsidRPr="00935EC8">
        <w:t xml:space="preserve"> must not use electronic mail as the sole source of notification for changes or updates to customer account features. Any customer notifications sent via electronic mail will include instructions for validating the authenticity of the message.</w:t>
      </w:r>
    </w:p>
    <w:p w:rsidR="00DC3A20" w:rsidRPr="008A3C0A" w:rsidRDefault="00DC3A20" w:rsidP="00DC3A20">
      <w:pPr>
        <w:spacing w:after="120"/>
        <w:ind w:left="360"/>
        <w:rPr>
          <w:rStyle w:val="Strong"/>
        </w:rPr>
      </w:pPr>
      <w:r w:rsidRPr="008A3C0A">
        <w:rPr>
          <w:rStyle w:val="Strong"/>
        </w:rPr>
        <w:t>Electronic Marketing Material Source</w:t>
      </w:r>
      <w:r>
        <w:rPr>
          <w:rStyle w:val="Strong"/>
        </w:rPr>
        <w:t xml:space="preserve"> </w:t>
      </w:r>
      <w:r w:rsidRPr="00935EC8">
        <w:t>- All marketing materials sent through electronic mail must include an accurate return address and must provide clear and explicit instructions permitting recipients to quickly be removed from the distribution list.</w:t>
      </w:r>
    </w:p>
    <w:p w:rsidR="00DC3A20" w:rsidRDefault="00DC3A20" w:rsidP="000037EE">
      <w:pPr>
        <w:pStyle w:val="Heading3"/>
        <w:rPr>
          <w:rStyle w:val="Strong"/>
        </w:rPr>
      </w:pPr>
      <w:bookmarkStart w:id="18" w:name="_Toc3879584"/>
      <w:r w:rsidRPr="008064E1">
        <w:lastRenderedPageBreak/>
        <w:t>Business Information Systems</w:t>
      </w:r>
      <w:bookmarkEnd w:id="18"/>
    </w:p>
    <w:p w:rsidR="00DC3A20" w:rsidRPr="008064E1" w:rsidRDefault="00DC3A20" w:rsidP="00DC3A20">
      <w:pPr>
        <w:spacing w:after="120"/>
        <w:ind w:left="360"/>
        <w:rPr>
          <w:rStyle w:val="Strong"/>
        </w:rPr>
      </w:pPr>
      <w:r w:rsidRPr="008064E1">
        <w:rPr>
          <w:rStyle w:val="Strong"/>
        </w:rPr>
        <w:t>Intermediate Products Containing Sensitive Information</w:t>
      </w:r>
      <w:r>
        <w:rPr>
          <w:rStyle w:val="Strong"/>
        </w:rPr>
        <w:t xml:space="preserve"> </w:t>
      </w:r>
      <w:r w:rsidRPr="00935EC8">
        <w:t xml:space="preserve">- If a copy machine jams or malfunctions when workers are making copies of </w:t>
      </w:r>
      <w:r w:rsidR="00D53A22">
        <w:t>confidential</w:t>
      </w:r>
      <w:r w:rsidRPr="00935EC8">
        <w:t xml:space="preserve"> information, they must not leave the machine until all copies of the information are removed from the machine or destroyed beyond recognition.</w:t>
      </w:r>
    </w:p>
    <w:p w:rsidR="00DC3A20" w:rsidRPr="008064E1" w:rsidRDefault="00DC3A20" w:rsidP="00DC3A20">
      <w:pPr>
        <w:spacing w:after="120"/>
        <w:ind w:left="360"/>
        <w:rPr>
          <w:rStyle w:val="Strong"/>
        </w:rPr>
      </w:pPr>
      <w:r w:rsidRPr="008064E1">
        <w:rPr>
          <w:rStyle w:val="Strong"/>
        </w:rPr>
        <w:t>Distribution Of Marketing Materials</w:t>
      </w:r>
      <w:r>
        <w:rPr>
          <w:rStyle w:val="Strong"/>
        </w:rPr>
        <w:t xml:space="preserve"> </w:t>
      </w:r>
      <w:r w:rsidRPr="00935EC8">
        <w:t>- Workers must not use facsimile machines, electronic mail, auto-dialer robot voice systems, or any other electronic communications systems for the distribution of unsolicited advertising material.</w:t>
      </w:r>
    </w:p>
    <w:p w:rsidR="00DC3A20" w:rsidRPr="008064E1" w:rsidRDefault="00DC3A20" w:rsidP="00DC3A20">
      <w:pPr>
        <w:spacing w:after="120"/>
        <w:ind w:left="360"/>
        <w:rPr>
          <w:rStyle w:val="Strong"/>
        </w:rPr>
      </w:pPr>
      <w:r w:rsidRPr="008064E1">
        <w:rPr>
          <w:rStyle w:val="Strong"/>
        </w:rPr>
        <w:t>Recording Video Conferences</w:t>
      </w:r>
      <w:r>
        <w:rPr>
          <w:rStyle w:val="Strong"/>
        </w:rPr>
        <w:t xml:space="preserve"> </w:t>
      </w:r>
      <w:r w:rsidRPr="00935EC8">
        <w:t xml:space="preserve">- </w:t>
      </w:r>
      <w:r w:rsidR="00961256">
        <w:t>CompanyX</w:t>
      </w:r>
      <w:r w:rsidRPr="00935EC8">
        <w:t xml:space="preserve"> video conferencing sessions must not be recorded unless this recording is approved in advance by the manager of information security and communicated in advance to all video conference participants.</w:t>
      </w:r>
    </w:p>
    <w:p w:rsidR="00DC3A20" w:rsidRPr="008064E1" w:rsidRDefault="00DC3A20" w:rsidP="00DC3A20">
      <w:pPr>
        <w:spacing w:after="120"/>
        <w:ind w:left="360"/>
        <w:rPr>
          <w:rStyle w:val="Strong"/>
        </w:rPr>
      </w:pPr>
      <w:r w:rsidRPr="008064E1">
        <w:rPr>
          <w:rStyle w:val="Strong"/>
        </w:rPr>
        <w:t>Logically Separate Voice And Data On IP Networks</w:t>
      </w:r>
      <w:r>
        <w:rPr>
          <w:rStyle w:val="Strong"/>
        </w:rPr>
        <w:t xml:space="preserve"> </w:t>
      </w:r>
      <w:r w:rsidRPr="00935EC8">
        <w:t xml:space="preserve">- In every instance where voice over IP (VOIP) technology is deployed at </w:t>
      </w:r>
      <w:r w:rsidR="00961256">
        <w:t>CompanyX</w:t>
      </w:r>
      <w:r w:rsidRPr="00935EC8">
        <w:t xml:space="preserve"> facilities, this technology must use a completely logically separate network other than the network used for data transmission.</w:t>
      </w:r>
    </w:p>
    <w:p w:rsidR="00DC3A20" w:rsidRPr="008064E1" w:rsidRDefault="00DC3A20" w:rsidP="00DC3A20">
      <w:pPr>
        <w:spacing w:after="120"/>
        <w:ind w:left="360"/>
        <w:rPr>
          <w:rStyle w:val="Strong"/>
        </w:rPr>
      </w:pPr>
      <w:r w:rsidRPr="008064E1">
        <w:rPr>
          <w:rStyle w:val="Strong"/>
        </w:rPr>
        <w:t>Critical Telephone Services Must Not Be Supported Via VOIP</w:t>
      </w:r>
      <w:r>
        <w:rPr>
          <w:rStyle w:val="Strong"/>
        </w:rPr>
        <w:t xml:space="preserve"> </w:t>
      </w:r>
      <w:r w:rsidRPr="00935EC8">
        <w:t xml:space="preserve">- </w:t>
      </w:r>
      <w:r w:rsidR="00961256">
        <w:t>CompanyX</w:t>
      </w:r>
      <w:r w:rsidRPr="00935EC8">
        <w:t xml:space="preserve"> business-critical telephone services -- such as over-the-phone order-taking with sales representatives -- must not be supported by voice over IP (VOIP) systems, until the Information Security Manager deems these systems sufficiently reliable and stable to support these services.</w:t>
      </w:r>
    </w:p>
    <w:p w:rsidR="00DC3A20" w:rsidRDefault="00DC3A20" w:rsidP="00DC3A20">
      <w:pPr>
        <w:spacing w:after="120"/>
        <w:ind w:left="360"/>
      </w:pPr>
      <w:r w:rsidRPr="00AC511C">
        <w:rPr>
          <w:rStyle w:val="Strong"/>
        </w:rPr>
        <w:t>VOIP Remote Management Or Audi</w:t>
      </w:r>
      <w:r>
        <w:rPr>
          <w:rStyle w:val="Strong"/>
        </w:rPr>
        <w:t xml:space="preserve">ting Requires Encrypted Channel </w:t>
      </w:r>
      <w:r w:rsidRPr="00E5158E">
        <w:t>- Whenever either remote management or remote auditing is performed on a voice over IP (VOIP) network, these connections must employ a fully-encrypted channel.</w:t>
      </w:r>
    </w:p>
    <w:p w:rsidR="00DC3A20" w:rsidRPr="008064E1" w:rsidRDefault="00DC3A20" w:rsidP="00DC3A20">
      <w:pPr>
        <w:spacing w:after="120"/>
        <w:ind w:left="360"/>
        <w:rPr>
          <w:rStyle w:val="Strong"/>
        </w:rPr>
      </w:pPr>
      <w:r w:rsidRPr="008064E1">
        <w:rPr>
          <w:rStyle w:val="Strong"/>
        </w:rPr>
        <w:t>Direct Inwa</w:t>
      </w:r>
      <w:r>
        <w:rPr>
          <w:rStyle w:val="Strong"/>
        </w:rPr>
        <w:t xml:space="preserve">rd System Access Implementation </w:t>
      </w:r>
      <w:r w:rsidRPr="00E5158E">
        <w:t xml:space="preserve">- </w:t>
      </w:r>
      <w:r w:rsidR="00961256">
        <w:t>CompanyX</w:t>
      </w:r>
      <w:r w:rsidRPr="00E5158E">
        <w:t xml:space="preserve"> sites must not enable the direct inward system access features on private branch exchange telephone systems unless they are accompanied by a fraud detection and limitation system approved by the manager of the Telecommunications Department.</w:t>
      </w:r>
    </w:p>
    <w:p w:rsidR="00DC3A20" w:rsidRDefault="00DC3A20" w:rsidP="00DC3A20">
      <w:pPr>
        <w:spacing w:after="120"/>
        <w:ind w:left="360"/>
      </w:pPr>
      <w:r w:rsidRPr="008064E1">
        <w:rPr>
          <w:rStyle w:val="Strong"/>
        </w:rPr>
        <w:t>Conference Bridge Acti</w:t>
      </w:r>
      <w:r>
        <w:rPr>
          <w:rStyle w:val="Strong"/>
        </w:rPr>
        <w:t xml:space="preserve">vation </w:t>
      </w:r>
      <w:r w:rsidRPr="00E5158E">
        <w:t>- Conference bridges must be specifically activated only when needed. They must not be left in an activated state when not in use.</w:t>
      </w:r>
    </w:p>
    <w:p w:rsidR="009F71D5" w:rsidRPr="00760E35" w:rsidRDefault="009F71D5" w:rsidP="009F71D5">
      <w:pPr>
        <w:pStyle w:val="Heading3"/>
        <w:rPr>
          <w:rStyle w:val="Strong"/>
          <w:b/>
        </w:rPr>
      </w:pPr>
      <w:bookmarkStart w:id="19" w:name="_Toc3879585"/>
      <w:r>
        <w:rPr>
          <w:rStyle w:val="Strong"/>
          <w:b/>
        </w:rPr>
        <w:t>Verbal and Written Communication</w:t>
      </w:r>
      <w:bookmarkEnd w:id="19"/>
    </w:p>
    <w:p w:rsidR="009F71D5" w:rsidRDefault="009F71D5" w:rsidP="009F71D5">
      <w:pPr>
        <w:spacing w:after="120"/>
        <w:ind w:left="360"/>
      </w:pPr>
      <w:r>
        <w:rPr>
          <w:rStyle w:val="Strong"/>
        </w:rPr>
        <w:t xml:space="preserve">Public Exposure of Sensitive Information </w:t>
      </w:r>
      <w:r w:rsidRPr="009F71D5">
        <w:t>-</w:t>
      </w:r>
      <w:r>
        <w:t xml:space="preserve"> Secret, confidential, or private </w:t>
      </w:r>
      <w:r w:rsidR="00961256">
        <w:t>CompanyX</w:t>
      </w:r>
      <w:r>
        <w:t xml:space="preserve"> information must not be read, discussed, or otherwise exposed on airplanes, restaurants, elevators, public transportation, or in other public places.</w:t>
      </w:r>
    </w:p>
    <w:p w:rsidR="009F71D5" w:rsidRDefault="009F71D5" w:rsidP="009F71D5">
      <w:pPr>
        <w:spacing w:after="120"/>
        <w:ind w:left="360"/>
        <w:rPr>
          <w:rStyle w:val="Strong"/>
          <w:b w:val="0"/>
          <w:bCs w:val="0"/>
        </w:rPr>
      </w:pPr>
      <w:r>
        <w:rPr>
          <w:rStyle w:val="Strong"/>
        </w:rPr>
        <w:t xml:space="preserve">Confidential Information in Meetings </w:t>
      </w:r>
      <w:r w:rsidRPr="009F71D5">
        <w:t>-</w:t>
      </w:r>
      <w:r>
        <w:t xml:space="preserve"> </w:t>
      </w:r>
      <w:r w:rsidRPr="009F71D5">
        <w:rPr>
          <w:rStyle w:val="Strong"/>
          <w:b w:val="0"/>
          <w:bCs w:val="0"/>
        </w:rPr>
        <w:t>If confidential information is discussed verbally in a meeting, seminar, lecture, or</w:t>
      </w:r>
      <w:r>
        <w:rPr>
          <w:rStyle w:val="Strong"/>
          <w:b w:val="0"/>
          <w:bCs w:val="0"/>
        </w:rPr>
        <w:t xml:space="preserve"> </w:t>
      </w:r>
      <w:r w:rsidRPr="009F71D5">
        <w:rPr>
          <w:rStyle w:val="Strong"/>
          <w:b w:val="0"/>
          <w:bCs w:val="0"/>
        </w:rPr>
        <w:t>related presentation, the speaker must clearly communicate the sensitivity of the</w:t>
      </w:r>
      <w:r>
        <w:rPr>
          <w:rStyle w:val="Strong"/>
          <w:b w:val="0"/>
          <w:bCs w:val="0"/>
        </w:rPr>
        <w:t xml:space="preserve"> </w:t>
      </w:r>
      <w:r w:rsidRPr="009F71D5">
        <w:rPr>
          <w:rStyle w:val="Strong"/>
          <w:b w:val="0"/>
          <w:bCs w:val="0"/>
        </w:rPr>
        <w:t>information and remind the audience to use discretion when disclosing it to others.</w:t>
      </w:r>
    </w:p>
    <w:p w:rsidR="00760E35" w:rsidRDefault="009F71D5" w:rsidP="009F71D5">
      <w:pPr>
        <w:spacing w:after="120"/>
        <w:ind w:left="360"/>
        <w:rPr>
          <w:rStyle w:val="Strong"/>
          <w:b w:val="0"/>
          <w:bCs w:val="0"/>
        </w:rPr>
      </w:pPr>
      <w:r>
        <w:rPr>
          <w:rStyle w:val="Strong"/>
        </w:rPr>
        <w:t xml:space="preserve">Erasable Surfaces </w:t>
      </w:r>
      <w:r>
        <w:rPr>
          <w:rStyle w:val="Strong"/>
          <w:b w:val="0"/>
          <w:bCs w:val="0"/>
        </w:rPr>
        <w:t xml:space="preserve">– After </w:t>
      </w:r>
      <w:r w:rsidRPr="009F71D5">
        <w:rPr>
          <w:rStyle w:val="Strong"/>
          <w:b w:val="0"/>
          <w:bCs w:val="0"/>
        </w:rPr>
        <w:t xml:space="preserve">each meeting is over, all erasable surfaces </w:t>
      </w:r>
      <w:r>
        <w:rPr>
          <w:rStyle w:val="Strong"/>
          <w:b w:val="0"/>
          <w:bCs w:val="0"/>
        </w:rPr>
        <w:t xml:space="preserve">containing confidential </w:t>
      </w:r>
      <w:r w:rsidRPr="009F71D5">
        <w:rPr>
          <w:rStyle w:val="Strong"/>
          <w:b w:val="0"/>
          <w:bCs w:val="0"/>
        </w:rPr>
        <w:t>in conference rooms including, but</w:t>
      </w:r>
      <w:r>
        <w:rPr>
          <w:rStyle w:val="Strong"/>
          <w:b w:val="0"/>
          <w:bCs w:val="0"/>
        </w:rPr>
        <w:t xml:space="preserve"> </w:t>
      </w:r>
      <w:r w:rsidRPr="009F71D5">
        <w:rPr>
          <w:rStyle w:val="Strong"/>
          <w:b w:val="0"/>
          <w:bCs w:val="0"/>
        </w:rPr>
        <w:t>not limited to, black boards, white boards, and windows must be erased.</w:t>
      </w:r>
    </w:p>
    <w:p w:rsidR="009F71D5" w:rsidRPr="009F71D5" w:rsidRDefault="009F71D5" w:rsidP="00652980">
      <w:pPr>
        <w:spacing w:after="120"/>
        <w:ind w:left="360"/>
        <w:rPr>
          <w:rStyle w:val="Strong"/>
          <w:b w:val="0"/>
          <w:bCs w:val="0"/>
        </w:rPr>
      </w:pPr>
      <w:r>
        <w:rPr>
          <w:rStyle w:val="Strong"/>
        </w:rPr>
        <w:lastRenderedPageBreak/>
        <w:t xml:space="preserve">Audio and Video Recording </w:t>
      </w:r>
      <w:r w:rsidRPr="009F71D5">
        <w:rPr>
          <w:rStyle w:val="Strong"/>
          <w:b w:val="0"/>
          <w:bCs w:val="0"/>
        </w:rPr>
        <w:t>-</w:t>
      </w:r>
      <w:r>
        <w:rPr>
          <w:rStyle w:val="Strong"/>
          <w:b w:val="0"/>
          <w:bCs w:val="0"/>
        </w:rPr>
        <w:t xml:space="preserve"> </w:t>
      </w:r>
      <w:r w:rsidRPr="009F71D5">
        <w:rPr>
          <w:rStyle w:val="Strong"/>
          <w:b w:val="0"/>
          <w:bCs w:val="0"/>
        </w:rPr>
        <w:t>Workers must not record sensitive information with any type of audio recording</w:t>
      </w:r>
      <w:r>
        <w:rPr>
          <w:rStyle w:val="Strong"/>
          <w:b w:val="0"/>
          <w:bCs w:val="0"/>
        </w:rPr>
        <w:t xml:space="preserve"> </w:t>
      </w:r>
      <w:r w:rsidRPr="009F71D5">
        <w:rPr>
          <w:rStyle w:val="Strong"/>
          <w:b w:val="0"/>
          <w:bCs w:val="0"/>
        </w:rPr>
        <w:t>device unless the proper sensitivity classification is specified at the beginning and end of</w:t>
      </w:r>
      <w:r>
        <w:rPr>
          <w:rStyle w:val="Strong"/>
          <w:b w:val="0"/>
          <w:bCs w:val="0"/>
        </w:rPr>
        <w:t xml:space="preserve"> </w:t>
      </w:r>
      <w:r w:rsidRPr="009F71D5">
        <w:rPr>
          <w:rStyle w:val="Strong"/>
          <w:b w:val="0"/>
          <w:bCs w:val="0"/>
        </w:rPr>
        <w:t>each segment of sensitive information, the recording media is labeled with the most</w:t>
      </w:r>
      <w:r>
        <w:rPr>
          <w:rStyle w:val="Strong"/>
          <w:b w:val="0"/>
          <w:bCs w:val="0"/>
        </w:rPr>
        <w:t xml:space="preserve"> </w:t>
      </w:r>
      <w:r w:rsidRPr="009F71D5">
        <w:rPr>
          <w:rStyle w:val="Strong"/>
          <w:b w:val="0"/>
          <w:bCs w:val="0"/>
        </w:rPr>
        <w:t>stringent data classification found on the media, the media is protected in accordance with</w:t>
      </w:r>
      <w:r>
        <w:rPr>
          <w:rStyle w:val="Strong"/>
          <w:b w:val="0"/>
          <w:bCs w:val="0"/>
        </w:rPr>
        <w:t xml:space="preserve"> </w:t>
      </w:r>
      <w:r w:rsidRPr="009F71D5">
        <w:rPr>
          <w:rStyle w:val="Strong"/>
          <w:b w:val="0"/>
          <w:bCs w:val="0"/>
        </w:rPr>
        <w:t>the most stringent classification found on the media, and the media is erased as soon as</w:t>
      </w:r>
      <w:r>
        <w:rPr>
          <w:rStyle w:val="Strong"/>
          <w:b w:val="0"/>
          <w:bCs w:val="0"/>
        </w:rPr>
        <w:t xml:space="preserve"> </w:t>
      </w:r>
      <w:r w:rsidRPr="009F71D5">
        <w:rPr>
          <w:rStyle w:val="Strong"/>
          <w:b w:val="0"/>
          <w:bCs w:val="0"/>
        </w:rPr>
        <w:t xml:space="preserve">possible. </w:t>
      </w:r>
    </w:p>
    <w:p w:rsidR="00DC3A20" w:rsidRPr="00760E35" w:rsidRDefault="00DC3A20" w:rsidP="000037EE">
      <w:pPr>
        <w:pStyle w:val="Heading3"/>
        <w:rPr>
          <w:rStyle w:val="Strong"/>
          <w:b/>
        </w:rPr>
      </w:pPr>
      <w:bookmarkStart w:id="20" w:name="_Toc3879586"/>
      <w:r w:rsidRPr="00760E35">
        <w:rPr>
          <w:rStyle w:val="Strong"/>
          <w:b/>
        </w:rPr>
        <w:t>Internet and Intranet</w:t>
      </w:r>
      <w:bookmarkEnd w:id="20"/>
    </w:p>
    <w:p w:rsidR="00DC3A20" w:rsidRPr="00AC511C" w:rsidRDefault="00DC3A20" w:rsidP="00DC3A20">
      <w:pPr>
        <w:spacing w:after="120"/>
        <w:ind w:left="360"/>
        <w:rPr>
          <w:rStyle w:val="Strong"/>
        </w:rPr>
      </w:pPr>
      <w:r w:rsidRPr="00AC511C">
        <w:rPr>
          <w:rStyle w:val="Strong"/>
        </w:rPr>
        <w:t>Internet Transm</w:t>
      </w:r>
      <w:r>
        <w:rPr>
          <w:rStyle w:val="Strong"/>
        </w:rPr>
        <w:t xml:space="preserve">ission Of Sensitive Information </w:t>
      </w:r>
      <w:r w:rsidRPr="00E5158E">
        <w:t xml:space="preserve">- Unencrypted </w:t>
      </w:r>
      <w:r w:rsidR="00961256">
        <w:t>CompanyX</w:t>
      </w:r>
      <w:r>
        <w:t xml:space="preserve"> sensitive</w:t>
      </w:r>
      <w:r w:rsidRPr="00E5158E">
        <w:t xml:space="preserve"> or private information must not be sent over the Internet.</w:t>
      </w:r>
    </w:p>
    <w:p w:rsidR="00DC3A20" w:rsidRPr="00AC511C" w:rsidRDefault="00DC3A20" w:rsidP="00DC3A20">
      <w:pPr>
        <w:spacing w:after="120"/>
        <w:ind w:left="360"/>
        <w:rPr>
          <w:rStyle w:val="Strong"/>
        </w:rPr>
      </w:pPr>
      <w:r>
        <w:rPr>
          <w:rStyle w:val="Strong"/>
        </w:rPr>
        <w:t xml:space="preserve">Publicly-Modifiable Directories </w:t>
      </w:r>
      <w:r w:rsidRPr="00E5158E">
        <w:t xml:space="preserve">- All publicly-modifiable directories on </w:t>
      </w:r>
      <w:r w:rsidR="00961256">
        <w:t>CompanyX</w:t>
      </w:r>
      <w:r w:rsidRPr="00E5158E">
        <w:t xml:space="preserve"> Internet-connected computers must be reviewed and cleared each evening.</w:t>
      </w:r>
    </w:p>
    <w:p w:rsidR="00DC3A20" w:rsidRPr="00AC511C" w:rsidRDefault="00DC3A20" w:rsidP="00DC3A20">
      <w:pPr>
        <w:spacing w:after="120"/>
        <w:ind w:left="360"/>
        <w:rPr>
          <w:rStyle w:val="Strong"/>
        </w:rPr>
      </w:pPr>
      <w:r>
        <w:rPr>
          <w:rStyle w:val="Strong"/>
        </w:rPr>
        <w:t xml:space="preserve">Internet News Sources </w:t>
      </w:r>
      <w:r w:rsidRPr="00E5158E">
        <w:t xml:space="preserve">- News feeds, electronic mail mailing lists, push data updates, and other mechanisms for receiving information over the Internet must be restricted to material that is clearly related to </w:t>
      </w:r>
      <w:r w:rsidR="00961256">
        <w:t>CompanyX</w:t>
      </w:r>
      <w:r w:rsidRPr="00E5158E">
        <w:t xml:space="preserve"> business and the duties of the receiving workers.</w:t>
      </w:r>
    </w:p>
    <w:p w:rsidR="00DC3A20" w:rsidRPr="00760E35" w:rsidRDefault="00DC3A20" w:rsidP="000037EE">
      <w:pPr>
        <w:pStyle w:val="Heading3"/>
        <w:rPr>
          <w:b w:val="0"/>
        </w:rPr>
      </w:pPr>
      <w:bookmarkStart w:id="21" w:name="_Toc3879587"/>
      <w:r w:rsidRPr="00760E35">
        <w:rPr>
          <w:rStyle w:val="Strong"/>
          <w:b/>
        </w:rPr>
        <w:t>Intranet Content</w:t>
      </w:r>
      <w:bookmarkEnd w:id="21"/>
    </w:p>
    <w:p w:rsidR="00DC3A20" w:rsidRPr="00AC511C" w:rsidRDefault="00DC3A20" w:rsidP="00DC3A20">
      <w:pPr>
        <w:spacing w:after="120"/>
        <w:ind w:left="360"/>
        <w:rPr>
          <w:rStyle w:val="Strong"/>
        </w:rPr>
      </w:pPr>
      <w:r>
        <w:rPr>
          <w:rStyle w:val="Strong"/>
        </w:rPr>
        <w:t xml:space="preserve">Intranet Postings </w:t>
      </w:r>
      <w:r w:rsidRPr="00E5158E">
        <w:t xml:space="preserve">- Before any </w:t>
      </w:r>
      <w:r w:rsidR="004A3D03">
        <w:t>C</w:t>
      </w:r>
      <w:r w:rsidR="0050303A">
        <w:t xml:space="preserve">onfidential </w:t>
      </w:r>
      <w:r w:rsidRPr="00E5158E">
        <w:t xml:space="preserve">information is posted to the </w:t>
      </w:r>
      <w:r w:rsidR="00961256">
        <w:t>CompanyX</w:t>
      </w:r>
      <w:r w:rsidRPr="00E5158E">
        <w:t xml:space="preserve"> intranet, both the department manager in charge of the relevant intranet page and the Owner of the involved information must approve.</w:t>
      </w:r>
    </w:p>
    <w:p w:rsidR="00DC3A20" w:rsidRPr="00AC511C" w:rsidRDefault="00DC3A20" w:rsidP="00DC3A20">
      <w:pPr>
        <w:spacing w:after="120"/>
        <w:ind w:left="360"/>
        <w:rPr>
          <w:rStyle w:val="Strong"/>
        </w:rPr>
      </w:pPr>
      <w:r>
        <w:rPr>
          <w:rStyle w:val="Strong"/>
        </w:rPr>
        <w:t xml:space="preserve">Intranet Content Ownership </w:t>
      </w:r>
      <w:r w:rsidRPr="00E5158E">
        <w:t xml:space="preserve">- Unless approved in advance by the Information Technology Department Manager, and explicitly noted on the intranet web page, all content posted to the </w:t>
      </w:r>
      <w:r w:rsidR="00961256">
        <w:t>CompanyX</w:t>
      </w:r>
      <w:r w:rsidRPr="00E5158E">
        <w:t xml:space="preserve"> intranet is the property of </w:t>
      </w:r>
      <w:r w:rsidR="00961256">
        <w:t>CompanyX</w:t>
      </w:r>
      <w:r w:rsidRPr="00E5158E">
        <w:t>.</w:t>
      </w:r>
    </w:p>
    <w:p w:rsidR="00DC3A20" w:rsidRPr="00760E35" w:rsidRDefault="00DC3A20" w:rsidP="000037EE">
      <w:pPr>
        <w:pStyle w:val="Heading3"/>
        <w:rPr>
          <w:rStyle w:val="Strong"/>
          <w:b/>
        </w:rPr>
      </w:pPr>
      <w:bookmarkStart w:id="22" w:name="_Toc3879588"/>
      <w:r w:rsidRPr="00760E35">
        <w:rPr>
          <w:rStyle w:val="Strong"/>
          <w:b/>
        </w:rPr>
        <w:t>Web Site Security</w:t>
      </w:r>
      <w:bookmarkEnd w:id="22"/>
    </w:p>
    <w:p w:rsidR="00DC3A20" w:rsidRDefault="00DC3A20" w:rsidP="00DC3A20">
      <w:pPr>
        <w:spacing w:after="120"/>
        <w:ind w:left="360"/>
      </w:pPr>
      <w:r>
        <w:rPr>
          <w:rStyle w:val="Strong"/>
        </w:rPr>
        <w:t xml:space="preserve">Confidential Information On Web </w:t>
      </w:r>
      <w:r>
        <w:t>–</w:t>
      </w:r>
      <w:r w:rsidRPr="00E5158E">
        <w:t xml:space="preserve"> </w:t>
      </w:r>
      <w:r w:rsidR="00961256">
        <w:t>CompanyX</w:t>
      </w:r>
      <w:r>
        <w:t xml:space="preserve"> Confidential</w:t>
      </w:r>
      <w:r w:rsidRPr="00E5158E">
        <w:t xml:space="preserve"> information must not be resident on either Internet or intranet servers.</w:t>
      </w:r>
    </w:p>
    <w:p w:rsidR="00DC3A20" w:rsidRPr="00AC511C" w:rsidRDefault="00DC3A20" w:rsidP="00DC3A20">
      <w:pPr>
        <w:spacing w:after="120"/>
        <w:ind w:left="360"/>
        <w:rPr>
          <w:rStyle w:val="Strong"/>
        </w:rPr>
      </w:pPr>
      <w:r w:rsidRPr="00AC511C">
        <w:rPr>
          <w:rStyle w:val="Strong"/>
        </w:rPr>
        <w:t>A</w:t>
      </w:r>
      <w:r>
        <w:rPr>
          <w:rStyle w:val="Strong"/>
        </w:rPr>
        <w:t xml:space="preserve">nonymous FTP Server Information </w:t>
      </w:r>
      <w:r w:rsidRPr="00E5158E">
        <w:t xml:space="preserve">- All user-provided files that have not been explicitly approved for public release by the Marketing Department, and that are resident on the </w:t>
      </w:r>
      <w:r w:rsidR="00961256">
        <w:t>CompanyX</w:t>
      </w:r>
      <w:r w:rsidRPr="00E5158E">
        <w:t xml:space="preserve"> anonymous FTP server, must be encrypted using </w:t>
      </w:r>
      <w:r w:rsidR="00961256">
        <w:t>CompanyX</w:t>
      </w:r>
      <w:r w:rsidRPr="00E5158E">
        <w:t xml:space="preserve"> standard software.</w:t>
      </w:r>
    </w:p>
    <w:p w:rsidR="00DC3A20" w:rsidRDefault="00DC3A20" w:rsidP="00DC3A20">
      <w:pPr>
        <w:spacing w:after="120"/>
        <w:ind w:left="360"/>
      </w:pPr>
      <w:r w:rsidRPr="00AC511C">
        <w:rPr>
          <w:rStyle w:val="Strong"/>
        </w:rPr>
        <w:t>Internet</w:t>
      </w:r>
      <w:r>
        <w:rPr>
          <w:rStyle w:val="Strong"/>
        </w:rPr>
        <w:t xml:space="preserve"> Monitoring For Information Use </w:t>
      </w:r>
      <w:r w:rsidRPr="00E5158E">
        <w:t xml:space="preserve">- The Legal Department must monitor the Internet on at least a monthly basis for the unauthorized use of </w:t>
      </w:r>
      <w:r w:rsidR="00961256">
        <w:t>CompanyX</w:t>
      </w:r>
      <w:r w:rsidRPr="00E5158E">
        <w:t xml:space="preserve"> trademarks, service marks, brand names, or copyrighted materials owned by </w:t>
      </w:r>
      <w:r w:rsidR="00961256">
        <w:t>CompanyX</w:t>
      </w:r>
      <w:r w:rsidRPr="00E5158E">
        <w:t>.</w:t>
      </w:r>
    </w:p>
    <w:p w:rsidR="00DC3A20" w:rsidRPr="00760E35" w:rsidRDefault="00DC3A20" w:rsidP="000037EE">
      <w:pPr>
        <w:pStyle w:val="Heading3"/>
        <w:rPr>
          <w:rStyle w:val="Strong"/>
          <w:b/>
        </w:rPr>
      </w:pPr>
      <w:bookmarkStart w:id="23" w:name="_Toc3879589"/>
      <w:r w:rsidRPr="00760E35">
        <w:rPr>
          <w:rStyle w:val="Strong"/>
          <w:b/>
        </w:rPr>
        <w:t>Public Information</w:t>
      </w:r>
      <w:bookmarkEnd w:id="23"/>
    </w:p>
    <w:p w:rsidR="00DC3A20" w:rsidRPr="00AC511C" w:rsidRDefault="00DC3A20" w:rsidP="00DC3A20">
      <w:pPr>
        <w:spacing w:after="120"/>
        <w:ind w:left="360"/>
        <w:rPr>
          <w:rStyle w:val="Strong"/>
        </w:rPr>
      </w:pPr>
      <w:r w:rsidRPr="00AC511C">
        <w:rPr>
          <w:rStyle w:val="Strong"/>
        </w:rPr>
        <w:t>Publicly P</w:t>
      </w:r>
      <w:r>
        <w:rPr>
          <w:rStyle w:val="Strong"/>
        </w:rPr>
        <w:t xml:space="preserve">osting Only Generic Information </w:t>
      </w:r>
      <w:r w:rsidRPr="00E5158E">
        <w:t>- With the exception of top management, all publicly-posted contact points must use generic job titles rather than individual names. For example, web sites, Internet public databases, and help wanted advertising would refer to "systems administrator" rather than "Mary Smith." Likewise, direct dial telephone numbers and individual email accounts must not be publicly posted.</w:t>
      </w:r>
    </w:p>
    <w:p w:rsidR="00DC3A20" w:rsidRPr="00AC511C" w:rsidRDefault="00DC3A20" w:rsidP="00DC3A20">
      <w:pPr>
        <w:spacing w:after="120"/>
        <w:ind w:left="360"/>
        <w:rPr>
          <w:rStyle w:val="Strong"/>
        </w:rPr>
      </w:pPr>
      <w:r w:rsidRPr="00AC511C">
        <w:rPr>
          <w:rStyle w:val="Strong"/>
        </w:rPr>
        <w:lastRenderedPageBreak/>
        <w:t>Permissible Ways To</w:t>
      </w:r>
      <w:r>
        <w:rPr>
          <w:rStyle w:val="Strong"/>
        </w:rPr>
        <w:t xml:space="preserve"> Obtain Competitive Information </w:t>
      </w:r>
      <w:r w:rsidRPr="00E5158E">
        <w:t xml:space="preserve">- </w:t>
      </w:r>
      <w:r w:rsidR="00961256">
        <w:t>CompanyX</w:t>
      </w:r>
      <w:r w:rsidRPr="00E5158E">
        <w:t xml:space="preserve"> workers must obtain information about competitors from public domain sources, or legally purchase such information from its rightful owner (such as a market research firm). Competitor information gathered by any other means, whether intentionally or unintentionally obtained must be reported immediately to the </w:t>
      </w:r>
      <w:r w:rsidR="00961256">
        <w:t>CompanyX</w:t>
      </w:r>
      <w:r w:rsidRPr="00E5158E">
        <w:t xml:space="preserve"> </w:t>
      </w:r>
      <w:r>
        <w:t>senior management</w:t>
      </w:r>
      <w:r w:rsidRPr="00E5158E">
        <w:t>.</w:t>
      </w:r>
    </w:p>
    <w:p w:rsidR="00DC3A20" w:rsidRPr="00AC511C" w:rsidRDefault="00DC3A20" w:rsidP="00DC3A20">
      <w:pPr>
        <w:spacing w:after="120"/>
        <w:ind w:left="360"/>
        <w:rPr>
          <w:rStyle w:val="Strong"/>
        </w:rPr>
      </w:pPr>
      <w:r w:rsidRPr="00AC511C">
        <w:rPr>
          <w:rStyle w:val="Strong"/>
        </w:rPr>
        <w:t>Third</w:t>
      </w:r>
      <w:r>
        <w:rPr>
          <w:rStyle w:val="Strong"/>
        </w:rPr>
        <w:t xml:space="preserve">-Party Use Of Organization Name </w:t>
      </w:r>
      <w:r w:rsidRPr="00E5158E">
        <w:t xml:space="preserve">- No </w:t>
      </w:r>
      <w:r w:rsidR="00D038C8">
        <w:t>Third-Party</w:t>
      </w:r>
      <w:r w:rsidRPr="00E5158E">
        <w:t xml:space="preserve"> organization may use the </w:t>
      </w:r>
      <w:r w:rsidR="00961256">
        <w:t>CompanyX</w:t>
      </w:r>
      <w:r w:rsidRPr="00E5158E">
        <w:t xml:space="preserve"> name in its advertising or marketing materials unless the written permission of corporate legal counsel has first been obtained.</w:t>
      </w:r>
    </w:p>
    <w:p w:rsidR="00DC3A20" w:rsidRPr="00AC511C" w:rsidRDefault="00DC3A20" w:rsidP="00DC3A20">
      <w:pPr>
        <w:spacing w:after="120"/>
        <w:ind w:left="360"/>
        <w:rPr>
          <w:rStyle w:val="Strong"/>
        </w:rPr>
      </w:pPr>
      <w:r>
        <w:rPr>
          <w:rStyle w:val="Strong"/>
        </w:rPr>
        <w:t xml:space="preserve">Presentation Of Public Image </w:t>
      </w:r>
      <w:r w:rsidRPr="00E5158E">
        <w:t xml:space="preserve">- </w:t>
      </w:r>
      <w:r w:rsidR="00961256">
        <w:t>CompanyX</w:t>
      </w:r>
      <w:r w:rsidRPr="00E5158E">
        <w:t xml:space="preserve"> must a</w:t>
      </w:r>
      <w:r>
        <w:t>t all-</w:t>
      </w:r>
      <w:r w:rsidRPr="00E5158E">
        <w:t xml:space="preserve">times present a low-profile and secure image to both the public and </w:t>
      </w:r>
      <w:r w:rsidR="00D038C8">
        <w:t>Third-Parties</w:t>
      </w:r>
      <w:r w:rsidRPr="00E5158E">
        <w:t>. This means that information about the existence and nature of significant assets must be accessible only to those persons with a demonstrable need to know.</w:t>
      </w:r>
    </w:p>
    <w:p w:rsidR="00A437C9" w:rsidRPr="00074BA0" w:rsidRDefault="00924538" w:rsidP="00074BA0">
      <w:pPr>
        <w:pStyle w:val="PolicyElementHeader"/>
        <w:rPr>
          <w:bCs/>
          <w:color w:val="00527A"/>
        </w:rPr>
      </w:pPr>
      <w:bookmarkStart w:id="24" w:name="_Toc3879590"/>
      <w:r>
        <w:rPr>
          <w:bCs/>
          <w:color w:val="00527A"/>
        </w:rPr>
        <w:t>Violations</w:t>
      </w:r>
      <w:bookmarkEnd w:id="3"/>
      <w:bookmarkEnd w:id="24"/>
    </w:p>
    <w:p w:rsidR="003C1B8C"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961256">
        <w:rPr>
          <w:rFonts w:eastAsia="MS Mincho"/>
        </w:rPr>
        <w:t>CompanyX</w:t>
      </w:r>
      <w:r w:rsidRPr="002A7256">
        <w:rPr>
          <w:rFonts w:eastAsia="MS Mincho"/>
        </w:rPr>
        <w:t xml:space="preserve"> reserves the right to notify the appropriate law enforcement authorities of any unlawful activity and to cooperate in any investigation of such activity. </w:t>
      </w:r>
      <w:r w:rsidR="00961256">
        <w:rPr>
          <w:rFonts w:eastAsia="MS Mincho"/>
        </w:rPr>
        <w:t>CompanyX</w:t>
      </w:r>
      <w:r w:rsidRPr="002A7256">
        <w:rPr>
          <w:rFonts w:eastAsia="MS Mincho"/>
        </w:rPr>
        <w:t xml:space="preserve"> does not consider conduct in violation of this policy to be within an employee’s or </w:t>
      </w:r>
      <w:r w:rsidR="00D46B3D">
        <w:rPr>
          <w:rFonts w:eastAsia="MS Mincho"/>
        </w:rPr>
        <w:t>Third-Party</w:t>
      </w:r>
      <w:r w:rsidRPr="002A7256">
        <w:rPr>
          <w:rFonts w:eastAsia="MS Mincho"/>
        </w:rPr>
        <w:t xml:space="preserve">’s course and scope of employment, or the direct consequence of the discharge of the employee’s or </w:t>
      </w:r>
      <w:r w:rsidR="00D46B3D">
        <w:rPr>
          <w:rFonts w:eastAsia="MS Mincho"/>
        </w:rPr>
        <w:t>Third-Party</w:t>
      </w:r>
      <w:r w:rsidRPr="002A7256">
        <w:rPr>
          <w:rFonts w:eastAsia="MS Mincho"/>
        </w:rPr>
        <w:t xml:space="preserve">’s duties. Accordingly, to the extent permitted by law, </w:t>
      </w:r>
      <w:r w:rsidR="00961256">
        <w:rPr>
          <w:rFonts w:eastAsia="MS Mincho"/>
        </w:rPr>
        <w:t>CompanyX</w:t>
      </w:r>
      <w:r w:rsidRPr="002A7256">
        <w:rPr>
          <w:rFonts w:eastAsia="MS Mincho"/>
        </w:rPr>
        <w:t xml:space="preserve"> reserves the right not to defend or pay any damages awarded against employees or </w:t>
      </w:r>
      <w:r w:rsidR="00D46B3D">
        <w:rPr>
          <w:rFonts w:eastAsia="MS Mincho"/>
        </w:rPr>
        <w:t>Third-Parties</w:t>
      </w:r>
      <w:r w:rsidRPr="002A7256">
        <w:rPr>
          <w:rFonts w:eastAsia="MS Mincho"/>
        </w:rPr>
        <w:t xml:space="preserve"> that result from violation of this policy.</w:t>
      </w:r>
    </w:p>
    <w:p w:rsidR="00D038C8" w:rsidRPr="002A7256" w:rsidRDefault="00D038C8" w:rsidP="00C64EAF">
      <w:pPr>
        <w:spacing w:after="120"/>
        <w:rPr>
          <w:rFonts w:eastAsia="MS Mincho"/>
        </w:rPr>
      </w:pPr>
      <w:r w:rsidRPr="003C1B8C">
        <w:rPr>
          <w:rFonts w:eastAsia="MS Mincho"/>
        </w:rPr>
        <w:t xml:space="preserve">Any employee or </w:t>
      </w:r>
      <w:r>
        <w:rPr>
          <w:rFonts w:eastAsia="MS Mincho"/>
        </w:rPr>
        <w:t>contractor</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rsidR="00C21BF8" w:rsidRPr="00C21BF8" w:rsidRDefault="00A437C9" w:rsidP="00C21BF8">
      <w:pPr>
        <w:pStyle w:val="PolicyElementHeader"/>
        <w:rPr>
          <w:bCs/>
          <w:color w:val="00527A"/>
        </w:rPr>
      </w:pPr>
      <w:bookmarkStart w:id="25" w:name="_Toc241985855"/>
      <w:bookmarkStart w:id="26" w:name="_Toc3879591"/>
      <w:r w:rsidRPr="003F09FA">
        <w:rPr>
          <w:bCs/>
          <w:color w:val="00527A"/>
        </w:rPr>
        <w:t>Definitions</w:t>
      </w:r>
      <w:bookmarkEnd w:id="25"/>
      <w:bookmarkEnd w:id="26"/>
    </w:p>
    <w:p w:rsidR="00C21BF8" w:rsidRDefault="00C21BF8" w:rsidP="00F5315F">
      <w:pPr>
        <w:pStyle w:val="StylePolicyDefinitionNotBold"/>
      </w:pPr>
      <w:r w:rsidRPr="00C21BF8">
        <w:rPr>
          <w:rStyle w:val="PolicyDefinitionChar"/>
        </w:rPr>
        <w:t>Confidential Information (Sensitive Information)</w:t>
      </w:r>
      <w:r w:rsidRPr="00C21BF8">
        <w:t xml:space="preserve"> – Any </w:t>
      </w:r>
      <w:r w:rsidR="00961256">
        <w:t>CompanyX</w:t>
      </w:r>
      <w:r w:rsidRPr="00C21BF8">
        <w:t xml:space="preserve">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w:t>
      </w:r>
      <w:r w:rsidR="00961256">
        <w:t>CompanyX</w:t>
      </w:r>
      <w:r w:rsidRPr="00C21BF8">
        <w:t xml:space="preserve"> from a </w:t>
      </w:r>
      <w:r w:rsidR="00D038C8">
        <w:t>Third-Party</w:t>
      </w:r>
      <w:r w:rsidRPr="00C21BF8">
        <w:t xml:space="preserve"> under a non-disclosure agreement</w:t>
      </w:r>
    </w:p>
    <w:p w:rsidR="00C21BF8" w:rsidRDefault="00C21BF8" w:rsidP="00C21BF8">
      <w:pPr>
        <w:pStyle w:val="StylePolicyDefinitionNotBold"/>
      </w:pPr>
      <w:r w:rsidRPr="00C21BF8">
        <w:rPr>
          <w:rStyle w:val="PolicyDefinitionChar"/>
        </w:rPr>
        <w:t>Mobile Computing Devices</w:t>
      </w:r>
      <w:r w:rsidRPr="00C21BF8">
        <w:t xml:space="preserve"> - Mobile computing assets include, but are not limited to: laptop, notebook, tablet, desktop computers, all personal wireless-enabled devices, including pagers, cellular phones, mobile email devices, PDAs and other hybrid devices, and all portable storage media, including flash drives, smart cards, tokens, etc.</w:t>
      </w:r>
    </w:p>
    <w:p w:rsidR="00BA7551" w:rsidRDefault="00BA7551" w:rsidP="00BA7551">
      <w:pPr>
        <w:spacing w:after="120"/>
        <w:jc w:val="both"/>
      </w:pPr>
      <w:r w:rsidRPr="00DC440B">
        <w:rPr>
          <w:b/>
        </w:rPr>
        <w:lastRenderedPageBreak/>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C21BF8" w:rsidRDefault="00D46B3D" w:rsidP="00C21BF8">
      <w:pPr>
        <w:pStyle w:val="StylePolicyDefinitionNotBold"/>
      </w:pPr>
      <w:r>
        <w:rPr>
          <w:rStyle w:val="PolicyDefinitionChar"/>
        </w:rPr>
        <w:t>Third-Party</w:t>
      </w:r>
      <w:r w:rsidR="00C21BF8" w:rsidRPr="00C21BF8">
        <w:t xml:space="preserve"> – Any non-employee of </w:t>
      </w:r>
      <w:r w:rsidR="00961256">
        <w:t>CompanyX</w:t>
      </w:r>
      <w:r w:rsidR="00C21BF8" w:rsidRPr="00C21BF8">
        <w:t xml:space="preserve"> who is contractually bound to provide some form of service to </w:t>
      </w:r>
      <w:r w:rsidR="00961256">
        <w:t>CompanyX</w:t>
      </w:r>
      <w:r w:rsidR="00C21BF8" w:rsidRPr="00C21BF8">
        <w:t>.</w:t>
      </w:r>
    </w:p>
    <w:p w:rsidR="00F51BD1" w:rsidRDefault="007129D9" w:rsidP="00C64EAF">
      <w:pPr>
        <w:spacing w:after="120"/>
        <w:jc w:val="both"/>
      </w:pPr>
      <w:r w:rsidRPr="00EC4A77">
        <w:rPr>
          <w:b/>
          <w:bCs/>
        </w:rPr>
        <w:t>User</w:t>
      </w:r>
      <w:r w:rsidRPr="00EC4A77">
        <w:rPr>
          <w:b/>
        </w:rPr>
        <w:t xml:space="preserve"> - </w:t>
      </w:r>
      <w:r w:rsidRPr="00EC4A77">
        <w:t xml:space="preserve">Any </w:t>
      </w:r>
      <w:r w:rsidR="00961256">
        <w:t>CompanyX</w:t>
      </w:r>
      <w:r w:rsidRPr="00EC4A77">
        <w:t xml:space="preserve"> employee or </w:t>
      </w:r>
      <w:r w:rsidR="00D46B3D">
        <w:t>Third-Party</w:t>
      </w:r>
      <w:r w:rsidRPr="00EC4A77">
        <w:t xml:space="preserve"> who has been authorized to access any </w:t>
      </w:r>
      <w:r w:rsidR="00961256">
        <w:t>CompanyX</w:t>
      </w:r>
      <w:r w:rsidRPr="00EC4A77">
        <w:t xml:space="preserve"> electronic information resource.</w:t>
      </w:r>
    </w:p>
    <w:p w:rsidR="00D13DA3" w:rsidRDefault="00D13DA3" w:rsidP="00D13DA3">
      <w:pPr>
        <w:pStyle w:val="PolicyElementHeader"/>
        <w:rPr>
          <w:color w:val="00527A"/>
          <w:szCs w:val="28"/>
        </w:rPr>
      </w:pPr>
      <w:bookmarkStart w:id="27" w:name="_Toc178155364"/>
      <w:bookmarkStart w:id="28" w:name="_Toc241985856"/>
      <w:bookmarkStart w:id="29" w:name="_Toc3879592"/>
      <w:r>
        <w:rPr>
          <w:color w:val="00527A"/>
          <w:szCs w:val="28"/>
        </w:rPr>
        <w:t>References</w:t>
      </w:r>
      <w:bookmarkEnd w:id="27"/>
      <w:bookmarkEnd w:id="28"/>
      <w:bookmarkEnd w:id="29"/>
    </w:p>
    <w:p w:rsidR="00DC3A20" w:rsidRDefault="00DC3A20" w:rsidP="00DC3A20">
      <w:bookmarkStart w:id="30" w:name="_Toc178155365"/>
      <w:bookmarkStart w:id="31" w:name="_Toc241985857"/>
      <w:r w:rsidRPr="007D37A8">
        <w:rPr>
          <w:bCs/>
        </w:rPr>
        <w:t>ISO/IEC 27002</w:t>
      </w:r>
      <w:r w:rsidRPr="007D37A8">
        <w:t xml:space="preserve"> </w:t>
      </w:r>
      <w:r w:rsidRPr="007D37A8">
        <w:rPr>
          <w:iCs/>
        </w:rPr>
        <w:t xml:space="preserve">- </w:t>
      </w:r>
      <w:r w:rsidR="00FE1CA9" w:rsidRPr="00FE1CA9">
        <w:t>13.2 Information transfer</w:t>
      </w:r>
    </w:p>
    <w:p w:rsidR="00FE1CA9" w:rsidRDefault="00FE1CA9" w:rsidP="00DC3A20">
      <w:r w:rsidRPr="00FE1CA9">
        <w:t>NIST: SC-8 Transmission Integrity</w:t>
      </w:r>
    </w:p>
    <w:p w:rsidR="00FE1CA9" w:rsidRDefault="00FE1CA9" w:rsidP="00DC3A20">
      <w:r w:rsidRPr="00FE1CA9">
        <w:t>PCI</w:t>
      </w:r>
      <w:r>
        <w:t>-DSS</w:t>
      </w:r>
      <w:r w:rsidRPr="00FE1CA9">
        <w:t>: 9.6.2 Media Transit Security</w:t>
      </w:r>
    </w:p>
    <w:p w:rsidR="00652980" w:rsidRDefault="00652980" w:rsidP="00DC3A20">
      <w:r>
        <w:t xml:space="preserve">US-CSF: </w:t>
      </w:r>
      <w:r w:rsidRPr="00652980">
        <w:t>PR.DS-2: Data-in-motion is secured</w:t>
      </w:r>
    </w:p>
    <w:p w:rsidR="00652980" w:rsidRDefault="00652980" w:rsidP="00DC3A20"/>
    <w:p w:rsidR="00D46B3D" w:rsidRPr="00EF734B" w:rsidRDefault="00D46B3D" w:rsidP="00D46B3D">
      <w:pPr>
        <w:pStyle w:val="PolicyElementHeader"/>
        <w:rPr>
          <w:bCs/>
          <w:color w:val="00527A"/>
        </w:rPr>
      </w:pPr>
      <w:bookmarkStart w:id="32" w:name="_Toc525041757"/>
      <w:bookmarkStart w:id="33" w:name="_Toc3879594"/>
      <w:bookmarkEnd w:id="30"/>
      <w:bookmarkEnd w:id="31"/>
      <w:r w:rsidRPr="00EF734B">
        <w:rPr>
          <w:bCs/>
          <w:color w:val="00527A"/>
        </w:rPr>
        <w:t>Approval and Ownership</w:t>
      </w:r>
      <w:bookmarkEnd w:id="32"/>
      <w:bookmarkEnd w:id="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D46B3D" w:rsidTr="00B27084">
        <w:trPr>
          <w:trHeight w:val="346"/>
        </w:trPr>
        <w:tc>
          <w:tcPr>
            <w:tcW w:w="2520" w:type="dxa"/>
            <w:shd w:val="pct10" w:color="auto" w:fill="auto"/>
            <w:tcMar>
              <w:top w:w="29" w:type="dxa"/>
              <w:left w:w="115" w:type="dxa"/>
              <w:bottom w:w="29" w:type="dxa"/>
              <w:right w:w="115" w:type="dxa"/>
            </w:tcMar>
            <w:vAlign w:val="center"/>
          </w:tcPr>
          <w:p w:rsidR="00D46B3D" w:rsidRDefault="00D46B3D" w:rsidP="00B27084">
            <w:pPr>
              <w:pStyle w:val="FooterTableHeader"/>
            </w:pPr>
            <w:r>
              <w:t>Owner</w:t>
            </w:r>
          </w:p>
        </w:tc>
        <w:tc>
          <w:tcPr>
            <w:tcW w:w="2520" w:type="dxa"/>
            <w:shd w:val="pct10" w:color="auto" w:fill="auto"/>
            <w:tcMar>
              <w:top w:w="29" w:type="dxa"/>
              <w:left w:w="115" w:type="dxa"/>
              <w:bottom w:w="29" w:type="dxa"/>
              <w:right w:w="115" w:type="dxa"/>
            </w:tcMar>
            <w:vAlign w:val="center"/>
          </w:tcPr>
          <w:p w:rsidR="00D46B3D" w:rsidRDefault="00D46B3D" w:rsidP="00B27084">
            <w:pPr>
              <w:pStyle w:val="FooterTableHeader"/>
            </w:pPr>
            <w:r>
              <w:t>Title</w:t>
            </w:r>
          </w:p>
        </w:tc>
        <w:tc>
          <w:tcPr>
            <w:tcW w:w="1980" w:type="dxa"/>
            <w:shd w:val="pct10" w:color="auto" w:fill="auto"/>
            <w:tcMar>
              <w:top w:w="29" w:type="dxa"/>
              <w:left w:w="115" w:type="dxa"/>
              <w:bottom w:w="29" w:type="dxa"/>
              <w:right w:w="115" w:type="dxa"/>
            </w:tcMar>
            <w:vAlign w:val="center"/>
          </w:tcPr>
          <w:p w:rsidR="00D46B3D" w:rsidRDefault="00D46B3D" w:rsidP="00B27084">
            <w:pPr>
              <w:pStyle w:val="FooterTableHeader"/>
            </w:pPr>
            <w:r>
              <w:t>Date</w:t>
            </w:r>
          </w:p>
        </w:tc>
        <w:tc>
          <w:tcPr>
            <w:tcW w:w="2340" w:type="dxa"/>
            <w:shd w:val="pct10" w:color="auto" w:fill="auto"/>
            <w:tcMar>
              <w:top w:w="29" w:type="dxa"/>
              <w:left w:w="115" w:type="dxa"/>
              <w:bottom w:w="29" w:type="dxa"/>
              <w:right w:w="115" w:type="dxa"/>
            </w:tcMar>
            <w:vAlign w:val="center"/>
          </w:tcPr>
          <w:p w:rsidR="00D46B3D" w:rsidRDefault="00D46B3D" w:rsidP="00B27084">
            <w:pPr>
              <w:pStyle w:val="FooterTableHeader"/>
            </w:pPr>
            <w:r>
              <w:t>Signature</w:t>
            </w:r>
          </w:p>
        </w:tc>
      </w:tr>
      <w:tr w:rsidR="00D46B3D" w:rsidTr="00B27084">
        <w:trPr>
          <w:trHeight w:val="346"/>
        </w:trPr>
        <w:tc>
          <w:tcPr>
            <w:tcW w:w="2520" w:type="dxa"/>
            <w:tcBorders>
              <w:bottom w:val="single" w:sz="4" w:space="0" w:color="auto"/>
            </w:tcBorders>
            <w:tcMar>
              <w:top w:w="29" w:type="dxa"/>
              <w:left w:w="115" w:type="dxa"/>
              <w:bottom w:w="29" w:type="dxa"/>
              <w:right w:w="115" w:type="dxa"/>
            </w:tcMar>
            <w:vAlign w:val="center"/>
          </w:tcPr>
          <w:p w:rsidR="00D46B3D" w:rsidRPr="00E955F9" w:rsidRDefault="00D46B3D" w:rsidP="00B27084">
            <w:pPr>
              <w:pStyle w:val="PolicyHeaderFill"/>
              <w:rPr>
                <w:highlight w:val="yellow"/>
              </w:rPr>
            </w:pPr>
            <w:r w:rsidRPr="00E955F9">
              <w:rPr>
                <w:highlight w:val="yellow"/>
              </w:rPr>
              <w:t>Policy Author</w:t>
            </w:r>
          </w:p>
        </w:tc>
        <w:tc>
          <w:tcPr>
            <w:tcW w:w="2520" w:type="dxa"/>
            <w:tcBorders>
              <w:bottom w:val="single" w:sz="4" w:space="0" w:color="auto"/>
            </w:tcBorders>
            <w:tcMar>
              <w:top w:w="29" w:type="dxa"/>
              <w:left w:w="115" w:type="dxa"/>
              <w:bottom w:w="29" w:type="dxa"/>
              <w:right w:w="115" w:type="dxa"/>
            </w:tcMar>
            <w:vAlign w:val="center"/>
          </w:tcPr>
          <w:p w:rsidR="00D46B3D" w:rsidRPr="00E955F9" w:rsidRDefault="00D46B3D" w:rsidP="00B27084">
            <w:pPr>
              <w:pStyle w:val="PolicyHeaderFill"/>
              <w:rPr>
                <w:highlight w:val="yellow"/>
              </w:rPr>
            </w:pPr>
            <w:r w:rsidRPr="00E955F9">
              <w:rPr>
                <w:highlight w:val="yellow"/>
              </w:rPr>
              <w:t>Title</w:t>
            </w:r>
          </w:p>
        </w:tc>
        <w:tc>
          <w:tcPr>
            <w:tcW w:w="1980" w:type="dxa"/>
            <w:tcBorders>
              <w:bottom w:val="single" w:sz="4" w:space="0" w:color="auto"/>
            </w:tcBorders>
            <w:tcMar>
              <w:top w:w="29" w:type="dxa"/>
              <w:left w:w="115" w:type="dxa"/>
              <w:bottom w:w="29" w:type="dxa"/>
              <w:right w:w="115" w:type="dxa"/>
            </w:tcMar>
            <w:vAlign w:val="center"/>
          </w:tcPr>
          <w:p w:rsidR="00D46B3D" w:rsidRPr="0043775C" w:rsidRDefault="00D46B3D" w:rsidP="00B27084">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D46B3D" w:rsidRDefault="00D46B3D" w:rsidP="00B27084">
            <w:pPr>
              <w:jc w:val="center"/>
            </w:pPr>
          </w:p>
        </w:tc>
      </w:tr>
      <w:tr w:rsidR="00D46B3D" w:rsidTr="00B27084">
        <w:trPr>
          <w:trHeight w:val="346"/>
        </w:trPr>
        <w:tc>
          <w:tcPr>
            <w:tcW w:w="2520" w:type="dxa"/>
            <w:shd w:val="pct10" w:color="auto" w:fill="auto"/>
            <w:tcMar>
              <w:top w:w="29" w:type="dxa"/>
              <w:left w:w="115" w:type="dxa"/>
              <w:bottom w:w="29" w:type="dxa"/>
              <w:right w:w="115" w:type="dxa"/>
            </w:tcMar>
            <w:vAlign w:val="center"/>
          </w:tcPr>
          <w:p w:rsidR="00D46B3D" w:rsidRDefault="00D46B3D" w:rsidP="00B27084">
            <w:pPr>
              <w:pStyle w:val="FooterTableHeader"/>
            </w:pPr>
            <w:r>
              <w:t>Approved By</w:t>
            </w:r>
          </w:p>
        </w:tc>
        <w:tc>
          <w:tcPr>
            <w:tcW w:w="2520" w:type="dxa"/>
            <w:shd w:val="pct10" w:color="auto" w:fill="auto"/>
            <w:tcMar>
              <w:top w:w="29" w:type="dxa"/>
              <w:left w:w="115" w:type="dxa"/>
              <w:bottom w:w="29" w:type="dxa"/>
              <w:right w:w="115" w:type="dxa"/>
            </w:tcMar>
            <w:vAlign w:val="center"/>
          </w:tcPr>
          <w:p w:rsidR="00D46B3D" w:rsidRDefault="00D46B3D" w:rsidP="00B27084">
            <w:pPr>
              <w:pStyle w:val="FooterTableHeader"/>
            </w:pPr>
            <w:r>
              <w:t>Title</w:t>
            </w:r>
          </w:p>
        </w:tc>
        <w:tc>
          <w:tcPr>
            <w:tcW w:w="1980" w:type="dxa"/>
            <w:shd w:val="pct10" w:color="auto" w:fill="auto"/>
            <w:tcMar>
              <w:top w:w="29" w:type="dxa"/>
              <w:left w:w="115" w:type="dxa"/>
              <w:bottom w:w="29" w:type="dxa"/>
              <w:right w:w="115" w:type="dxa"/>
            </w:tcMar>
            <w:vAlign w:val="center"/>
          </w:tcPr>
          <w:p w:rsidR="00D46B3D" w:rsidRDefault="00D46B3D" w:rsidP="00B27084">
            <w:pPr>
              <w:pStyle w:val="FooterTableHeader"/>
            </w:pPr>
            <w:r>
              <w:t>Date</w:t>
            </w:r>
          </w:p>
        </w:tc>
        <w:tc>
          <w:tcPr>
            <w:tcW w:w="2340" w:type="dxa"/>
            <w:shd w:val="pct10" w:color="auto" w:fill="auto"/>
            <w:tcMar>
              <w:top w:w="29" w:type="dxa"/>
              <w:left w:w="115" w:type="dxa"/>
              <w:bottom w:w="29" w:type="dxa"/>
              <w:right w:w="115" w:type="dxa"/>
            </w:tcMar>
            <w:vAlign w:val="center"/>
          </w:tcPr>
          <w:p w:rsidR="00D46B3D" w:rsidRDefault="00D46B3D" w:rsidP="00B27084">
            <w:pPr>
              <w:pStyle w:val="FooterTableHeader"/>
            </w:pPr>
            <w:r>
              <w:t>Signature</w:t>
            </w:r>
          </w:p>
        </w:tc>
      </w:tr>
      <w:tr w:rsidR="00D46B3D" w:rsidTr="00B27084">
        <w:trPr>
          <w:trHeight w:val="346"/>
        </w:trPr>
        <w:tc>
          <w:tcPr>
            <w:tcW w:w="2520" w:type="dxa"/>
            <w:tcMar>
              <w:top w:w="29" w:type="dxa"/>
              <w:left w:w="115" w:type="dxa"/>
              <w:bottom w:w="29" w:type="dxa"/>
              <w:right w:w="115" w:type="dxa"/>
            </w:tcMar>
            <w:vAlign w:val="center"/>
          </w:tcPr>
          <w:p w:rsidR="00D46B3D" w:rsidRPr="00E955F9" w:rsidRDefault="00D46B3D" w:rsidP="00B27084">
            <w:pPr>
              <w:pStyle w:val="PolicyHeaderFill"/>
              <w:rPr>
                <w:highlight w:val="yellow"/>
              </w:rPr>
            </w:pPr>
            <w:r w:rsidRPr="00E955F9">
              <w:rPr>
                <w:highlight w:val="yellow"/>
              </w:rPr>
              <w:t>Executive Sponsor</w:t>
            </w:r>
          </w:p>
        </w:tc>
        <w:tc>
          <w:tcPr>
            <w:tcW w:w="2520" w:type="dxa"/>
            <w:tcMar>
              <w:top w:w="29" w:type="dxa"/>
              <w:left w:w="115" w:type="dxa"/>
              <w:bottom w:w="29" w:type="dxa"/>
              <w:right w:w="115" w:type="dxa"/>
            </w:tcMar>
            <w:vAlign w:val="center"/>
          </w:tcPr>
          <w:p w:rsidR="00D46B3D" w:rsidRPr="0043775C" w:rsidRDefault="00D46B3D" w:rsidP="00B27084">
            <w:pPr>
              <w:pStyle w:val="PolicyHeaderFill"/>
            </w:pPr>
            <w:r w:rsidRPr="00E955F9">
              <w:rPr>
                <w:highlight w:val="yellow"/>
              </w:rPr>
              <w:t>Title</w:t>
            </w:r>
          </w:p>
        </w:tc>
        <w:tc>
          <w:tcPr>
            <w:tcW w:w="1980" w:type="dxa"/>
            <w:tcMar>
              <w:top w:w="29" w:type="dxa"/>
              <w:left w:w="115" w:type="dxa"/>
              <w:bottom w:w="29" w:type="dxa"/>
              <w:right w:w="115" w:type="dxa"/>
            </w:tcMar>
            <w:vAlign w:val="center"/>
          </w:tcPr>
          <w:p w:rsidR="00D46B3D" w:rsidRPr="0043775C" w:rsidRDefault="00D46B3D" w:rsidP="00B27084">
            <w:pPr>
              <w:pStyle w:val="PolicyHeaderFill"/>
            </w:pPr>
            <w:r>
              <w:t>MM/DD/YYYY</w:t>
            </w:r>
          </w:p>
        </w:tc>
        <w:tc>
          <w:tcPr>
            <w:tcW w:w="2340" w:type="dxa"/>
            <w:tcMar>
              <w:top w:w="29" w:type="dxa"/>
              <w:left w:w="115" w:type="dxa"/>
              <w:bottom w:w="29" w:type="dxa"/>
              <w:right w:w="115" w:type="dxa"/>
            </w:tcMar>
            <w:vAlign w:val="center"/>
          </w:tcPr>
          <w:p w:rsidR="00D46B3D" w:rsidRDefault="00D46B3D" w:rsidP="00B27084">
            <w:pPr>
              <w:jc w:val="center"/>
            </w:pPr>
          </w:p>
        </w:tc>
      </w:tr>
    </w:tbl>
    <w:p w:rsidR="00D46B3D" w:rsidRPr="00EF734B" w:rsidRDefault="00D46B3D" w:rsidP="00D46B3D">
      <w:pPr>
        <w:pStyle w:val="PolicyElementHeader"/>
        <w:rPr>
          <w:bCs/>
          <w:color w:val="00527A"/>
        </w:rPr>
      </w:pPr>
      <w:bookmarkStart w:id="34" w:name="_Toc525041758"/>
      <w:bookmarkStart w:id="35" w:name="_Toc3879595"/>
      <w:r w:rsidRPr="00EF734B">
        <w:rPr>
          <w:bCs/>
          <w:color w:val="00527A"/>
        </w:rPr>
        <w:t>Revision History</w:t>
      </w:r>
      <w:bookmarkEnd w:id="34"/>
      <w:bookmarkEnd w:id="35"/>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46B3D" w:rsidRPr="0076502A" w:rsidTr="00B27084">
        <w:trPr>
          <w:trHeight w:val="566"/>
        </w:trPr>
        <w:tc>
          <w:tcPr>
            <w:tcW w:w="624" w:type="pct"/>
            <w:shd w:val="pct10" w:color="auto" w:fill="auto"/>
            <w:vAlign w:val="center"/>
          </w:tcPr>
          <w:p w:rsidR="00D46B3D" w:rsidRPr="00DA209E" w:rsidRDefault="00D46B3D" w:rsidP="00B27084">
            <w:pPr>
              <w:pStyle w:val="FooterTableHeader"/>
            </w:pPr>
            <w:r w:rsidRPr="00DA209E">
              <w:t>Version</w:t>
            </w:r>
          </w:p>
        </w:tc>
        <w:tc>
          <w:tcPr>
            <w:tcW w:w="1540" w:type="pct"/>
            <w:shd w:val="pct10" w:color="auto" w:fill="auto"/>
            <w:vAlign w:val="center"/>
          </w:tcPr>
          <w:p w:rsidR="00D46B3D" w:rsidRPr="00DA209E" w:rsidRDefault="00D46B3D" w:rsidP="00B27084">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46B3D" w:rsidRPr="00DA209E" w:rsidRDefault="00D46B3D" w:rsidP="00B27084">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46B3D" w:rsidRPr="00DA209E" w:rsidRDefault="00D46B3D" w:rsidP="00B27084">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46B3D" w:rsidRPr="00DA209E" w:rsidRDefault="00D46B3D" w:rsidP="00B27084">
            <w:pPr>
              <w:pStyle w:val="FooterTableHeader"/>
            </w:pPr>
            <w:r>
              <w:t>Reviewer/Approver</w:t>
            </w:r>
            <w:r w:rsidRPr="00DA209E">
              <w:br/>
              <w:t>Name</w:t>
            </w:r>
          </w:p>
        </w:tc>
      </w:tr>
      <w:tr w:rsidR="00D46B3D" w:rsidRPr="0076502A" w:rsidTr="00B27084">
        <w:trPr>
          <w:trHeight w:val="288"/>
        </w:trPr>
        <w:tc>
          <w:tcPr>
            <w:tcW w:w="624" w:type="pct"/>
            <w:vAlign w:val="center"/>
          </w:tcPr>
          <w:p w:rsidR="00D46B3D" w:rsidRPr="00DA209E" w:rsidRDefault="00D46B3D" w:rsidP="00B27084">
            <w:pPr>
              <w:pStyle w:val="PolicyHeaderFill"/>
            </w:pPr>
            <w:r w:rsidRPr="00DA209E">
              <w:t>1.0</w:t>
            </w:r>
          </w:p>
        </w:tc>
        <w:tc>
          <w:tcPr>
            <w:tcW w:w="1540" w:type="pct"/>
            <w:vAlign w:val="center"/>
          </w:tcPr>
          <w:p w:rsidR="00D46B3D" w:rsidRPr="00DA209E" w:rsidRDefault="00D46B3D" w:rsidP="00B27084">
            <w:pPr>
              <w:pStyle w:val="PolicyHeaderFill"/>
            </w:pPr>
            <w:r w:rsidRPr="00DA209E">
              <w:t>Initial Version</w:t>
            </w:r>
          </w:p>
        </w:tc>
        <w:tc>
          <w:tcPr>
            <w:tcW w:w="817" w:type="pct"/>
            <w:tcMar>
              <w:top w:w="29" w:type="dxa"/>
              <w:left w:w="115" w:type="dxa"/>
              <w:bottom w:w="29" w:type="dxa"/>
              <w:right w:w="115" w:type="dxa"/>
            </w:tcMar>
            <w:vAlign w:val="center"/>
          </w:tcPr>
          <w:p w:rsidR="00D46B3D" w:rsidRPr="00DA209E" w:rsidRDefault="00E955F9" w:rsidP="00B27084">
            <w:pPr>
              <w:pStyle w:val="PolicyHeaderFill"/>
            </w:pPr>
            <w:r>
              <w:t>10/05/2019</w:t>
            </w:r>
          </w:p>
        </w:tc>
        <w:tc>
          <w:tcPr>
            <w:tcW w:w="817" w:type="pct"/>
            <w:tcMar>
              <w:top w:w="29" w:type="dxa"/>
              <w:left w:w="115" w:type="dxa"/>
              <w:bottom w:w="29" w:type="dxa"/>
              <w:right w:w="115" w:type="dxa"/>
            </w:tcMar>
            <w:vAlign w:val="center"/>
          </w:tcPr>
          <w:p w:rsidR="00D46B3D" w:rsidRPr="00DA209E" w:rsidRDefault="00D46B3D" w:rsidP="00B27084">
            <w:pPr>
              <w:pStyle w:val="PolicyHeaderFill"/>
            </w:pPr>
            <w:r>
              <w:t>MM/DD/YYYY</w:t>
            </w:r>
          </w:p>
        </w:tc>
        <w:tc>
          <w:tcPr>
            <w:tcW w:w="1202" w:type="pct"/>
            <w:tcMar>
              <w:top w:w="29" w:type="dxa"/>
              <w:left w:w="115" w:type="dxa"/>
              <w:bottom w:w="29" w:type="dxa"/>
              <w:right w:w="115" w:type="dxa"/>
            </w:tcMar>
            <w:vAlign w:val="center"/>
          </w:tcPr>
          <w:p w:rsidR="00D46B3D" w:rsidRPr="0076502A" w:rsidRDefault="00D46B3D" w:rsidP="00B27084">
            <w:pPr>
              <w:pStyle w:val="PolicyHeaderFill"/>
            </w:pPr>
          </w:p>
        </w:tc>
      </w:tr>
      <w:tr w:rsidR="00D46B3D" w:rsidRPr="0076502A" w:rsidTr="00B27084">
        <w:trPr>
          <w:trHeight w:val="288"/>
        </w:trPr>
        <w:tc>
          <w:tcPr>
            <w:tcW w:w="624" w:type="pct"/>
            <w:vAlign w:val="center"/>
          </w:tcPr>
          <w:p w:rsidR="00D46B3D" w:rsidRPr="0076502A" w:rsidRDefault="00D46B3D" w:rsidP="00B27084">
            <w:pPr>
              <w:pStyle w:val="FooterTableHeader"/>
              <w:rPr>
                <w:rFonts w:ascii="Times New Roman" w:hAnsi="Times New Roman"/>
                <w:sz w:val="22"/>
                <w:szCs w:val="22"/>
              </w:rPr>
            </w:pPr>
          </w:p>
        </w:tc>
        <w:tc>
          <w:tcPr>
            <w:tcW w:w="1540" w:type="pct"/>
            <w:vAlign w:val="center"/>
          </w:tcPr>
          <w:p w:rsidR="00D46B3D" w:rsidRPr="0076502A" w:rsidRDefault="00D46B3D" w:rsidP="00B27084">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46B3D" w:rsidRPr="0076502A" w:rsidRDefault="00D46B3D" w:rsidP="00B27084">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46B3D" w:rsidRPr="003C1B8C" w:rsidRDefault="00D46B3D" w:rsidP="00B27084">
            <w:pPr>
              <w:pStyle w:val="PolicyHeaderFill"/>
            </w:pPr>
          </w:p>
        </w:tc>
        <w:tc>
          <w:tcPr>
            <w:tcW w:w="1202" w:type="pct"/>
            <w:tcMar>
              <w:top w:w="29" w:type="dxa"/>
              <w:left w:w="115" w:type="dxa"/>
              <w:bottom w:w="29" w:type="dxa"/>
              <w:right w:w="115" w:type="dxa"/>
            </w:tcMar>
            <w:vAlign w:val="center"/>
          </w:tcPr>
          <w:p w:rsidR="00D46B3D" w:rsidRPr="0076502A" w:rsidRDefault="00D46B3D" w:rsidP="00B27084">
            <w:pPr>
              <w:pStyle w:val="FooterTableHeader"/>
              <w:rPr>
                <w:rFonts w:ascii="Times New Roman" w:hAnsi="Times New Roman"/>
                <w:sz w:val="22"/>
                <w:szCs w:val="22"/>
              </w:rPr>
            </w:pPr>
          </w:p>
        </w:tc>
      </w:tr>
    </w:tbl>
    <w:p w:rsidR="002B50C6" w:rsidRDefault="002B50C6"/>
    <w:sectPr w:rsidR="002B50C6" w:rsidSect="00D13DA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70416" w:rsidRDefault="00E70416">
      <w:r>
        <w:separator/>
      </w:r>
    </w:p>
    <w:p w:rsidR="00E70416" w:rsidRDefault="00E70416"/>
  </w:endnote>
  <w:endnote w:type="continuationSeparator" w:id="0">
    <w:p w:rsidR="00E70416" w:rsidRDefault="00E70416">
      <w:r>
        <w:continuationSeparator/>
      </w:r>
    </w:p>
    <w:p w:rsidR="00E70416" w:rsidRDefault="00E704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1B8C" w:rsidRPr="00575A04" w:rsidRDefault="00961256" w:rsidP="00575A04">
    <w:pPr>
      <w:pStyle w:val="Footer"/>
    </w:pPr>
    <w:r>
      <w:t>CompanyX</w:t>
    </w:r>
    <w:r w:rsidR="002863C3">
      <w:t xml:space="preserve"> Security Policy</w:t>
    </w:r>
    <w:r w:rsidR="003C1B8C" w:rsidRPr="00575A04">
      <w:tab/>
    </w:r>
    <w:r w:rsidR="00E955F9">
      <w:t>Classification: INTERNAL</w:t>
    </w:r>
    <w:r w:rsidR="003C1B8C" w:rsidRPr="00575A04">
      <w:tab/>
    </w:r>
    <w:r w:rsidR="003C1B8C">
      <w:t xml:space="preserve">  </w:t>
    </w:r>
    <w:r w:rsidR="003C1B8C" w:rsidRPr="00575A04">
      <w:t xml:space="preserve">Page </w:t>
    </w:r>
    <w:r w:rsidR="00214F1F">
      <w:rPr>
        <w:noProof/>
      </w:rPr>
      <w:fldChar w:fldCharType="begin"/>
    </w:r>
    <w:r w:rsidR="00214F1F">
      <w:rPr>
        <w:noProof/>
      </w:rPr>
      <w:instrText xml:space="preserve"> PAGE </w:instrText>
    </w:r>
    <w:r w:rsidR="00214F1F">
      <w:rPr>
        <w:noProof/>
      </w:rPr>
      <w:fldChar w:fldCharType="separate"/>
    </w:r>
    <w:r w:rsidR="00652980">
      <w:rPr>
        <w:noProof/>
      </w:rPr>
      <w:t>1</w:t>
    </w:r>
    <w:r w:rsidR="00214F1F">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70416" w:rsidRDefault="00E70416">
      <w:r>
        <w:separator/>
      </w:r>
    </w:p>
    <w:p w:rsidR="00E70416" w:rsidRDefault="00E70416"/>
  </w:footnote>
  <w:footnote w:type="continuationSeparator" w:id="0">
    <w:p w:rsidR="00E70416" w:rsidRDefault="00E70416">
      <w:r>
        <w:continuationSeparator/>
      </w:r>
    </w:p>
    <w:p w:rsidR="00E70416" w:rsidRDefault="00E704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E955F9" w:rsidRPr="00ED75F8" w:rsidTr="00ED7DC0">
      <w:trPr>
        <w:trHeight w:val="576"/>
        <w:jc w:val="center"/>
      </w:trPr>
      <w:tc>
        <w:tcPr>
          <w:tcW w:w="7375" w:type="dxa"/>
          <w:vAlign w:val="center"/>
        </w:tcPr>
        <w:p w:rsidR="00E955F9" w:rsidRPr="00E955F9" w:rsidRDefault="00961256" w:rsidP="00E955F9">
          <w:pPr>
            <w:jc w:val="center"/>
            <w:rPr>
              <w:rFonts w:ascii="Calibri" w:hAnsi="Calibri"/>
              <w:szCs w:val="22"/>
            </w:rPr>
          </w:pPr>
          <w:r>
            <w:rPr>
              <w:rFonts w:ascii="Calibri" w:hAnsi="Calibri"/>
              <w:szCs w:val="22"/>
            </w:rPr>
            <w:t>(Company Logo or Name)</w:t>
          </w:r>
        </w:p>
      </w:tc>
      <w:tc>
        <w:tcPr>
          <w:tcW w:w="1440" w:type="dxa"/>
          <w:vAlign w:val="center"/>
        </w:tcPr>
        <w:p w:rsidR="00E955F9" w:rsidRPr="00E955F9" w:rsidRDefault="00E955F9" w:rsidP="00E955F9">
          <w:pPr>
            <w:jc w:val="center"/>
            <w:rPr>
              <w:rFonts w:ascii="Calibri" w:hAnsi="Calibri"/>
              <w:szCs w:val="22"/>
            </w:rPr>
          </w:pPr>
          <w:r w:rsidRPr="00E955F9">
            <w:rPr>
              <w:rFonts w:ascii="Calibri" w:hAnsi="Calibri"/>
              <w:b/>
              <w:szCs w:val="22"/>
            </w:rPr>
            <w:t>Document #</w:t>
          </w:r>
        </w:p>
      </w:tc>
      <w:tc>
        <w:tcPr>
          <w:tcW w:w="1795" w:type="dxa"/>
          <w:vAlign w:val="center"/>
        </w:tcPr>
        <w:p w:rsidR="00E955F9" w:rsidRPr="00E955F9" w:rsidRDefault="00E955F9" w:rsidP="00E955F9">
          <w:pPr>
            <w:jc w:val="center"/>
            <w:rPr>
              <w:rStyle w:val="IntenseEmphasis"/>
              <w:rFonts w:ascii="Cambria" w:hAnsi="Cambria"/>
              <w:szCs w:val="22"/>
            </w:rPr>
          </w:pPr>
          <w:r w:rsidRPr="00E955F9">
            <w:rPr>
              <w:rStyle w:val="IntenseEmphasis"/>
              <w:rFonts w:ascii="Cambria" w:hAnsi="Cambria"/>
              <w:szCs w:val="22"/>
            </w:rPr>
            <w:t>IT-PL-</w:t>
          </w:r>
          <w:r w:rsidRPr="00E955F9">
            <w:rPr>
              <w:rStyle w:val="IntenseEmphasis"/>
              <w:rFonts w:ascii="Cambria" w:hAnsi="Cambria"/>
              <w:szCs w:val="22"/>
              <w:highlight w:val="yellow"/>
            </w:rPr>
            <w:t>XX</w:t>
          </w:r>
        </w:p>
      </w:tc>
    </w:tr>
    <w:tr w:rsidR="00E955F9" w:rsidRPr="00ED75F8" w:rsidTr="00ED7DC0">
      <w:trPr>
        <w:trHeight w:val="1008"/>
        <w:jc w:val="center"/>
      </w:trPr>
      <w:tc>
        <w:tcPr>
          <w:tcW w:w="10610" w:type="dxa"/>
          <w:gridSpan w:val="3"/>
        </w:tcPr>
        <w:p w:rsidR="00E955F9" w:rsidRPr="00E955F9" w:rsidRDefault="00E955F9" w:rsidP="00E955F9">
          <w:pPr>
            <w:jc w:val="center"/>
            <w:rPr>
              <w:rFonts w:ascii="Calibri" w:hAnsi="Calibri"/>
              <w:i/>
              <w:sz w:val="28"/>
              <w:szCs w:val="22"/>
            </w:rPr>
          </w:pPr>
        </w:p>
        <w:p w:rsidR="00E955F9" w:rsidRPr="00A12E79" w:rsidRDefault="00E955F9" w:rsidP="00E955F9">
          <w:pPr>
            <w:pStyle w:val="Title"/>
          </w:pPr>
          <w:r w:rsidRPr="00E955F9">
            <w:t>Information Exchange Policy</w:t>
          </w:r>
        </w:p>
      </w:tc>
    </w:tr>
  </w:tbl>
  <w:p w:rsidR="00E955F9" w:rsidRDefault="00E955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A3"/>
    <w:rsid w:val="0000157F"/>
    <w:rsid w:val="000037EE"/>
    <w:rsid w:val="00011129"/>
    <w:rsid w:val="0003608C"/>
    <w:rsid w:val="00051520"/>
    <w:rsid w:val="00074BA0"/>
    <w:rsid w:val="00087738"/>
    <w:rsid w:val="000A6314"/>
    <w:rsid w:val="000C06AA"/>
    <w:rsid w:val="001072C4"/>
    <w:rsid w:val="00107EC2"/>
    <w:rsid w:val="001116EE"/>
    <w:rsid w:val="00120916"/>
    <w:rsid w:val="00121B04"/>
    <w:rsid w:val="00123DF3"/>
    <w:rsid w:val="00143AFF"/>
    <w:rsid w:val="0016248C"/>
    <w:rsid w:val="0016703E"/>
    <w:rsid w:val="001B3246"/>
    <w:rsid w:val="001B556F"/>
    <w:rsid w:val="001E29F7"/>
    <w:rsid w:val="001E5FFA"/>
    <w:rsid w:val="001F1048"/>
    <w:rsid w:val="00214F1F"/>
    <w:rsid w:val="00222770"/>
    <w:rsid w:val="00234128"/>
    <w:rsid w:val="00244229"/>
    <w:rsid w:val="00255B11"/>
    <w:rsid w:val="0025728D"/>
    <w:rsid w:val="002863C3"/>
    <w:rsid w:val="00291101"/>
    <w:rsid w:val="0029313E"/>
    <w:rsid w:val="002A1334"/>
    <w:rsid w:val="002A4C34"/>
    <w:rsid w:val="002A7256"/>
    <w:rsid w:val="002A7455"/>
    <w:rsid w:val="002A7803"/>
    <w:rsid w:val="002B50C6"/>
    <w:rsid w:val="002D5B91"/>
    <w:rsid w:val="00307C3B"/>
    <w:rsid w:val="003162F7"/>
    <w:rsid w:val="003345C8"/>
    <w:rsid w:val="00364588"/>
    <w:rsid w:val="00375F3E"/>
    <w:rsid w:val="00385F82"/>
    <w:rsid w:val="00397D8F"/>
    <w:rsid w:val="003B089F"/>
    <w:rsid w:val="003C1B8C"/>
    <w:rsid w:val="003D14BE"/>
    <w:rsid w:val="003D1FCA"/>
    <w:rsid w:val="003F09FA"/>
    <w:rsid w:val="00400FC8"/>
    <w:rsid w:val="004254C1"/>
    <w:rsid w:val="00451671"/>
    <w:rsid w:val="00452F88"/>
    <w:rsid w:val="00481967"/>
    <w:rsid w:val="00491984"/>
    <w:rsid w:val="00496EF1"/>
    <w:rsid w:val="004A3D03"/>
    <w:rsid w:val="004B4B1E"/>
    <w:rsid w:val="004D2353"/>
    <w:rsid w:val="004D37EB"/>
    <w:rsid w:val="004E3134"/>
    <w:rsid w:val="004F7469"/>
    <w:rsid w:val="0050303A"/>
    <w:rsid w:val="0051524F"/>
    <w:rsid w:val="00555CFC"/>
    <w:rsid w:val="00562F38"/>
    <w:rsid w:val="00565990"/>
    <w:rsid w:val="00565B97"/>
    <w:rsid w:val="00575A04"/>
    <w:rsid w:val="005A4B62"/>
    <w:rsid w:val="005B23C5"/>
    <w:rsid w:val="005D12B6"/>
    <w:rsid w:val="005D35BE"/>
    <w:rsid w:val="005D52B4"/>
    <w:rsid w:val="006173D9"/>
    <w:rsid w:val="006200A9"/>
    <w:rsid w:val="0062107D"/>
    <w:rsid w:val="006510F6"/>
    <w:rsid w:val="00652980"/>
    <w:rsid w:val="00653F92"/>
    <w:rsid w:val="00673932"/>
    <w:rsid w:val="00684D1E"/>
    <w:rsid w:val="0068601F"/>
    <w:rsid w:val="006C099D"/>
    <w:rsid w:val="006C0C58"/>
    <w:rsid w:val="006C3ECF"/>
    <w:rsid w:val="006D6C78"/>
    <w:rsid w:val="007129D9"/>
    <w:rsid w:val="00760E35"/>
    <w:rsid w:val="007714E2"/>
    <w:rsid w:val="0077342D"/>
    <w:rsid w:val="00775AB4"/>
    <w:rsid w:val="007844D5"/>
    <w:rsid w:val="00796DF8"/>
    <w:rsid w:val="007A64C1"/>
    <w:rsid w:val="007D37A8"/>
    <w:rsid w:val="007F61A2"/>
    <w:rsid w:val="008063B7"/>
    <w:rsid w:val="00816505"/>
    <w:rsid w:val="008314F4"/>
    <w:rsid w:val="0083580C"/>
    <w:rsid w:val="00837A0A"/>
    <w:rsid w:val="0085160B"/>
    <w:rsid w:val="00853487"/>
    <w:rsid w:val="0086465F"/>
    <w:rsid w:val="00897169"/>
    <w:rsid w:val="008A2E22"/>
    <w:rsid w:val="008D45E4"/>
    <w:rsid w:val="008E325A"/>
    <w:rsid w:val="00923C76"/>
    <w:rsid w:val="00924538"/>
    <w:rsid w:val="009246D3"/>
    <w:rsid w:val="0093202E"/>
    <w:rsid w:val="009320CC"/>
    <w:rsid w:val="00955117"/>
    <w:rsid w:val="00961256"/>
    <w:rsid w:val="00975083"/>
    <w:rsid w:val="009A0C59"/>
    <w:rsid w:val="009A4764"/>
    <w:rsid w:val="009A6CDE"/>
    <w:rsid w:val="009D2C64"/>
    <w:rsid w:val="009F1103"/>
    <w:rsid w:val="009F71D5"/>
    <w:rsid w:val="00A13EAC"/>
    <w:rsid w:val="00A3029F"/>
    <w:rsid w:val="00A32B57"/>
    <w:rsid w:val="00A33801"/>
    <w:rsid w:val="00A3631A"/>
    <w:rsid w:val="00A4341D"/>
    <w:rsid w:val="00A437C9"/>
    <w:rsid w:val="00A726A1"/>
    <w:rsid w:val="00A86EC4"/>
    <w:rsid w:val="00AB5967"/>
    <w:rsid w:val="00AC0F82"/>
    <w:rsid w:val="00AD5BE0"/>
    <w:rsid w:val="00AF5689"/>
    <w:rsid w:val="00B31688"/>
    <w:rsid w:val="00B35F97"/>
    <w:rsid w:val="00B36AF7"/>
    <w:rsid w:val="00B427DB"/>
    <w:rsid w:val="00B53867"/>
    <w:rsid w:val="00BA21BA"/>
    <w:rsid w:val="00BA7551"/>
    <w:rsid w:val="00BB7929"/>
    <w:rsid w:val="00BC6F34"/>
    <w:rsid w:val="00BF1A5F"/>
    <w:rsid w:val="00C21BF8"/>
    <w:rsid w:val="00C453A2"/>
    <w:rsid w:val="00C51809"/>
    <w:rsid w:val="00C51C73"/>
    <w:rsid w:val="00C64EAF"/>
    <w:rsid w:val="00C73AEF"/>
    <w:rsid w:val="00C76D3B"/>
    <w:rsid w:val="00C7753F"/>
    <w:rsid w:val="00C80DA4"/>
    <w:rsid w:val="00CA01E1"/>
    <w:rsid w:val="00CD236D"/>
    <w:rsid w:val="00D038C8"/>
    <w:rsid w:val="00D13DA3"/>
    <w:rsid w:val="00D218BE"/>
    <w:rsid w:val="00D35111"/>
    <w:rsid w:val="00D46B3D"/>
    <w:rsid w:val="00D519A6"/>
    <w:rsid w:val="00D53A22"/>
    <w:rsid w:val="00D83CD8"/>
    <w:rsid w:val="00D86AF2"/>
    <w:rsid w:val="00DA209E"/>
    <w:rsid w:val="00DC3A20"/>
    <w:rsid w:val="00DC3FEF"/>
    <w:rsid w:val="00DC684D"/>
    <w:rsid w:val="00DF45B3"/>
    <w:rsid w:val="00DF667F"/>
    <w:rsid w:val="00E1776B"/>
    <w:rsid w:val="00E364EF"/>
    <w:rsid w:val="00E408FB"/>
    <w:rsid w:val="00E474F5"/>
    <w:rsid w:val="00E53344"/>
    <w:rsid w:val="00E65349"/>
    <w:rsid w:val="00E70416"/>
    <w:rsid w:val="00E81331"/>
    <w:rsid w:val="00E870BD"/>
    <w:rsid w:val="00E955F9"/>
    <w:rsid w:val="00EA5856"/>
    <w:rsid w:val="00EC5DB4"/>
    <w:rsid w:val="00EF734B"/>
    <w:rsid w:val="00F0351F"/>
    <w:rsid w:val="00F07EAE"/>
    <w:rsid w:val="00F143D3"/>
    <w:rsid w:val="00F26E33"/>
    <w:rsid w:val="00F30D46"/>
    <w:rsid w:val="00F51BD1"/>
    <w:rsid w:val="00F5315F"/>
    <w:rsid w:val="00F906B3"/>
    <w:rsid w:val="00FB3016"/>
    <w:rsid w:val="00FD506E"/>
    <w:rsid w:val="00FE040E"/>
    <w:rsid w:val="00FE1CA9"/>
    <w:rsid w:val="00FE2000"/>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16D063"/>
  <w15:docId w15:val="{44802286-5515-4A13-A045-25872B10C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qFormat/>
    <w:rsid w:val="00E65349"/>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E65349"/>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E65349"/>
    <w:pPr>
      <w:widowControl w:val="0"/>
      <w:ind w:left="360"/>
    </w:pPr>
    <w:rPr>
      <w:szCs w:val="20"/>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paragraph" w:customStyle="1" w:styleId="StylePolicyDefinitionNotBold">
    <w:name w:val="Style Policy Definition + Not Bold"/>
    <w:basedOn w:val="PolicyDefinition"/>
    <w:rsid w:val="00C21BF8"/>
    <w:pPr>
      <w:spacing w:after="120"/>
    </w:pPr>
    <w:rPr>
      <w:b w:val="0"/>
    </w:rPr>
  </w:style>
  <w:style w:type="character" w:customStyle="1" w:styleId="PolicyBodyTextChar">
    <w:name w:val="Policy Body Text Char"/>
    <w:link w:val="PolicyBodyText"/>
    <w:rsid w:val="00C64EAF"/>
    <w:rPr>
      <w:rFonts w:ascii="Arial" w:hAnsi="Arial"/>
      <w:sz w:val="22"/>
      <w:szCs w:val="24"/>
    </w:rPr>
  </w:style>
  <w:style w:type="table" w:styleId="TableGrid">
    <w:name w:val="Table Grid"/>
    <w:basedOn w:val="TableNormal"/>
    <w:rsid w:val="00E955F9"/>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E955F9"/>
    <w:rPr>
      <w:b/>
      <w:i/>
      <w:iCs/>
      <w:color w:val="B5464E"/>
    </w:rPr>
  </w:style>
  <w:style w:type="paragraph" w:styleId="Title">
    <w:name w:val="Title"/>
    <w:basedOn w:val="Normal"/>
    <w:next w:val="Normal"/>
    <w:link w:val="TitleChar"/>
    <w:qFormat/>
    <w:rsid w:val="00E955F9"/>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E955F9"/>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1735742346">
      <w:bodyDiv w:val="1"/>
      <w:marLeft w:val="0"/>
      <w:marRight w:val="0"/>
      <w:marTop w:val="0"/>
      <w:marBottom w:val="0"/>
      <w:divBdr>
        <w:top w:val="none" w:sz="0" w:space="0" w:color="auto"/>
        <w:left w:val="none" w:sz="0" w:space="0" w:color="auto"/>
        <w:bottom w:val="none" w:sz="0" w:space="0" w:color="auto"/>
        <w:right w:val="none" w:sz="0" w:space="0" w:color="auto"/>
      </w:divBdr>
    </w:div>
    <w:div w:id="1822426637">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BFF10-4587-1649-ADF6-31DCEC454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3778</Words>
  <Characters>21541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25269</CharactersWithSpaces>
  <SharedDoc>false</SharedDoc>
  <HLinks>
    <vt:vector size="144" baseType="variant">
      <vt:variant>
        <vt:i4>1835059</vt:i4>
      </vt:variant>
      <vt:variant>
        <vt:i4>140</vt:i4>
      </vt:variant>
      <vt:variant>
        <vt:i4>0</vt:i4>
      </vt:variant>
      <vt:variant>
        <vt:i4>5</vt:i4>
      </vt:variant>
      <vt:variant>
        <vt:lpwstr/>
      </vt:variant>
      <vt:variant>
        <vt:lpwstr>_Toc352611399</vt:lpwstr>
      </vt:variant>
      <vt:variant>
        <vt:i4>1835059</vt:i4>
      </vt:variant>
      <vt:variant>
        <vt:i4>134</vt:i4>
      </vt:variant>
      <vt:variant>
        <vt:i4>0</vt:i4>
      </vt:variant>
      <vt:variant>
        <vt:i4>5</vt:i4>
      </vt:variant>
      <vt:variant>
        <vt:lpwstr/>
      </vt:variant>
      <vt:variant>
        <vt:lpwstr>_Toc352611398</vt:lpwstr>
      </vt:variant>
      <vt:variant>
        <vt:i4>1835059</vt:i4>
      </vt:variant>
      <vt:variant>
        <vt:i4>128</vt:i4>
      </vt:variant>
      <vt:variant>
        <vt:i4>0</vt:i4>
      </vt:variant>
      <vt:variant>
        <vt:i4>5</vt:i4>
      </vt:variant>
      <vt:variant>
        <vt:lpwstr/>
      </vt:variant>
      <vt:variant>
        <vt:lpwstr>_Toc352611397</vt:lpwstr>
      </vt:variant>
      <vt:variant>
        <vt:i4>1835059</vt:i4>
      </vt:variant>
      <vt:variant>
        <vt:i4>122</vt:i4>
      </vt:variant>
      <vt:variant>
        <vt:i4>0</vt:i4>
      </vt:variant>
      <vt:variant>
        <vt:i4>5</vt:i4>
      </vt:variant>
      <vt:variant>
        <vt:lpwstr/>
      </vt:variant>
      <vt:variant>
        <vt:lpwstr>_Toc352611396</vt:lpwstr>
      </vt:variant>
      <vt:variant>
        <vt:i4>1835059</vt:i4>
      </vt:variant>
      <vt:variant>
        <vt:i4>116</vt:i4>
      </vt:variant>
      <vt:variant>
        <vt:i4>0</vt:i4>
      </vt:variant>
      <vt:variant>
        <vt:i4>5</vt:i4>
      </vt:variant>
      <vt:variant>
        <vt:lpwstr/>
      </vt:variant>
      <vt:variant>
        <vt:lpwstr>_Toc352611395</vt:lpwstr>
      </vt:variant>
      <vt:variant>
        <vt:i4>1835059</vt:i4>
      </vt:variant>
      <vt:variant>
        <vt:i4>110</vt:i4>
      </vt:variant>
      <vt:variant>
        <vt:i4>0</vt:i4>
      </vt:variant>
      <vt:variant>
        <vt:i4>5</vt:i4>
      </vt:variant>
      <vt:variant>
        <vt:lpwstr/>
      </vt:variant>
      <vt:variant>
        <vt:lpwstr>_Toc352611394</vt:lpwstr>
      </vt:variant>
      <vt:variant>
        <vt:i4>1835059</vt:i4>
      </vt:variant>
      <vt:variant>
        <vt:i4>104</vt:i4>
      </vt:variant>
      <vt:variant>
        <vt:i4>0</vt:i4>
      </vt:variant>
      <vt:variant>
        <vt:i4>5</vt:i4>
      </vt:variant>
      <vt:variant>
        <vt:lpwstr/>
      </vt:variant>
      <vt:variant>
        <vt:lpwstr>_Toc352611393</vt:lpwstr>
      </vt:variant>
      <vt:variant>
        <vt:i4>1835059</vt:i4>
      </vt:variant>
      <vt:variant>
        <vt:i4>98</vt:i4>
      </vt:variant>
      <vt:variant>
        <vt:i4>0</vt:i4>
      </vt:variant>
      <vt:variant>
        <vt:i4>5</vt:i4>
      </vt:variant>
      <vt:variant>
        <vt:lpwstr/>
      </vt:variant>
      <vt:variant>
        <vt:lpwstr>_Toc352611392</vt:lpwstr>
      </vt:variant>
      <vt:variant>
        <vt:i4>1835059</vt:i4>
      </vt:variant>
      <vt:variant>
        <vt:i4>92</vt:i4>
      </vt:variant>
      <vt:variant>
        <vt:i4>0</vt:i4>
      </vt:variant>
      <vt:variant>
        <vt:i4>5</vt:i4>
      </vt:variant>
      <vt:variant>
        <vt:lpwstr/>
      </vt:variant>
      <vt:variant>
        <vt:lpwstr>_Toc352611391</vt:lpwstr>
      </vt:variant>
      <vt:variant>
        <vt:i4>1835059</vt:i4>
      </vt:variant>
      <vt:variant>
        <vt:i4>86</vt:i4>
      </vt:variant>
      <vt:variant>
        <vt:i4>0</vt:i4>
      </vt:variant>
      <vt:variant>
        <vt:i4>5</vt:i4>
      </vt:variant>
      <vt:variant>
        <vt:lpwstr/>
      </vt:variant>
      <vt:variant>
        <vt:lpwstr>_Toc352611390</vt:lpwstr>
      </vt:variant>
      <vt:variant>
        <vt:i4>1900595</vt:i4>
      </vt:variant>
      <vt:variant>
        <vt:i4>80</vt:i4>
      </vt:variant>
      <vt:variant>
        <vt:i4>0</vt:i4>
      </vt:variant>
      <vt:variant>
        <vt:i4>5</vt:i4>
      </vt:variant>
      <vt:variant>
        <vt:lpwstr/>
      </vt:variant>
      <vt:variant>
        <vt:lpwstr>_Toc352611389</vt:lpwstr>
      </vt:variant>
      <vt:variant>
        <vt:i4>1900595</vt:i4>
      </vt:variant>
      <vt:variant>
        <vt:i4>74</vt:i4>
      </vt:variant>
      <vt:variant>
        <vt:i4>0</vt:i4>
      </vt:variant>
      <vt:variant>
        <vt:i4>5</vt:i4>
      </vt:variant>
      <vt:variant>
        <vt:lpwstr/>
      </vt:variant>
      <vt:variant>
        <vt:lpwstr>_Toc352611388</vt:lpwstr>
      </vt:variant>
      <vt:variant>
        <vt:i4>1900595</vt:i4>
      </vt:variant>
      <vt:variant>
        <vt:i4>68</vt:i4>
      </vt:variant>
      <vt:variant>
        <vt:i4>0</vt:i4>
      </vt:variant>
      <vt:variant>
        <vt:i4>5</vt:i4>
      </vt:variant>
      <vt:variant>
        <vt:lpwstr/>
      </vt:variant>
      <vt:variant>
        <vt:lpwstr>_Toc352611387</vt:lpwstr>
      </vt:variant>
      <vt:variant>
        <vt:i4>1900595</vt:i4>
      </vt:variant>
      <vt:variant>
        <vt:i4>62</vt:i4>
      </vt:variant>
      <vt:variant>
        <vt:i4>0</vt:i4>
      </vt:variant>
      <vt:variant>
        <vt:i4>5</vt:i4>
      </vt:variant>
      <vt:variant>
        <vt:lpwstr/>
      </vt:variant>
      <vt:variant>
        <vt:lpwstr>_Toc352611386</vt:lpwstr>
      </vt:variant>
      <vt:variant>
        <vt:i4>1900595</vt:i4>
      </vt:variant>
      <vt:variant>
        <vt:i4>56</vt:i4>
      </vt:variant>
      <vt:variant>
        <vt:i4>0</vt:i4>
      </vt:variant>
      <vt:variant>
        <vt:i4>5</vt:i4>
      </vt:variant>
      <vt:variant>
        <vt:lpwstr/>
      </vt:variant>
      <vt:variant>
        <vt:lpwstr>_Toc352611385</vt:lpwstr>
      </vt:variant>
      <vt:variant>
        <vt:i4>1900595</vt:i4>
      </vt:variant>
      <vt:variant>
        <vt:i4>50</vt:i4>
      </vt:variant>
      <vt:variant>
        <vt:i4>0</vt:i4>
      </vt:variant>
      <vt:variant>
        <vt:i4>5</vt:i4>
      </vt:variant>
      <vt:variant>
        <vt:lpwstr/>
      </vt:variant>
      <vt:variant>
        <vt:lpwstr>_Toc352611384</vt:lpwstr>
      </vt:variant>
      <vt:variant>
        <vt:i4>1900595</vt:i4>
      </vt:variant>
      <vt:variant>
        <vt:i4>44</vt:i4>
      </vt:variant>
      <vt:variant>
        <vt:i4>0</vt:i4>
      </vt:variant>
      <vt:variant>
        <vt:i4>5</vt:i4>
      </vt:variant>
      <vt:variant>
        <vt:lpwstr/>
      </vt:variant>
      <vt:variant>
        <vt:lpwstr>_Toc352611383</vt:lpwstr>
      </vt:variant>
      <vt:variant>
        <vt:i4>1900595</vt:i4>
      </vt:variant>
      <vt:variant>
        <vt:i4>38</vt:i4>
      </vt:variant>
      <vt:variant>
        <vt:i4>0</vt:i4>
      </vt:variant>
      <vt:variant>
        <vt:i4>5</vt:i4>
      </vt:variant>
      <vt:variant>
        <vt:lpwstr/>
      </vt:variant>
      <vt:variant>
        <vt:lpwstr>_Toc352611382</vt:lpwstr>
      </vt:variant>
      <vt:variant>
        <vt:i4>1900595</vt:i4>
      </vt:variant>
      <vt:variant>
        <vt:i4>32</vt:i4>
      </vt:variant>
      <vt:variant>
        <vt:i4>0</vt:i4>
      </vt:variant>
      <vt:variant>
        <vt:i4>5</vt:i4>
      </vt:variant>
      <vt:variant>
        <vt:lpwstr/>
      </vt:variant>
      <vt:variant>
        <vt:lpwstr>_Toc352611381</vt:lpwstr>
      </vt:variant>
      <vt:variant>
        <vt:i4>1900595</vt:i4>
      </vt:variant>
      <vt:variant>
        <vt:i4>26</vt:i4>
      </vt:variant>
      <vt:variant>
        <vt:i4>0</vt:i4>
      </vt:variant>
      <vt:variant>
        <vt:i4>5</vt:i4>
      </vt:variant>
      <vt:variant>
        <vt:lpwstr/>
      </vt:variant>
      <vt:variant>
        <vt:lpwstr>_Toc352611380</vt:lpwstr>
      </vt:variant>
      <vt:variant>
        <vt:i4>1179699</vt:i4>
      </vt:variant>
      <vt:variant>
        <vt:i4>20</vt:i4>
      </vt:variant>
      <vt:variant>
        <vt:i4>0</vt:i4>
      </vt:variant>
      <vt:variant>
        <vt:i4>5</vt:i4>
      </vt:variant>
      <vt:variant>
        <vt:lpwstr/>
      </vt:variant>
      <vt:variant>
        <vt:lpwstr>_Toc352611379</vt:lpwstr>
      </vt:variant>
      <vt:variant>
        <vt:i4>1179699</vt:i4>
      </vt:variant>
      <vt:variant>
        <vt:i4>14</vt:i4>
      </vt:variant>
      <vt:variant>
        <vt:i4>0</vt:i4>
      </vt:variant>
      <vt:variant>
        <vt:i4>5</vt:i4>
      </vt:variant>
      <vt:variant>
        <vt:lpwstr/>
      </vt:variant>
      <vt:variant>
        <vt:lpwstr>_Toc352611378</vt:lpwstr>
      </vt:variant>
      <vt:variant>
        <vt:i4>1179699</vt:i4>
      </vt:variant>
      <vt:variant>
        <vt:i4>8</vt:i4>
      </vt:variant>
      <vt:variant>
        <vt:i4>0</vt:i4>
      </vt:variant>
      <vt:variant>
        <vt:i4>5</vt:i4>
      </vt:variant>
      <vt:variant>
        <vt:lpwstr/>
      </vt:variant>
      <vt:variant>
        <vt:lpwstr>_Toc352611377</vt:lpwstr>
      </vt:variant>
      <vt:variant>
        <vt:i4>1179699</vt:i4>
      </vt:variant>
      <vt:variant>
        <vt:i4>2</vt:i4>
      </vt:variant>
      <vt:variant>
        <vt:i4>0</vt:i4>
      </vt:variant>
      <vt:variant>
        <vt:i4>5</vt:i4>
      </vt:variant>
      <vt:variant>
        <vt:lpwstr/>
      </vt:variant>
      <vt:variant>
        <vt:lpwstr>_Toc352611376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Rafael Nunez</cp:lastModifiedBy>
  <cp:revision>5</cp:revision>
  <dcterms:created xsi:type="dcterms:W3CDTF">2019-10-11T12:35:00Z</dcterms:created>
  <dcterms:modified xsi:type="dcterms:W3CDTF">2020-12-15T23:11:00Z</dcterms:modified>
</cp:coreProperties>
</file>