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3DA3" w:rsidRDefault="00D13DA3"/>
    <w:p w:rsidR="0076032A" w:rsidRDefault="0076032A" w:rsidP="0076032A">
      <w:pPr>
        <w:jc w:val="center"/>
        <w:rPr>
          <w:rFonts w:ascii="Cambria" w:hAnsi="Cambria" w:cs="Cambria"/>
          <w:i/>
          <w:sz w:val="144"/>
          <w:szCs w:val="144"/>
        </w:rPr>
      </w:pPr>
      <w:bookmarkStart w:id="0" w:name="_Toc242654773"/>
    </w:p>
    <w:p w:rsidR="0076032A" w:rsidRPr="0076032A" w:rsidRDefault="0076032A" w:rsidP="0076032A">
      <w:pPr>
        <w:jc w:val="center"/>
        <w:rPr>
          <w:rFonts w:ascii="Cambria" w:hAnsi="Cambria" w:cs="Cambria"/>
          <w:i/>
          <w:sz w:val="144"/>
          <w:szCs w:val="144"/>
        </w:rPr>
      </w:pPr>
      <w:r w:rsidRPr="0076032A">
        <w:rPr>
          <w:rFonts w:ascii="Cambria" w:hAnsi="Cambria" w:cs="Cambria"/>
          <w:i/>
          <w:sz w:val="144"/>
          <w:szCs w:val="144"/>
        </w:rPr>
        <w:t>Personnel Security Management Policy</w:t>
      </w:r>
    </w:p>
    <w:p w:rsidR="0076032A" w:rsidRDefault="0076032A" w:rsidP="00785886">
      <w:pPr>
        <w:pStyle w:val="PolicySubheader"/>
        <w:spacing w:before="120"/>
      </w:pPr>
    </w:p>
    <w:p w:rsidR="0076032A" w:rsidRDefault="0076032A" w:rsidP="00785886">
      <w:pPr>
        <w:pStyle w:val="PolicySubheader"/>
        <w:spacing w:before="120"/>
      </w:pPr>
    </w:p>
    <w:p w:rsidR="0076032A" w:rsidRDefault="0076032A" w:rsidP="00785886">
      <w:pPr>
        <w:pStyle w:val="PolicySubheader"/>
        <w:spacing w:before="120"/>
      </w:pPr>
    </w:p>
    <w:p w:rsidR="0076032A" w:rsidRDefault="0076032A" w:rsidP="00785886">
      <w:pPr>
        <w:pStyle w:val="PolicySubheader"/>
        <w:spacing w:before="120"/>
      </w:pPr>
    </w:p>
    <w:p w:rsidR="0076032A" w:rsidRDefault="0076032A" w:rsidP="00785886">
      <w:pPr>
        <w:pStyle w:val="PolicySubheader"/>
        <w:spacing w:before="120"/>
      </w:pPr>
    </w:p>
    <w:p w:rsidR="0076032A" w:rsidRDefault="0076032A" w:rsidP="00785886">
      <w:pPr>
        <w:pStyle w:val="PolicySubheader"/>
        <w:spacing w:before="120"/>
      </w:pPr>
    </w:p>
    <w:p w:rsidR="0076032A" w:rsidRDefault="0076032A" w:rsidP="00785886">
      <w:pPr>
        <w:pStyle w:val="PolicySubheader"/>
        <w:spacing w:before="120"/>
      </w:pPr>
    </w:p>
    <w:p w:rsidR="0076032A" w:rsidRDefault="0076032A" w:rsidP="00785886">
      <w:pPr>
        <w:pStyle w:val="PolicySubheader"/>
        <w:spacing w:before="120"/>
      </w:pPr>
    </w:p>
    <w:p w:rsidR="00BB405B" w:rsidRDefault="005B23C5" w:rsidP="00785886">
      <w:pPr>
        <w:pStyle w:val="PolicySubheader"/>
        <w:spacing w:before="120"/>
        <w:rPr>
          <w:noProof/>
        </w:rPr>
      </w:pPr>
      <w:r w:rsidRPr="0029313E">
        <w:t>Table of Contents</w:t>
      </w:r>
      <w:bookmarkEnd w:id="0"/>
      <w:r w:rsidR="0092229F">
        <w:fldChar w:fldCharType="begin"/>
      </w:r>
      <w:r w:rsidR="0085160B">
        <w:instrText xml:space="preserve"> TOC \o "1-3" \h \z \u </w:instrText>
      </w:r>
      <w:r w:rsidR="0092229F">
        <w:fldChar w:fldCharType="separate"/>
      </w:r>
    </w:p>
    <w:p w:rsidR="00BB405B" w:rsidRDefault="00DE7231">
      <w:pPr>
        <w:pStyle w:val="TOC1"/>
        <w:rPr>
          <w:rFonts w:ascii="Calibri" w:hAnsi="Calibri"/>
          <w:noProof/>
          <w:szCs w:val="22"/>
        </w:rPr>
      </w:pPr>
      <w:hyperlink w:anchor="_Toc385339820" w:history="1">
        <w:r w:rsidR="00BB405B" w:rsidRPr="00572306">
          <w:rPr>
            <w:rStyle w:val="Hyperlink"/>
            <w:bCs/>
            <w:noProof/>
          </w:rPr>
          <w:t>Purpose</w:t>
        </w:r>
        <w:r w:rsidR="00BB405B">
          <w:rPr>
            <w:noProof/>
            <w:webHidden/>
          </w:rPr>
          <w:tab/>
        </w:r>
        <w:r w:rsidR="0092229F">
          <w:rPr>
            <w:noProof/>
            <w:webHidden/>
          </w:rPr>
          <w:fldChar w:fldCharType="begin"/>
        </w:r>
        <w:r w:rsidR="00BB405B">
          <w:rPr>
            <w:noProof/>
            <w:webHidden/>
          </w:rPr>
          <w:instrText xml:space="preserve"> PAGEREF _Toc385339820 \h </w:instrText>
        </w:r>
        <w:r w:rsidR="0092229F">
          <w:rPr>
            <w:noProof/>
            <w:webHidden/>
          </w:rPr>
        </w:r>
        <w:r w:rsidR="0092229F">
          <w:rPr>
            <w:noProof/>
            <w:webHidden/>
          </w:rPr>
          <w:fldChar w:fldCharType="separate"/>
        </w:r>
        <w:r w:rsidR="00BB405B">
          <w:rPr>
            <w:noProof/>
            <w:webHidden/>
          </w:rPr>
          <w:t>1</w:t>
        </w:r>
        <w:r w:rsidR="0092229F">
          <w:rPr>
            <w:noProof/>
            <w:webHidden/>
          </w:rPr>
          <w:fldChar w:fldCharType="end"/>
        </w:r>
      </w:hyperlink>
    </w:p>
    <w:p w:rsidR="00BB405B" w:rsidRDefault="00DE7231">
      <w:pPr>
        <w:pStyle w:val="TOC1"/>
        <w:rPr>
          <w:rFonts w:ascii="Calibri" w:hAnsi="Calibri"/>
          <w:noProof/>
          <w:szCs w:val="22"/>
        </w:rPr>
      </w:pPr>
      <w:hyperlink w:anchor="_Toc385339821" w:history="1">
        <w:r w:rsidR="00BB405B" w:rsidRPr="00572306">
          <w:rPr>
            <w:rStyle w:val="Hyperlink"/>
            <w:bCs/>
            <w:noProof/>
          </w:rPr>
          <w:t>Scope</w:t>
        </w:r>
        <w:r w:rsidR="00BB405B">
          <w:rPr>
            <w:noProof/>
            <w:webHidden/>
          </w:rPr>
          <w:tab/>
        </w:r>
        <w:r w:rsidR="0092229F">
          <w:rPr>
            <w:noProof/>
            <w:webHidden/>
          </w:rPr>
          <w:fldChar w:fldCharType="begin"/>
        </w:r>
        <w:r w:rsidR="00BB405B">
          <w:rPr>
            <w:noProof/>
            <w:webHidden/>
          </w:rPr>
          <w:instrText xml:space="preserve"> PAGEREF _Toc385339821 \h </w:instrText>
        </w:r>
        <w:r w:rsidR="0092229F">
          <w:rPr>
            <w:noProof/>
            <w:webHidden/>
          </w:rPr>
        </w:r>
        <w:r w:rsidR="0092229F">
          <w:rPr>
            <w:noProof/>
            <w:webHidden/>
          </w:rPr>
          <w:fldChar w:fldCharType="separate"/>
        </w:r>
        <w:r w:rsidR="00BB405B">
          <w:rPr>
            <w:noProof/>
            <w:webHidden/>
          </w:rPr>
          <w:t>1</w:t>
        </w:r>
        <w:r w:rsidR="0092229F">
          <w:rPr>
            <w:noProof/>
            <w:webHidden/>
          </w:rPr>
          <w:fldChar w:fldCharType="end"/>
        </w:r>
      </w:hyperlink>
    </w:p>
    <w:p w:rsidR="00BB405B" w:rsidRDefault="00DE7231">
      <w:pPr>
        <w:pStyle w:val="TOC1"/>
        <w:rPr>
          <w:rFonts w:ascii="Calibri" w:hAnsi="Calibri"/>
          <w:noProof/>
          <w:szCs w:val="22"/>
        </w:rPr>
      </w:pPr>
      <w:hyperlink w:anchor="_Toc385339822" w:history="1">
        <w:r w:rsidR="00BB405B" w:rsidRPr="00572306">
          <w:rPr>
            <w:rStyle w:val="Hyperlink"/>
            <w:bCs/>
            <w:noProof/>
          </w:rPr>
          <w:t>Policy</w:t>
        </w:r>
        <w:r w:rsidR="00BB405B">
          <w:rPr>
            <w:noProof/>
            <w:webHidden/>
          </w:rPr>
          <w:tab/>
        </w:r>
        <w:r w:rsidR="0092229F">
          <w:rPr>
            <w:noProof/>
            <w:webHidden/>
          </w:rPr>
          <w:fldChar w:fldCharType="begin"/>
        </w:r>
        <w:r w:rsidR="00BB405B">
          <w:rPr>
            <w:noProof/>
            <w:webHidden/>
          </w:rPr>
          <w:instrText xml:space="preserve"> PAGEREF _Toc385339822 \h </w:instrText>
        </w:r>
        <w:r w:rsidR="0092229F">
          <w:rPr>
            <w:noProof/>
            <w:webHidden/>
          </w:rPr>
        </w:r>
        <w:r w:rsidR="0092229F">
          <w:rPr>
            <w:noProof/>
            <w:webHidden/>
          </w:rPr>
          <w:fldChar w:fldCharType="separate"/>
        </w:r>
        <w:r w:rsidR="00BB405B">
          <w:rPr>
            <w:noProof/>
            <w:webHidden/>
          </w:rPr>
          <w:t>1</w:t>
        </w:r>
        <w:r w:rsidR="0092229F">
          <w:rPr>
            <w:noProof/>
            <w:webHidden/>
          </w:rPr>
          <w:fldChar w:fldCharType="end"/>
        </w:r>
      </w:hyperlink>
    </w:p>
    <w:p w:rsidR="00BB405B" w:rsidRDefault="00DE7231">
      <w:pPr>
        <w:pStyle w:val="TOC3"/>
        <w:tabs>
          <w:tab w:val="right" w:leader="dot" w:pos="9350"/>
        </w:tabs>
        <w:rPr>
          <w:rFonts w:ascii="Calibri" w:hAnsi="Calibri"/>
          <w:noProof/>
          <w:szCs w:val="22"/>
        </w:rPr>
      </w:pPr>
      <w:hyperlink w:anchor="_Toc385339823" w:history="1">
        <w:r w:rsidR="00BB405B" w:rsidRPr="00572306">
          <w:rPr>
            <w:rStyle w:val="Hyperlink"/>
            <w:noProof/>
          </w:rPr>
          <w:t>Roles and Responsibilities</w:t>
        </w:r>
        <w:r w:rsidR="00BB405B">
          <w:rPr>
            <w:noProof/>
            <w:webHidden/>
          </w:rPr>
          <w:tab/>
        </w:r>
        <w:r w:rsidR="0092229F">
          <w:rPr>
            <w:noProof/>
            <w:webHidden/>
          </w:rPr>
          <w:fldChar w:fldCharType="begin"/>
        </w:r>
        <w:r w:rsidR="00BB405B">
          <w:rPr>
            <w:noProof/>
            <w:webHidden/>
          </w:rPr>
          <w:instrText xml:space="preserve"> PAGEREF _Toc385339823 \h </w:instrText>
        </w:r>
        <w:r w:rsidR="0092229F">
          <w:rPr>
            <w:noProof/>
            <w:webHidden/>
          </w:rPr>
        </w:r>
        <w:r w:rsidR="0092229F">
          <w:rPr>
            <w:noProof/>
            <w:webHidden/>
          </w:rPr>
          <w:fldChar w:fldCharType="separate"/>
        </w:r>
        <w:r w:rsidR="00BB405B">
          <w:rPr>
            <w:noProof/>
            <w:webHidden/>
          </w:rPr>
          <w:t>1</w:t>
        </w:r>
        <w:r w:rsidR="0092229F">
          <w:rPr>
            <w:noProof/>
            <w:webHidden/>
          </w:rPr>
          <w:fldChar w:fldCharType="end"/>
        </w:r>
      </w:hyperlink>
    </w:p>
    <w:p w:rsidR="00BB405B" w:rsidRDefault="00DE7231">
      <w:pPr>
        <w:pStyle w:val="TOC3"/>
        <w:tabs>
          <w:tab w:val="right" w:leader="dot" w:pos="9350"/>
        </w:tabs>
        <w:rPr>
          <w:rFonts w:ascii="Calibri" w:hAnsi="Calibri"/>
          <w:noProof/>
          <w:szCs w:val="22"/>
        </w:rPr>
      </w:pPr>
      <w:hyperlink w:anchor="_Toc385339824" w:history="1">
        <w:r w:rsidR="00BB405B" w:rsidRPr="00572306">
          <w:rPr>
            <w:rStyle w:val="Hyperlink"/>
            <w:noProof/>
          </w:rPr>
          <w:t>Pre-Employment Screening</w:t>
        </w:r>
        <w:r w:rsidR="00BB405B">
          <w:rPr>
            <w:noProof/>
            <w:webHidden/>
          </w:rPr>
          <w:tab/>
        </w:r>
        <w:r w:rsidR="0092229F">
          <w:rPr>
            <w:noProof/>
            <w:webHidden/>
          </w:rPr>
          <w:fldChar w:fldCharType="begin"/>
        </w:r>
        <w:r w:rsidR="00BB405B">
          <w:rPr>
            <w:noProof/>
            <w:webHidden/>
          </w:rPr>
          <w:instrText xml:space="preserve"> PAGEREF _Toc385339824 \h </w:instrText>
        </w:r>
        <w:r w:rsidR="0092229F">
          <w:rPr>
            <w:noProof/>
            <w:webHidden/>
          </w:rPr>
        </w:r>
        <w:r w:rsidR="0092229F">
          <w:rPr>
            <w:noProof/>
            <w:webHidden/>
          </w:rPr>
          <w:fldChar w:fldCharType="separate"/>
        </w:r>
        <w:r w:rsidR="00BB405B">
          <w:rPr>
            <w:noProof/>
            <w:webHidden/>
          </w:rPr>
          <w:t>2</w:t>
        </w:r>
        <w:r w:rsidR="0092229F">
          <w:rPr>
            <w:noProof/>
            <w:webHidden/>
          </w:rPr>
          <w:fldChar w:fldCharType="end"/>
        </w:r>
      </w:hyperlink>
    </w:p>
    <w:p w:rsidR="00BB405B" w:rsidRDefault="00DE7231">
      <w:pPr>
        <w:pStyle w:val="TOC3"/>
        <w:tabs>
          <w:tab w:val="right" w:leader="dot" w:pos="9350"/>
        </w:tabs>
        <w:rPr>
          <w:rFonts w:ascii="Calibri" w:hAnsi="Calibri"/>
          <w:noProof/>
          <w:szCs w:val="22"/>
        </w:rPr>
      </w:pPr>
      <w:hyperlink w:anchor="_Toc385339825" w:history="1">
        <w:r w:rsidR="00BB405B" w:rsidRPr="00572306">
          <w:rPr>
            <w:rStyle w:val="Hyperlink"/>
            <w:noProof/>
          </w:rPr>
          <w:t>Terms and Conditions of Employment</w:t>
        </w:r>
        <w:r w:rsidR="00BB405B">
          <w:rPr>
            <w:noProof/>
            <w:webHidden/>
          </w:rPr>
          <w:tab/>
        </w:r>
        <w:r w:rsidR="0092229F">
          <w:rPr>
            <w:noProof/>
            <w:webHidden/>
          </w:rPr>
          <w:fldChar w:fldCharType="begin"/>
        </w:r>
        <w:r w:rsidR="00BB405B">
          <w:rPr>
            <w:noProof/>
            <w:webHidden/>
          </w:rPr>
          <w:instrText xml:space="preserve"> PAGEREF _Toc385339825 \h </w:instrText>
        </w:r>
        <w:r w:rsidR="0092229F">
          <w:rPr>
            <w:noProof/>
            <w:webHidden/>
          </w:rPr>
        </w:r>
        <w:r w:rsidR="0092229F">
          <w:rPr>
            <w:noProof/>
            <w:webHidden/>
          </w:rPr>
          <w:fldChar w:fldCharType="separate"/>
        </w:r>
        <w:r w:rsidR="00BB405B">
          <w:rPr>
            <w:noProof/>
            <w:webHidden/>
          </w:rPr>
          <w:t>2</w:t>
        </w:r>
        <w:r w:rsidR="0092229F">
          <w:rPr>
            <w:noProof/>
            <w:webHidden/>
          </w:rPr>
          <w:fldChar w:fldCharType="end"/>
        </w:r>
      </w:hyperlink>
    </w:p>
    <w:p w:rsidR="00BB405B" w:rsidRDefault="00DE7231">
      <w:pPr>
        <w:pStyle w:val="TOC3"/>
        <w:tabs>
          <w:tab w:val="right" w:leader="dot" w:pos="9350"/>
        </w:tabs>
        <w:rPr>
          <w:rFonts w:ascii="Calibri" w:hAnsi="Calibri"/>
          <w:noProof/>
          <w:szCs w:val="22"/>
        </w:rPr>
      </w:pPr>
      <w:hyperlink w:anchor="_Toc385339826" w:history="1">
        <w:r w:rsidR="00BB405B" w:rsidRPr="00572306">
          <w:rPr>
            <w:rStyle w:val="Hyperlink"/>
            <w:noProof/>
          </w:rPr>
          <w:t>Security Awareness and Training</w:t>
        </w:r>
        <w:r w:rsidR="00BB405B">
          <w:rPr>
            <w:noProof/>
            <w:webHidden/>
          </w:rPr>
          <w:tab/>
        </w:r>
        <w:r w:rsidR="0092229F">
          <w:rPr>
            <w:noProof/>
            <w:webHidden/>
          </w:rPr>
          <w:fldChar w:fldCharType="begin"/>
        </w:r>
        <w:r w:rsidR="00BB405B">
          <w:rPr>
            <w:noProof/>
            <w:webHidden/>
          </w:rPr>
          <w:instrText xml:space="preserve"> PAGEREF _Toc385339826 \h </w:instrText>
        </w:r>
        <w:r w:rsidR="0092229F">
          <w:rPr>
            <w:noProof/>
            <w:webHidden/>
          </w:rPr>
        </w:r>
        <w:r w:rsidR="0092229F">
          <w:rPr>
            <w:noProof/>
            <w:webHidden/>
          </w:rPr>
          <w:fldChar w:fldCharType="separate"/>
        </w:r>
        <w:r w:rsidR="00BB405B">
          <w:rPr>
            <w:noProof/>
            <w:webHidden/>
          </w:rPr>
          <w:t>3</w:t>
        </w:r>
        <w:r w:rsidR="0092229F">
          <w:rPr>
            <w:noProof/>
            <w:webHidden/>
          </w:rPr>
          <w:fldChar w:fldCharType="end"/>
        </w:r>
      </w:hyperlink>
    </w:p>
    <w:p w:rsidR="00BB405B" w:rsidRDefault="00DE7231">
      <w:pPr>
        <w:pStyle w:val="TOC3"/>
        <w:tabs>
          <w:tab w:val="right" w:leader="dot" w:pos="9350"/>
        </w:tabs>
        <w:rPr>
          <w:rFonts w:ascii="Calibri" w:hAnsi="Calibri"/>
          <w:noProof/>
          <w:szCs w:val="22"/>
        </w:rPr>
      </w:pPr>
      <w:hyperlink w:anchor="_Toc385339827" w:history="1">
        <w:r w:rsidR="00BB405B" w:rsidRPr="00572306">
          <w:rPr>
            <w:rStyle w:val="Hyperlink"/>
            <w:noProof/>
          </w:rPr>
          <w:t>Segregation of Duties</w:t>
        </w:r>
        <w:r w:rsidR="00BB405B">
          <w:rPr>
            <w:noProof/>
            <w:webHidden/>
          </w:rPr>
          <w:tab/>
        </w:r>
        <w:r w:rsidR="0092229F">
          <w:rPr>
            <w:noProof/>
            <w:webHidden/>
          </w:rPr>
          <w:fldChar w:fldCharType="begin"/>
        </w:r>
        <w:r w:rsidR="00BB405B">
          <w:rPr>
            <w:noProof/>
            <w:webHidden/>
          </w:rPr>
          <w:instrText xml:space="preserve"> PAGEREF _Toc385339827 \h </w:instrText>
        </w:r>
        <w:r w:rsidR="0092229F">
          <w:rPr>
            <w:noProof/>
            <w:webHidden/>
          </w:rPr>
        </w:r>
        <w:r w:rsidR="0092229F">
          <w:rPr>
            <w:noProof/>
            <w:webHidden/>
          </w:rPr>
          <w:fldChar w:fldCharType="separate"/>
        </w:r>
        <w:r w:rsidR="00BB405B">
          <w:rPr>
            <w:noProof/>
            <w:webHidden/>
          </w:rPr>
          <w:t>4</w:t>
        </w:r>
        <w:r w:rsidR="0092229F">
          <w:rPr>
            <w:noProof/>
            <w:webHidden/>
          </w:rPr>
          <w:fldChar w:fldCharType="end"/>
        </w:r>
      </w:hyperlink>
    </w:p>
    <w:p w:rsidR="00BB405B" w:rsidRDefault="00DE7231">
      <w:pPr>
        <w:pStyle w:val="TOC3"/>
        <w:tabs>
          <w:tab w:val="right" w:leader="dot" w:pos="9350"/>
        </w:tabs>
        <w:rPr>
          <w:rFonts w:ascii="Calibri" w:hAnsi="Calibri"/>
          <w:noProof/>
          <w:szCs w:val="22"/>
        </w:rPr>
      </w:pPr>
      <w:hyperlink w:anchor="_Toc385339828" w:history="1">
        <w:r w:rsidR="00BB405B" w:rsidRPr="00572306">
          <w:rPr>
            <w:rStyle w:val="Hyperlink"/>
            <w:noProof/>
          </w:rPr>
          <w:t>Personnel Transfers and Changes</w:t>
        </w:r>
        <w:r w:rsidR="00BB405B">
          <w:rPr>
            <w:noProof/>
            <w:webHidden/>
          </w:rPr>
          <w:tab/>
        </w:r>
        <w:r w:rsidR="0092229F">
          <w:rPr>
            <w:noProof/>
            <w:webHidden/>
          </w:rPr>
          <w:fldChar w:fldCharType="begin"/>
        </w:r>
        <w:r w:rsidR="00BB405B">
          <w:rPr>
            <w:noProof/>
            <w:webHidden/>
          </w:rPr>
          <w:instrText xml:space="preserve"> PAGEREF _Toc385339828 \h </w:instrText>
        </w:r>
        <w:r w:rsidR="0092229F">
          <w:rPr>
            <w:noProof/>
            <w:webHidden/>
          </w:rPr>
        </w:r>
        <w:r w:rsidR="0092229F">
          <w:rPr>
            <w:noProof/>
            <w:webHidden/>
          </w:rPr>
          <w:fldChar w:fldCharType="separate"/>
        </w:r>
        <w:r w:rsidR="00BB405B">
          <w:rPr>
            <w:noProof/>
            <w:webHidden/>
          </w:rPr>
          <w:t>4</w:t>
        </w:r>
        <w:r w:rsidR="0092229F">
          <w:rPr>
            <w:noProof/>
            <w:webHidden/>
          </w:rPr>
          <w:fldChar w:fldCharType="end"/>
        </w:r>
      </w:hyperlink>
    </w:p>
    <w:p w:rsidR="00BB405B" w:rsidRDefault="00DE7231">
      <w:pPr>
        <w:pStyle w:val="TOC3"/>
        <w:tabs>
          <w:tab w:val="right" w:leader="dot" w:pos="9350"/>
        </w:tabs>
        <w:rPr>
          <w:rFonts w:ascii="Calibri" w:hAnsi="Calibri"/>
          <w:noProof/>
          <w:szCs w:val="22"/>
        </w:rPr>
      </w:pPr>
      <w:hyperlink w:anchor="_Toc385339829" w:history="1">
        <w:r w:rsidR="00BB405B" w:rsidRPr="00572306">
          <w:rPr>
            <w:rStyle w:val="Hyperlink"/>
            <w:noProof/>
          </w:rPr>
          <w:t>Personnel Terminations</w:t>
        </w:r>
        <w:r w:rsidR="00BB405B">
          <w:rPr>
            <w:noProof/>
            <w:webHidden/>
          </w:rPr>
          <w:tab/>
        </w:r>
        <w:r w:rsidR="0092229F">
          <w:rPr>
            <w:noProof/>
            <w:webHidden/>
          </w:rPr>
          <w:fldChar w:fldCharType="begin"/>
        </w:r>
        <w:r w:rsidR="00BB405B">
          <w:rPr>
            <w:noProof/>
            <w:webHidden/>
          </w:rPr>
          <w:instrText xml:space="preserve"> PAGEREF _Toc385339829 \h </w:instrText>
        </w:r>
        <w:r w:rsidR="0092229F">
          <w:rPr>
            <w:noProof/>
            <w:webHidden/>
          </w:rPr>
        </w:r>
        <w:r w:rsidR="0092229F">
          <w:rPr>
            <w:noProof/>
            <w:webHidden/>
          </w:rPr>
          <w:fldChar w:fldCharType="separate"/>
        </w:r>
        <w:r w:rsidR="00BB405B">
          <w:rPr>
            <w:noProof/>
            <w:webHidden/>
          </w:rPr>
          <w:t>4</w:t>
        </w:r>
        <w:r w:rsidR="0092229F">
          <w:rPr>
            <w:noProof/>
            <w:webHidden/>
          </w:rPr>
          <w:fldChar w:fldCharType="end"/>
        </w:r>
      </w:hyperlink>
    </w:p>
    <w:p w:rsidR="00BB405B" w:rsidRDefault="00DE7231">
      <w:pPr>
        <w:pStyle w:val="TOC1"/>
        <w:rPr>
          <w:rFonts w:ascii="Calibri" w:hAnsi="Calibri"/>
          <w:noProof/>
          <w:szCs w:val="22"/>
        </w:rPr>
      </w:pPr>
      <w:hyperlink w:anchor="_Toc385339830" w:history="1">
        <w:r w:rsidR="00BB405B" w:rsidRPr="00572306">
          <w:rPr>
            <w:rStyle w:val="Hyperlink"/>
            <w:bCs/>
            <w:noProof/>
          </w:rPr>
          <w:t>Violations</w:t>
        </w:r>
        <w:r w:rsidR="00BB405B">
          <w:rPr>
            <w:noProof/>
            <w:webHidden/>
          </w:rPr>
          <w:tab/>
        </w:r>
        <w:r w:rsidR="0092229F">
          <w:rPr>
            <w:noProof/>
            <w:webHidden/>
          </w:rPr>
          <w:fldChar w:fldCharType="begin"/>
        </w:r>
        <w:r w:rsidR="00BB405B">
          <w:rPr>
            <w:noProof/>
            <w:webHidden/>
          </w:rPr>
          <w:instrText xml:space="preserve"> PAGEREF _Toc385339830 \h </w:instrText>
        </w:r>
        <w:r w:rsidR="0092229F">
          <w:rPr>
            <w:noProof/>
            <w:webHidden/>
          </w:rPr>
        </w:r>
        <w:r w:rsidR="0092229F">
          <w:rPr>
            <w:noProof/>
            <w:webHidden/>
          </w:rPr>
          <w:fldChar w:fldCharType="separate"/>
        </w:r>
        <w:r w:rsidR="00BB405B">
          <w:rPr>
            <w:noProof/>
            <w:webHidden/>
          </w:rPr>
          <w:t>5</w:t>
        </w:r>
        <w:r w:rsidR="0092229F">
          <w:rPr>
            <w:noProof/>
            <w:webHidden/>
          </w:rPr>
          <w:fldChar w:fldCharType="end"/>
        </w:r>
      </w:hyperlink>
    </w:p>
    <w:p w:rsidR="00BB405B" w:rsidRDefault="00DE7231">
      <w:pPr>
        <w:pStyle w:val="TOC1"/>
        <w:rPr>
          <w:rFonts w:ascii="Calibri" w:hAnsi="Calibri"/>
          <w:noProof/>
          <w:szCs w:val="22"/>
        </w:rPr>
      </w:pPr>
      <w:hyperlink w:anchor="_Toc385339831" w:history="1">
        <w:r w:rsidR="00BB405B" w:rsidRPr="00572306">
          <w:rPr>
            <w:rStyle w:val="Hyperlink"/>
            <w:bCs/>
            <w:noProof/>
          </w:rPr>
          <w:t>Definitions</w:t>
        </w:r>
        <w:r w:rsidR="00BB405B">
          <w:rPr>
            <w:noProof/>
            <w:webHidden/>
          </w:rPr>
          <w:tab/>
        </w:r>
        <w:r w:rsidR="0092229F">
          <w:rPr>
            <w:noProof/>
            <w:webHidden/>
          </w:rPr>
          <w:fldChar w:fldCharType="begin"/>
        </w:r>
        <w:r w:rsidR="00BB405B">
          <w:rPr>
            <w:noProof/>
            <w:webHidden/>
          </w:rPr>
          <w:instrText xml:space="preserve"> PAGEREF _Toc385339831 \h </w:instrText>
        </w:r>
        <w:r w:rsidR="0092229F">
          <w:rPr>
            <w:noProof/>
            <w:webHidden/>
          </w:rPr>
        </w:r>
        <w:r w:rsidR="0092229F">
          <w:rPr>
            <w:noProof/>
            <w:webHidden/>
          </w:rPr>
          <w:fldChar w:fldCharType="separate"/>
        </w:r>
        <w:r w:rsidR="00BB405B">
          <w:rPr>
            <w:noProof/>
            <w:webHidden/>
          </w:rPr>
          <w:t>5</w:t>
        </w:r>
        <w:r w:rsidR="0092229F">
          <w:rPr>
            <w:noProof/>
            <w:webHidden/>
          </w:rPr>
          <w:fldChar w:fldCharType="end"/>
        </w:r>
      </w:hyperlink>
    </w:p>
    <w:p w:rsidR="00BB405B" w:rsidRDefault="00DE7231">
      <w:pPr>
        <w:pStyle w:val="TOC1"/>
        <w:rPr>
          <w:rFonts w:ascii="Calibri" w:hAnsi="Calibri"/>
          <w:noProof/>
          <w:szCs w:val="22"/>
        </w:rPr>
      </w:pPr>
      <w:hyperlink w:anchor="_Toc385339832" w:history="1">
        <w:r w:rsidR="00BB405B" w:rsidRPr="00572306">
          <w:rPr>
            <w:rStyle w:val="Hyperlink"/>
            <w:noProof/>
          </w:rPr>
          <w:t>References</w:t>
        </w:r>
        <w:r w:rsidR="00BB405B">
          <w:rPr>
            <w:noProof/>
            <w:webHidden/>
          </w:rPr>
          <w:tab/>
        </w:r>
        <w:r w:rsidR="0092229F">
          <w:rPr>
            <w:noProof/>
            <w:webHidden/>
          </w:rPr>
          <w:fldChar w:fldCharType="begin"/>
        </w:r>
        <w:r w:rsidR="00BB405B">
          <w:rPr>
            <w:noProof/>
            <w:webHidden/>
          </w:rPr>
          <w:instrText xml:space="preserve"> PAGEREF _Toc385339832 \h </w:instrText>
        </w:r>
        <w:r w:rsidR="0092229F">
          <w:rPr>
            <w:noProof/>
            <w:webHidden/>
          </w:rPr>
        </w:r>
        <w:r w:rsidR="0092229F">
          <w:rPr>
            <w:noProof/>
            <w:webHidden/>
          </w:rPr>
          <w:fldChar w:fldCharType="separate"/>
        </w:r>
        <w:r w:rsidR="00BB405B">
          <w:rPr>
            <w:noProof/>
            <w:webHidden/>
          </w:rPr>
          <w:t>5</w:t>
        </w:r>
        <w:r w:rsidR="0092229F">
          <w:rPr>
            <w:noProof/>
            <w:webHidden/>
          </w:rPr>
          <w:fldChar w:fldCharType="end"/>
        </w:r>
      </w:hyperlink>
    </w:p>
    <w:p w:rsidR="00BB405B" w:rsidRDefault="00DE7231">
      <w:pPr>
        <w:pStyle w:val="TOC1"/>
        <w:rPr>
          <w:rFonts w:ascii="Calibri" w:hAnsi="Calibri"/>
          <w:noProof/>
          <w:szCs w:val="22"/>
        </w:rPr>
      </w:pPr>
      <w:hyperlink w:anchor="_Toc385339833" w:history="1">
        <w:r w:rsidR="00BB405B" w:rsidRPr="00572306">
          <w:rPr>
            <w:rStyle w:val="Hyperlink"/>
            <w:noProof/>
          </w:rPr>
          <w:t>Related Documents</w:t>
        </w:r>
        <w:r w:rsidR="00BB405B">
          <w:rPr>
            <w:noProof/>
            <w:webHidden/>
          </w:rPr>
          <w:tab/>
        </w:r>
        <w:r w:rsidR="0092229F">
          <w:rPr>
            <w:noProof/>
            <w:webHidden/>
          </w:rPr>
          <w:fldChar w:fldCharType="begin"/>
        </w:r>
        <w:r w:rsidR="00BB405B">
          <w:rPr>
            <w:noProof/>
            <w:webHidden/>
          </w:rPr>
          <w:instrText xml:space="preserve"> PAGEREF _Toc385339833 \h </w:instrText>
        </w:r>
        <w:r w:rsidR="0092229F">
          <w:rPr>
            <w:noProof/>
            <w:webHidden/>
          </w:rPr>
        </w:r>
        <w:r w:rsidR="0092229F">
          <w:rPr>
            <w:noProof/>
            <w:webHidden/>
          </w:rPr>
          <w:fldChar w:fldCharType="separate"/>
        </w:r>
        <w:r w:rsidR="00BB405B">
          <w:rPr>
            <w:noProof/>
            <w:webHidden/>
          </w:rPr>
          <w:t>6</w:t>
        </w:r>
        <w:r w:rsidR="0092229F">
          <w:rPr>
            <w:noProof/>
            <w:webHidden/>
          </w:rPr>
          <w:fldChar w:fldCharType="end"/>
        </w:r>
      </w:hyperlink>
    </w:p>
    <w:p w:rsidR="00BB405B" w:rsidRDefault="00DE7231">
      <w:pPr>
        <w:pStyle w:val="TOC1"/>
        <w:rPr>
          <w:rFonts w:ascii="Calibri" w:hAnsi="Calibri"/>
          <w:noProof/>
          <w:szCs w:val="22"/>
        </w:rPr>
      </w:pPr>
      <w:hyperlink w:anchor="_Toc385339834" w:history="1">
        <w:r w:rsidR="00BB405B" w:rsidRPr="00572306">
          <w:rPr>
            <w:rStyle w:val="Hyperlink"/>
            <w:bCs/>
            <w:noProof/>
          </w:rPr>
          <w:t>Approval and Ownership</w:t>
        </w:r>
        <w:r w:rsidR="00BB405B">
          <w:rPr>
            <w:noProof/>
            <w:webHidden/>
          </w:rPr>
          <w:tab/>
        </w:r>
        <w:r w:rsidR="0092229F">
          <w:rPr>
            <w:noProof/>
            <w:webHidden/>
          </w:rPr>
          <w:fldChar w:fldCharType="begin"/>
        </w:r>
        <w:r w:rsidR="00BB405B">
          <w:rPr>
            <w:noProof/>
            <w:webHidden/>
          </w:rPr>
          <w:instrText xml:space="preserve"> PAGEREF _Toc385339834 \h </w:instrText>
        </w:r>
        <w:r w:rsidR="0092229F">
          <w:rPr>
            <w:noProof/>
            <w:webHidden/>
          </w:rPr>
        </w:r>
        <w:r w:rsidR="0092229F">
          <w:rPr>
            <w:noProof/>
            <w:webHidden/>
          </w:rPr>
          <w:fldChar w:fldCharType="separate"/>
        </w:r>
        <w:r w:rsidR="00BB405B">
          <w:rPr>
            <w:noProof/>
            <w:webHidden/>
          </w:rPr>
          <w:t>6</w:t>
        </w:r>
        <w:r w:rsidR="0092229F">
          <w:rPr>
            <w:noProof/>
            <w:webHidden/>
          </w:rPr>
          <w:fldChar w:fldCharType="end"/>
        </w:r>
      </w:hyperlink>
    </w:p>
    <w:p w:rsidR="00BB405B" w:rsidRDefault="00DE7231">
      <w:pPr>
        <w:pStyle w:val="TOC1"/>
        <w:rPr>
          <w:rFonts w:ascii="Calibri" w:hAnsi="Calibri"/>
          <w:noProof/>
          <w:szCs w:val="22"/>
        </w:rPr>
      </w:pPr>
      <w:hyperlink w:anchor="_Toc385339835" w:history="1">
        <w:r w:rsidR="00BB405B" w:rsidRPr="00572306">
          <w:rPr>
            <w:rStyle w:val="Hyperlink"/>
            <w:bCs/>
            <w:noProof/>
          </w:rPr>
          <w:t>Revision History</w:t>
        </w:r>
        <w:r w:rsidR="00BB405B">
          <w:rPr>
            <w:noProof/>
            <w:webHidden/>
          </w:rPr>
          <w:tab/>
        </w:r>
        <w:r w:rsidR="0092229F">
          <w:rPr>
            <w:noProof/>
            <w:webHidden/>
          </w:rPr>
          <w:fldChar w:fldCharType="begin"/>
        </w:r>
        <w:r w:rsidR="00BB405B">
          <w:rPr>
            <w:noProof/>
            <w:webHidden/>
          </w:rPr>
          <w:instrText xml:space="preserve"> PAGEREF _Toc385339835 \h </w:instrText>
        </w:r>
        <w:r w:rsidR="0092229F">
          <w:rPr>
            <w:noProof/>
            <w:webHidden/>
          </w:rPr>
        </w:r>
        <w:r w:rsidR="0092229F">
          <w:rPr>
            <w:noProof/>
            <w:webHidden/>
          </w:rPr>
          <w:fldChar w:fldCharType="separate"/>
        </w:r>
        <w:r w:rsidR="00BB405B">
          <w:rPr>
            <w:noProof/>
            <w:webHidden/>
          </w:rPr>
          <w:t>6</w:t>
        </w:r>
        <w:r w:rsidR="0092229F">
          <w:rPr>
            <w:noProof/>
            <w:webHidden/>
          </w:rPr>
          <w:fldChar w:fldCharType="end"/>
        </w:r>
      </w:hyperlink>
    </w:p>
    <w:p w:rsidR="0085160B" w:rsidRDefault="0092229F" w:rsidP="00E65349">
      <w:pPr>
        <w:pStyle w:val="TOC1"/>
      </w:pPr>
      <w:r>
        <w:fldChar w:fldCharType="end"/>
      </w:r>
    </w:p>
    <w:p w:rsidR="003962EA" w:rsidRDefault="003962EA" w:rsidP="003962EA"/>
    <w:p w:rsidR="003962EA" w:rsidRDefault="003962EA" w:rsidP="003962EA"/>
    <w:p w:rsidR="003962EA" w:rsidRDefault="003962EA" w:rsidP="003962EA"/>
    <w:p w:rsidR="003962EA" w:rsidRDefault="003962EA" w:rsidP="003962EA"/>
    <w:p w:rsidR="003962EA" w:rsidRDefault="003962EA" w:rsidP="003962EA"/>
    <w:p w:rsidR="003962EA" w:rsidRDefault="003962EA" w:rsidP="003962EA"/>
    <w:p w:rsidR="003962EA" w:rsidRDefault="003962EA" w:rsidP="003962EA"/>
    <w:p w:rsidR="003962EA" w:rsidRDefault="003962EA" w:rsidP="003962EA"/>
    <w:p w:rsidR="003962EA" w:rsidRDefault="003962EA" w:rsidP="003962EA"/>
    <w:p w:rsidR="003962EA" w:rsidRDefault="003962EA" w:rsidP="003962EA"/>
    <w:p w:rsidR="003962EA" w:rsidRDefault="003962EA" w:rsidP="003962EA"/>
    <w:p w:rsidR="003962EA" w:rsidRDefault="003962EA" w:rsidP="003962EA"/>
    <w:p w:rsidR="003962EA" w:rsidRDefault="003962EA" w:rsidP="003962EA"/>
    <w:p w:rsidR="003962EA" w:rsidRDefault="003962EA" w:rsidP="003962EA"/>
    <w:p w:rsidR="003962EA" w:rsidRDefault="003962EA" w:rsidP="003962EA"/>
    <w:p w:rsidR="003962EA" w:rsidRDefault="003962EA" w:rsidP="003962EA"/>
    <w:p w:rsidR="003962EA" w:rsidRDefault="003962EA" w:rsidP="003962EA"/>
    <w:p w:rsidR="003962EA" w:rsidRDefault="003962EA" w:rsidP="003962EA"/>
    <w:p w:rsidR="003962EA" w:rsidRDefault="003962EA" w:rsidP="003962EA"/>
    <w:p w:rsidR="003962EA" w:rsidRDefault="003962EA" w:rsidP="003962EA"/>
    <w:p w:rsidR="003962EA" w:rsidRDefault="003962EA" w:rsidP="003962EA"/>
    <w:p w:rsidR="003962EA" w:rsidRDefault="003962EA" w:rsidP="003962EA"/>
    <w:p w:rsidR="003962EA" w:rsidRDefault="003962EA" w:rsidP="003962EA"/>
    <w:p w:rsidR="003962EA" w:rsidRDefault="003962EA" w:rsidP="003962EA"/>
    <w:p w:rsidR="003962EA" w:rsidRDefault="003962EA" w:rsidP="003962EA"/>
    <w:p w:rsidR="00E65349" w:rsidRPr="003F09FA" w:rsidRDefault="00E65349" w:rsidP="00E65349">
      <w:pPr>
        <w:pStyle w:val="PolicyElementHeader"/>
        <w:rPr>
          <w:bCs/>
          <w:color w:val="00527A"/>
        </w:rPr>
      </w:pPr>
      <w:bookmarkStart w:id="1" w:name="_Toc240945136"/>
      <w:bookmarkStart w:id="2" w:name="_Toc297126972"/>
      <w:bookmarkStart w:id="3" w:name="_Toc385339820"/>
      <w:bookmarkStart w:id="4" w:name="_Toc241985854"/>
      <w:r w:rsidRPr="003F09FA">
        <w:rPr>
          <w:bCs/>
          <w:color w:val="00527A"/>
        </w:rPr>
        <w:lastRenderedPageBreak/>
        <w:t>Purpose</w:t>
      </w:r>
      <w:bookmarkEnd w:id="1"/>
      <w:bookmarkEnd w:id="2"/>
      <w:bookmarkEnd w:id="3"/>
    </w:p>
    <w:p w:rsidR="00BB405B" w:rsidRPr="0077342D" w:rsidRDefault="00BB405B" w:rsidP="00BB405B">
      <w:bookmarkStart w:id="5" w:name="_Toc240945137"/>
      <w:bookmarkStart w:id="6" w:name="_Toc297126973"/>
      <w:r w:rsidRPr="0086465F">
        <w:t xml:space="preserve">This policy defines the information security-related requirements </w:t>
      </w:r>
      <w:r>
        <w:t xml:space="preserve">that </w:t>
      </w:r>
      <w:r w:rsidRPr="0086465F">
        <w:t>impact the hiring</w:t>
      </w:r>
      <w:r>
        <w:t>,</w:t>
      </w:r>
      <w:r w:rsidRPr="0086465F">
        <w:t xml:space="preserve"> ongoing management </w:t>
      </w:r>
      <w:r>
        <w:t xml:space="preserve">and termination </w:t>
      </w:r>
      <w:r w:rsidRPr="0086465F">
        <w:t xml:space="preserve">of personnel at </w:t>
      </w:r>
      <w:proofErr w:type="spellStart"/>
      <w:r w:rsidR="00662D56">
        <w:t>CompanyX</w:t>
      </w:r>
      <w:proofErr w:type="spellEnd"/>
      <w:r w:rsidR="0076032A">
        <w:t xml:space="preserve"> (the “Company”)</w:t>
      </w:r>
      <w:r w:rsidRPr="0086465F">
        <w:t>.</w:t>
      </w:r>
    </w:p>
    <w:p w:rsidR="00E65349" w:rsidRPr="003F09FA" w:rsidRDefault="00E65349" w:rsidP="00E65349">
      <w:pPr>
        <w:pStyle w:val="PolicyElementHeader"/>
        <w:rPr>
          <w:bCs/>
          <w:color w:val="00527A"/>
        </w:rPr>
      </w:pPr>
      <w:bookmarkStart w:id="7" w:name="_Toc385339821"/>
      <w:r w:rsidRPr="003F09FA">
        <w:rPr>
          <w:bCs/>
          <w:color w:val="00527A"/>
        </w:rPr>
        <w:t>Scope</w:t>
      </w:r>
      <w:bookmarkEnd w:id="5"/>
      <w:bookmarkEnd w:id="6"/>
      <w:bookmarkEnd w:id="7"/>
    </w:p>
    <w:p w:rsidR="00E65349" w:rsidRPr="00CD236D" w:rsidRDefault="00E65349" w:rsidP="00E65349">
      <w:pPr>
        <w:rPr>
          <w:szCs w:val="22"/>
        </w:rPr>
      </w:pPr>
      <w:r w:rsidRPr="0086465F">
        <w:rPr>
          <w:szCs w:val="22"/>
        </w:rPr>
        <w:t xml:space="preserve">This policy applies to all </w:t>
      </w:r>
      <w:proofErr w:type="spellStart"/>
      <w:r w:rsidR="00662D56">
        <w:rPr>
          <w:szCs w:val="22"/>
        </w:rPr>
        <w:t>CompanyX</w:t>
      </w:r>
      <w:proofErr w:type="spellEnd"/>
      <w:r w:rsidRPr="0086465F">
        <w:rPr>
          <w:szCs w:val="22"/>
        </w:rPr>
        <w:t xml:space="preserve"> employees and partners.</w:t>
      </w:r>
      <w:r w:rsidRPr="00CD236D">
        <w:rPr>
          <w:szCs w:val="22"/>
        </w:rPr>
        <w:t xml:space="preserve"> </w:t>
      </w:r>
    </w:p>
    <w:p w:rsidR="00E65349" w:rsidRPr="003F09FA" w:rsidRDefault="00E65349" w:rsidP="00E65349">
      <w:pPr>
        <w:pStyle w:val="PolicyElementHeader"/>
        <w:rPr>
          <w:bCs/>
          <w:color w:val="00527A"/>
        </w:rPr>
      </w:pPr>
      <w:bookmarkStart w:id="8" w:name="_Toc240945138"/>
      <w:bookmarkStart w:id="9" w:name="_Toc297126974"/>
      <w:bookmarkStart w:id="10" w:name="_Toc385339822"/>
      <w:r w:rsidRPr="003F09FA">
        <w:rPr>
          <w:bCs/>
          <w:color w:val="00527A"/>
        </w:rPr>
        <w:t>Policy</w:t>
      </w:r>
      <w:bookmarkEnd w:id="8"/>
      <w:bookmarkEnd w:id="9"/>
      <w:bookmarkEnd w:id="10"/>
    </w:p>
    <w:p w:rsidR="00BB405B" w:rsidRPr="00A140E7" w:rsidRDefault="00BB405B" w:rsidP="00A140E7">
      <w:pPr>
        <w:pStyle w:val="Heading3"/>
        <w:rPr>
          <w:rStyle w:val="Strong"/>
        </w:rPr>
      </w:pPr>
      <w:bookmarkStart w:id="11" w:name="_Toc385339823"/>
      <w:r w:rsidRPr="00A140E7">
        <w:rPr>
          <w:rStyle w:val="Strong"/>
        </w:rPr>
        <w:t>Roles and Responsibilities</w:t>
      </w:r>
      <w:bookmarkEnd w:id="11"/>
    </w:p>
    <w:p w:rsidR="00BB405B" w:rsidRDefault="00BB405B" w:rsidP="00BB405B">
      <w:pPr>
        <w:pStyle w:val="PolicyBodyText"/>
      </w:pPr>
      <w:r w:rsidRPr="008063B7">
        <w:t>I</w:t>
      </w:r>
      <w:r w:rsidRPr="008063B7">
        <w:rPr>
          <w:rStyle w:val="Strong"/>
        </w:rPr>
        <w:t>nformation Security</w:t>
      </w:r>
      <w:r w:rsidRPr="008063B7">
        <w:t xml:space="preserve"> </w:t>
      </w:r>
      <w:r w:rsidRPr="00BB0D66">
        <w:rPr>
          <w:b/>
        </w:rPr>
        <w:t>Responsibility</w:t>
      </w:r>
      <w:r w:rsidRPr="008063B7">
        <w:t xml:space="preserve"> </w:t>
      </w:r>
      <w:r>
        <w:t>- Responsibility for information security on a day-to-day basis is every worker's duty. Specific responsibility for information security is NOT solely vested in the Information Security Department.</w:t>
      </w:r>
    </w:p>
    <w:p w:rsidR="00BB405B" w:rsidRDefault="00BB405B" w:rsidP="00BB405B">
      <w:pPr>
        <w:pStyle w:val="PolicyBodyText"/>
      </w:pPr>
      <w:r w:rsidRPr="008063B7">
        <w:rPr>
          <w:rStyle w:val="Strong"/>
        </w:rPr>
        <w:t>Job Descriptions</w:t>
      </w:r>
      <w:r w:rsidRPr="00BA21BA">
        <w:t xml:space="preserve"> </w:t>
      </w:r>
      <w:r>
        <w:t>- Specific information security responsibilities must be incorporated into all worker job descriptions if such workers have access to sensitive, valuable, or critical information.</w:t>
      </w:r>
    </w:p>
    <w:p w:rsidR="00BB405B" w:rsidRDefault="00BB405B" w:rsidP="00BB405B">
      <w:pPr>
        <w:pStyle w:val="PolicyBodyText"/>
      </w:pPr>
      <w:r w:rsidRPr="008063B7">
        <w:rPr>
          <w:rStyle w:val="Strong"/>
        </w:rPr>
        <w:t>Performance Evaluations</w:t>
      </w:r>
      <w:r w:rsidRPr="008063B7">
        <w:t xml:space="preserve"> </w:t>
      </w:r>
      <w:r>
        <w:t>- Compliance with information security policies and procedures must be considered in all employee performance evaluations.</w:t>
      </w:r>
    </w:p>
    <w:p w:rsidR="00BB405B" w:rsidRDefault="00BB405B" w:rsidP="00BB405B">
      <w:pPr>
        <w:pStyle w:val="PolicyBodyText"/>
      </w:pPr>
      <w:r w:rsidRPr="008063B7">
        <w:rPr>
          <w:rStyle w:val="Strong"/>
        </w:rPr>
        <w:t>Personnel Record Distributions</w:t>
      </w:r>
      <w:r w:rsidRPr="008063B7">
        <w:t xml:space="preserve"> </w:t>
      </w:r>
      <w:r>
        <w:t>- To permit each employee an opportunity to acquaint himself or herself with the information, and to ensure that it contains no errors, every employee must be given a copy of his or her personnel file once a year.</w:t>
      </w:r>
    </w:p>
    <w:p w:rsidR="00BB405B" w:rsidRDefault="00BB405B" w:rsidP="00BB405B">
      <w:pPr>
        <w:pStyle w:val="PolicyBodyText"/>
      </w:pPr>
      <w:r w:rsidRPr="008063B7">
        <w:rPr>
          <w:rStyle w:val="Strong"/>
        </w:rPr>
        <w:t>Health And Safety Information</w:t>
      </w:r>
      <w:r w:rsidRPr="008063B7">
        <w:t xml:space="preserve"> </w:t>
      </w:r>
      <w:r>
        <w:t>- Management must fully disclose to the involved workers the results of toxic substance tests and other information relating to the health and safety of workers.</w:t>
      </w:r>
    </w:p>
    <w:p w:rsidR="00BB405B" w:rsidRDefault="00BB405B" w:rsidP="00BB405B">
      <w:pPr>
        <w:pStyle w:val="PolicyBodyText"/>
      </w:pPr>
      <w:r w:rsidRPr="008063B7">
        <w:rPr>
          <w:rStyle w:val="Strong"/>
        </w:rPr>
        <w:t>Worker Status Changes</w:t>
      </w:r>
      <w:r w:rsidRPr="008063B7">
        <w:t xml:space="preserve"> </w:t>
      </w:r>
      <w:r>
        <w:t xml:space="preserve">- Every change in the employment status of </w:t>
      </w:r>
      <w:proofErr w:type="spellStart"/>
      <w:r w:rsidR="00662D56">
        <w:t>CompanyX</w:t>
      </w:r>
      <w:proofErr w:type="spellEnd"/>
      <w:r>
        <w:t xml:space="preserve"> workers including, but not limited to, permanent employees, consultants, contractors, and temporaries, must be immediately reported by the individual's immediate manager to the Human Resources Department. The Human Resources Department must then immediately notify the involved information Systems Administrators.</w:t>
      </w:r>
    </w:p>
    <w:p w:rsidR="00BB405B" w:rsidRDefault="00BB405B" w:rsidP="00BB405B">
      <w:pPr>
        <w:pStyle w:val="Heading3"/>
      </w:pPr>
      <w:bookmarkStart w:id="12" w:name="_Toc385339824"/>
      <w:r>
        <w:t>Pre-Employment Screening</w:t>
      </w:r>
      <w:bookmarkEnd w:id="12"/>
    </w:p>
    <w:p w:rsidR="00BB405B" w:rsidRDefault="00BB405B" w:rsidP="00BB405B">
      <w:pPr>
        <w:pStyle w:val="PolicyBodyText"/>
      </w:pPr>
      <w:r w:rsidRPr="00B427DB">
        <w:rPr>
          <w:rStyle w:val="Strong"/>
        </w:rPr>
        <w:t>Background Checks</w:t>
      </w:r>
      <w:r w:rsidRPr="00B427DB">
        <w:t xml:space="preserve"> </w:t>
      </w:r>
      <w:r>
        <w:t>- All workers to be placed in computer-related positions of trust must pass a background check. This process shall include examination of criminal conviction records, lawsuit records, credit bureau records, driver’s license records, and verification of previous employment.</w:t>
      </w:r>
    </w:p>
    <w:p w:rsidR="00BB405B" w:rsidRDefault="00BB405B" w:rsidP="00BB405B">
      <w:pPr>
        <w:pStyle w:val="PolicyBodyText"/>
      </w:pPr>
      <w:r w:rsidRPr="00B427DB">
        <w:rPr>
          <w:rStyle w:val="Strong"/>
        </w:rPr>
        <w:t>Non-Employee Background Checks</w:t>
      </w:r>
      <w:r w:rsidRPr="00B427DB">
        <w:t xml:space="preserve"> </w:t>
      </w:r>
      <w:r>
        <w:t>- Temporaries, consultants, contractors, and outsourcing organization staff must not be given access to sensitive information, or be allowed to access critical information systems, unless they have gone through a background check commensurate with the background checks given to regular employees.</w:t>
      </w:r>
    </w:p>
    <w:p w:rsidR="00BB405B" w:rsidRDefault="00BB405B" w:rsidP="00BB405B">
      <w:pPr>
        <w:pStyle w:val="PolicyBodyText"/>
      </w:pPr>
      <w:r w:rsidRPr="00B427DB">
        <w:rPr>
          <w:rStyle w:val="Strong"/>
        </w:rPr>
        <w:lastRenderedPageBreak/>
        <w:t>Prospective Employee Information</w:t>
      </w:r>
      <w:r>
        <w:t xml:space="preserve"> - Personal information about a prospective employee may not be gathered unless it is necessary to make an employment decision and relevant to the job. This policy addresses marital status, family planning objectives, off-hours activities, political affiliations, performance on previous jobs, previous employers, credit history, education, and other personal details.</w:t>
      </w:r>
    </w:p>
    <w:p w:rsidR="00BB405B" w:rsidRDefault="00BB405B" w:rsidP="00BB405B">
      <w:pPr>
        <w:pStyle w:val="PolicyBodyText"/>
      </w:pPr>
      <w:r w:rsidRPr="00B427DB">
        <w:rPr>
          <w:rStyle w:val="Strong"/>
        </w:rPr>
        <w:t>Revealing Information To Prospective Employees</w:t>
      </w:r>
      <w:r w:rsidRPr="00B427DB">
        <w:t xml:space="preserve"> </w:t>
      </w:r>
      <w:r>
        <w:t>- Information systems technical details, such as network addresses, network diagrams, and security software employed, must not be revealed to job applicants until they have signed a confidentiality agreement and also have been hired or retained.</w:t>
      </w:r>
    </w:p>
    <w:p w:rsidR="00BB405B" w:rsidRDefault="00BB405B" w:rsidP="00BB405B">
      <w:pPr>
        <w:pStyle w:val="PolicyBodyText"/>
      </w:pPr>
      <w:r w:rsidRPr="00B427DB">
        <w:rPr>
          <w:rStyle w:val="Strong"/>
        </w:rPr>
        <w:t>Convicted Felons</w:t>
      </w:r>
      <w:r w:rsidRPr="00B427DB">
        <w:t xml:space="preserve"> </w:t>
      </w:r>
      <w:r>
        <w:t xml:space="preserve">- Job offers must not be extended to individuals who have been convicted of either a felony or other crimes involving violence that, if repeated, would pose a physical danger to </w:t>
      </w:r>
      <w:proofErr w:type="spellStart"/>
      <w:r w:rsidR="00662D56">
        <w:t>CompanyX</w:t>
      </w:r>
      <w:proofErr w:type="spellEnd"/>
      <w:r>
        <w:t xml:space="preserve"> employees or property.</w:t>
      </w:r>
    </w:p>
    <w:p w:rsidR="00BB405B" w:rsidRDefault="00BB405B" w:rsidP="00BB405B">
      <w:pPr>
        <w:pStyle w:val="PolicyBodyText"/>
      </w:pPr>
      <w:r w:rsidRPr="00B427DB">
        <w:rPr>
          <w:rStyle w:val="Strong"/>
        </w:rPr>
        <w:t>Sensitive Product Information</w:t>
      </w:r>
      <w:r w:rsidRPr="00B427DB">
        <w:t xml:space="preserve"> </w:t>
      </w:r>
      <w:r>
        <w:t>- All workers who will have access to sensitive product information such as marketing plans, engineering specifications, or manufacturing procedures, must pass a standardized background check performed by the Human Resources Department.</w:t>
      </w:r>
    </w:p>
    <w:p w:rsidR="00BB405B" w:rsidRDefault="00BB405B" w:rsidP="00BB405B">
      <w:pPr>
        <w:pStyle w:val="Heading3"/>
      </w:pPr>
      <w:bookmarkStart w:id="13" w:name="_Toc385339825"/>
      <w:r>
        <w:t>Terms and Conditions of Employment</w:t>
      </w:r>
      <w:bookmarkEnd w:id="13"/>
    </w:p>
    <w:p w:rsidR="00BB405B" w:rsidRDefault="00BB405B" w:rsidP="00BB405B">
      <w:pPr>
        <w:pStyle w:val="PolicyBodyText"/>
      </w:pPr>
      <w:r>
        <w:rPr>
          <w:rStyle w:val="Strong"/>
        </w:rPr>
        <w:t xml:space="preserve">Required </w:t>
      </w:r>
      <w:r w:rsidRPr="00E474F5">
        <w:rPr>
          <w:rStyle w:val="Strong"/>
        </w:rPr>
        <w:t>User ID Forms</w:t>
      </w:r>
      <w:r w:rsidRPr="00E408FB">
        <w:t xml:space="preserve"> </w:t>
      </w:r>
      <w:r>
        <w:t xml:space="preserve">- Users must sign both a confidentiality agreement and an information system security agreement prior to being issued a user ID permitting access to </w:t>
      </w:r>
      <w:proofErr w:type="spellStart"/>
      <w:r w:rsidR="00662D56">
        <w:t>CompanyX</w:t>
      </w:r>
      <w:proofErr w:type="spellEnd"/>
      <w:r>
        <w:t xml:space="preserve"> systems.</w:t>
      </w:r>
    </w:p>
    <w:p w:rsidR="00BB405B" w:rsidRDefault="00BB405B" w:rsidP="00BB405B">
      <w:pPr>
        <w:pStyle w:val="PolicyBodyText"/>
      </w:pPr>
      <w:r w:rsidRPr="001B3246">
        <w:rPr>
          <w:rStyle w:val="Strong"/>
        </w:rPr>
        <w:t>Property Rights</w:t>
      </w:r>
      <w:r>
        <w:t xml:space="preserve"> - Without specific written exceptions, all programs and documentation generated by, or provided by any worker for the benefit of </w:t>
      </w:r>
      <w:proofErr w:type="spellStart"/>
      <w:r w:rsidR="00662D56">
        <w:t>CompanyX</w:t>
      </w:r>
      <w:proofErr w:type="spellEnd"/>
      <w:r>
        <w:t xml:space="preserve"> are the property of </w:t>
      </w:r>
      <w:proofErr w:type="spellStart"/>
      <w:r w:rsidR="00662D56">
        <w:t>CompanyX</w:t>
      </w:r>
      <w:proofErr w:type="spellEnd"/>
      <w:r>
        <w:t xml:space="preserve">. Management must ensure that all workers providing such programs or documentation sign a statement to this effect prior to the delivery of these materials to </w:t>
      </w:r>
      <w:proofErr w:type="spellStart"/>
      <w:r w:rsidR="00662D56">
        <w:t>CompanyX</w:t>
      </w:r>
      <w:proofErr w:type="spellEnd"/>
      <w:r>
        <w:t>.</w:t>
      </w:r>
    </w:p>
    <w:p w:rsidR="00BB405B" w:rsidRDefault="00BB405B" w:rsidP="00BB405B">
      <w:pPr>
        <w:pStyle w:val="PolicyBodyText"/>
      </w:pPr>
      <w:r w:rsidRPr="00A4341D">
        <w:rPr>
          <w:rStyle w:val="Strong"/>
        </w:rPr>
        <w:t>Non-Disclosure Agreements — Organization</w:t>
      </w:r>
      <w:r>
        <w:t xml:space="preserve"> - All workers must personally sign a </w:t>
      </w:r>
      <w:proofErr w:type="spellStart"/>
      <w:r w:rsidR="00662D56">
        <w:t>CompanyX</w:t>
      </w:r>
      <w:proofErr w:type="spellEnd"/>
      <w:r>
        <w:t xml:space="preserve"> non-disclosure agreement before work begins. If a worker has been working without a non-disclosure agreement, a signature must be provided as a condition of continued employment.</w:t>
      </w:r>
    </w:p>
    <w:p w:rsidR="00BB405B" w:rsidRDefault="00BB405B" w:rsidP="00BB405B">
      <w:pPr>
        <w:pStyle w:val="PolicyBodyText"/>
      </w:pPr>
      <w:r w:rsidRPr="00A4341D">
        <w:rPr>
          <w:rStyle w:val="Strong"/>
        </w:rPr>
        <w:t>Non-Compete Agreements</w:t>
      </w:r>
      <w:r>
        <w:t xml:space="preserve"> - At the time they join </w:t>
      </w:r>
      <w:proofErr w:type="spellStart"/>
      <w:r w:rsidR="00662D56">
        <w:t>CompanyX</w:t>
      </w:r>
      <w:proofErr w:type="spellEnd"/>
      <w:r>
        <w:t xml:space="preserve">, all employees must sign an agreement not to compete for six months after their separation from </w:t>
      </w:r>
      <w:proofErr w:type="spellStart"/>
      <w:r w:rsidR="00662D56">
        <w:t>CompanyX</w:t>
      </w:r>
      <w:proofErr w:type="spellEnd"/>
      <w:r>
        <w:t>.</w:t>
      </w:r>
    </w:p>
    <w:p w:rsidR="00BB405B" w:rsidRDefault="00BB405B" w:rsidP="00BB405B">
      <w:pPr>
        <w:pStyle w:val="PolicyBodyText"/>
      </w:pPr>
      <w:r w:rsidRPr="00A4341D">
        <w:rPr>
          <w:rStyle w:val="Strong"/>
        </w:rPr>
        <w:t>Intellectual Property Rights</w:t>
      </w:r>
      <w:r>
        <w:t xml:space="preserve"> - While employees of </w:t>
      </w:r>
      <w:proofErr w:type="spellStart"/>
      <w:r w:rsidR="00662D56">
        <w:t>CompanyX</w:t>
      </w:r>
      <w:proofErr w:type="spellEnd"/>
      <w:r>
        <w:t xml:space="preserve">, all staff members grant to </w:t>
      </w:r>
      <w:proofErr w:type="spellStart"/>
      <w:r w:rsidR="00662D56">
        <w:t>CompanyX</w:t>
      </w:r>
      <w:proofErr w:type="spellEnd"/>
      <w:r>
        <w:t xml:space="preserve"> exclusive rights to patents, copyrights, inventions, and all other intellectual property they originate or develop.</w:t>
      </w:r>
    </w:p>
    <w:p w:rsidR="00BB405B" w:rsidRDefault="00BB405B" w:rsidP="00BB405B">
      <w:pPr>
        <w:pStyle w:val="PolicyBodyText"/>
      </w:pPr>
      <w:r w:rsidRPr="00A4341D">
        <w:rPr>
          <w:rStyle w:val="Strong"/>
        </w:rPr>
        <w:t>Compliance Agreement</w:t>
      </w:r>
      <w:r>
        <w:t xml:space="preserve"> - As a condition of continued employment, employees, consultants, and contractors must annually sign an information security compliance agreement.</w:t>
      </w:r>
    </w:p>
    <w:p w:rsidR="00BB405B" w:rsidRDefault="00BB405B" w:rsidP="00BB405B">
      <w:pPr>
        <w:pStyle w:val="PolicyBodyText"/>
      </w:pPr>
      <w:r w:rsidRPr="00A4341D">
        <w:rPr>
          <w:rStyle w:val="Strong"/>
        </w:rPr>
        <w:t>Code Of Conduct Acknowledgement</w:t>
      </w:r>
      <w:r>
        <w:t xml:space="preserve"> - All workers must indicate their understanding of the code of conduct by annually signing a form acknowledging that they agree to subscribe to the code.</w:t>
      </w:r>
    </w:p>
    <w:p w:rsidR="00BB405B" w:rsidRDefault="00BB405B" w:rsidP="00BB405B">
      <w:pPr>
        <w:pStyle w:val="PolicyBodyText"/>
      </w:pPr>
      <w:r w:rsidRPr="00A4341D">
        <w:rPr>
          <w:rStyle w:val="Strong"/>
        </w:rPr>
        <w:lastRenderedPageBreak/>
        <w:t>Conflicts of Interest</w:t>
      </w:r>
      <w:r>
        <w:t xml:space="preserve"> - All workers must avoid the actual or apparent conflict of interest in their business-related dealings with </w:t>
      </w:r>
      <w:proofErr w:type="spellStart"/>
      <w:r w:rsidR="00662D56">
        <w:t>CompanyX</w:t>
      </w:r>
      <w:proofErr w:type="spellEnd"/>
      <w:r>
        <w:t>. Should there be any doubt as to the existence of a potential conflict of interest, the worker must consult his or her manager.</w:t>
      </w:r>
    </w:p>
    <w:p w:rsidR="00BB405B" w:rsidRDefault="00BB405B" w:rsidP="00BB405B">
      <w:pPr>
        <w:pStyle w:val="Heading3"/>
      </w:pPr>
      <w:bookmarkStart w:id="14" w:name="_Toc385339826"/>
      <w:r>
        <w:t>Security Awareness and Training</w:t>
      </w:r>
      <w:bookmarkEnd w:id="14"/>
    </w:p>
    <w:p w:rsidR="00BB405B" w:rsidRPr="0093323E" w:rsidRDefault="00BB405B" w:rsidP="00BB405B">
      <w:pPr>
        <w:pStyle w:val="PolicyBodyText"/>
        <w:rPr>
          <w:rStyle w:val="Strong"/>
          <w:b w:val="0"/>
        </w:rPr>
      </w:pPr>
      <w:r w:rsidRPr="00056D00">
        <w:rPr>
          <w:rStyle w:val="Strong"/>
        </w:rPr>
        <w:t>Security Violations</w:t>
      </w:r>
      <w:r>
        <w:rPr>
          <w:rStyle w:val="Strong"/>
        </w:rPr>
        <w:t xml:space="preserve"> and Reporting</w:t>
      </w:r>
      <w:r>
        <w:rPr>
          <w:rStyle w:val="Strong"/>
          <w:b w:val="0"/>
        </w:rPr>
        <w:t xml:space="preserve"> - </w:t>
      </w:r>
      <w:r w:rsidRPr="0093323E">
        <w:rPr>
          <w:rStyle w:val="Strong"/>
          <w:b w:val="0"/>
        </w:rPr>
        <w:t>Users must be clearly informed about the actions that constitute security violations as well as informed that all such violations will be logged</w:t>
      </w:r>
      <w:r>
        <w:rPr>
          <w:rStyle w:val="Strong"/>
          <w:b w:val="0"/>
        </w:rPr>
        <w:t xml:space="preserve"> and how to properly report possible security incidents.</w:t>
      </w:r>
    </w:p>
    <w:p w:rsidR="00BB405B" w:rsidRDefault="00BB405B" w:rsidP="00BB405B">
      <w:pPr>
        <w:pStyle w:val="PolicyBodyText"/>
      </w:pPr>
      <w:r w:rsidRPr="000C06AA">
        <w:rPr>
          <w:rStyle w:val="Strong"/>
        </w:rPr>
        <w:t>Information Security Policy</w:t>
      </w:r>
      <w:r>
        <w:rPr>
          <w:rStyle w:val="Strong"/>
        </w:rPr>
        <w:t xml:space="preserve"> Distribution</w:t>
      </w:r>
      <w:r>
        <w:t xml:space="preserve"> - On or before their first day of work, all new </w:t>
      </w:r>
      <w:proofErr w:type="spellStart"/>
      <w:r w:rsidR="00662D56">
        <w:t>CompanyX</w:t>
      </w:r>
      <w:proofErr w:type="spellEnd"/>
      <w:r>
        <w:t xml:space="preserve"> workers must receive a copy of the information security policy (policies) and be made aware that they must comply with the requirements described in these policies as a condition of continued employment.</w:t>
      </w:r>
    </w:p>
    <w:p w:rsidR="00BB405B" w:rsidRDefault="00BB405B" w:rsidP="00BB405B">
      <w:pPr>
        <w:pStyle w:val="PolicyBodyText"/>
      </w:pPr>
      <w:r>
        <w:rPr>
          <w:rStyle w:val="Strong"/>
        </w:rPr>
        <w:t xml:space="preserve">Policy </w:t>
      </w:r>
      <w:r w:rsidRPr="000C06AA">
        <w:rPr>
          <w:rStyle w:val="Strong"/>
        </w:rPr>
        <w:t>Work Agreement</w:t>
      </w:r>
      <w:r>
        <w:t xml:space="preserve"> - Every worker must understand the </w:t>
      </w:r>
      <w:proofErr w:type="spellStart"/>
      <w:r w:rsidR="00662D56">
        <w:t>CompanyX</w:t>
      </w:r>
      <w:proofErr w:type="spellEnd"/>
      <w:r>
        <w:t xml:space="preserve"> policies and procedures about information </w:t>
      </w:r>
      <w:r w:rsidR="00DA364E">
        <w:t>security and</w:t>
      </w:r>
      <w:r>
        <w:t xml:space="preserve"> must agree in writing to perform his or her work according to these same policies and procedures.</w:t>
      </w:r>
    </w:p>
    <w:p w:rsidR="00BB405B" w:rsidRDefault="00BB405B" w:rsidP="00BB405B">
      <w:pPr>
        <w:pStyle w:val="PolicyBodyText"/>
      </w:pPr>
      <w:r w:rsidRPr="000C06AA">
        <w:rPr>
          <w:rStyle w:val="Strong"/>
        </w:rPr>
        <w:t>Information Security Policy Changes</w:t>
      </w:r>
      <w:r>
        <w:t xml:space="preserve"> - All </w:t>
      </w:r>
      <w:proofErr w:type="spellStart"/>
      <w:r w:rsidR="00662D56">
        <w:t>CompanyX</w:t>
      </w:r>
      <w:proofErr w:type="spellEnd"/>
      <w:r>
        <w:t xml:space="preserve"> workers must receive prompt notice of changes in the </w:t>
      </w:r>
      <w:proofErr w:type="spellStart"/>
      <w:r w:rsidR="00662D56">
        <w:t>CompanyX</w:t>
      </w:r>
      <w:proofErr w:type="spellEnd"/>
      <w:r>
        <w:t xml:space="preserve"> information security policy, including how these changes may affect them, and how to obtain additional information.</w:t>
      </w:r>
    </w:p>
    <w:p w:rsidR="00BB405B" w:rsidRDefault="00BB405B" w:rsidP="00BB405B">
      <w:pPr>
        <w:pStyle w:val="PolicyBodyText"/>
      </w:pPr>
      <w:r w:rsidRPr="00056D00">
        <w:rPr>
          <w:b/>
        </w:rPr>
        <w:t xml:space="preserve">Annual </w:t>
      </w:r>
      <w:r>
        <w:rPr>
          <w:b/>
        </w:rPr>
        <w:t>Information Security Class</w:t>
      </w:r>
      <w:r>
        <w:t xml:space="preserve"> - All employees and partners must complete an information security training course and pass a corresponding test on an annual basis. New workers must attend and pass the course within 15 days of the date when they begin employment with </w:t>
      </w:r>
      <w:proofErr w:type="spellStart"/>
      <w:r w:rsidR="00662D56">
        <w:t>CompanyX</w:t>
      </w:r>
      <w:proofErr w:type="spellEnd"/>
      <w:r>
        <w:t>.</w:t>
      </w:r>
    </w:p>
    <w:p w:rsidR="00BB405B" w:rsidRDefault="00BB405B" w:rsidP="00BB405B">
      <w:pPr>
        <w:pStyle w:val="PolicyBodyText"/>
      </w:pPr>
      <w:r>
        <w:rPr>
          <w:rStyle w:val="Strong"/>
        </w:rPr>
        <w:t xml:space="preserve">Training Verification Record </w:t>
      </w:r>
      <w:r w:rsidRPr="005C5B52">
        <w:t>-</w:t>
      </w:r>
      <w:r>
        <w:t xml:space="preserve"> To provide evidence that every employee has attended such a class, each employee must sign a statement that they have attended a class, understood the material presented, and had an opportunity to ask questions.</w:t>
      </w:r>
    </w:p>
    <w:p w:rsidR="00BB405B" w:rsidRPr="005C5B52" w:rsidRDefault="00BB405B" w:rsidP="00BB405B">
      <w:pPr>
        <w:pStyle w:val="PolicyBodyText"/>
        <w:rPr>
          <w:bCs/>
        </w:rPr>
      </w:pPr>
      <w:r w:rsidRPr="00056D00">
        <w:rPr>
          <w:rStyle w:val="Strong"/>
        </w:rPr>
        <w:t>Training</w:t>
      </w:r>
      <w:r>
        <w:rPr>
          <w:rStyle w:val="Strong"/>
        </w:rPr>
        <w:t xml:space="preserve"> Records</w:t>
      </w:r>
      <w:r w:rsidRPr="00056D00">
        <w:rPr>
          <w:rStyle w:val="Strong"/>
        </w:rPr>
        <w:t xml:space="preserve"> List</w:t>
      </w:r>
      <w:r>
        <w:rPr>
          <w:rStyle w:val="Strong"/>
          <w:b w:val="0"/>
        </w:rPr>
        <w:t xml:space="preserve"> - </w:t>
      </w:r>
      <w:r w:rsidRPr="0093323E">
        <w:rPr>
          <w:rStyle w:val="Strong"/>
          <w:b w:val="0"/>
        </w:rPr>
        <w:t xml:space="preserve">Management must maintain a listing of the training provided to all users of </w:t>
      </w:r>
      <w:proofErr w:type="spellStart"/>
      <w:r w:rsidR="00662D56">
        <w:rPr>
          <w:rStyle w:val="Strong"/>
          <w:b w:val="0"/>
        </w:rPr>
        <w:t>CompanyX</w:t>
      </w:r>
      <w:r w:rsidRPr="0093323E">
        <w:rPr>
          <w:rStyle w:val="Strong"/>
          <w:b w:val="0"/>
        </w:rPr>
        <w:t>’s</w:t>
      </w:r>
      <w:proofErr w:type="spellEnd"/>
      <w:r w:rsidRPr="0093323E">
        <w:rPr>
          <w:rStyle w:val="Strong"/>
          <w:b w:val="0"/>
        </w:rPr>
        <w:t xml:space="preserve"> information assets.</w:t>
      </w:r>
    </w:p>
    <w:p w:rsidR="00BB405B" w:rsidRPr="00A140E7" w:rsidRDefault="00BB405B" w:rsidP="00A140E7">
      <w:pPr>
        <w:pStyle w:val="Heading3"/>
      </w:pPr>
      <w:bookmarkStart w:id="15" w:name="_Toc385339827"/>
      <w:r w:rsidRPr="00A140E7">
        <w:rPr>
          <w:rStyle w:val="Strong"/>
        </w:rPr>
        <w:t>Segregation of Duties</w:t>
      </w:r>
      <w:bookmarkEnd w:id="15"/>
    </w:p>
    <w:p w:rsidR="00BB405B" w:rsidRDefault="00BB405B" w:rsidP="00BB405B">
      <w:pPr>
        <w:pStyle w:val="PolicyBodyText"/>
      </w:pPr>
      <w:r w:rsidRPr="00653F92">
        <w:rPr>
          <w:rStyle w:val="Strong"/>
        </w:rPr>
        <w:t>Separation of Request and Approval</w:t>
      </w:r>
      <w:r>
        <w:t xml:space="preserve"> - </w:t>
      </w:r>
      <w:r w:rsidRPr="00653F92">
        <w:t xml:space="preserve">For any significant transaction, administrative procedure or change to </w:t>
      </w:r>
      <w:proofErr w:type="spellStart"/>
      <w:r w:rsidR="00662D56">
        <w:t>CompanyX</w:t>
      </w:r>
      <w:proofErr w:type="spellEnd"/>
      <w:r w:rsidRPr="00653F92">
        <w:t xml:space="preserve"> information systems falling under the scope of this policy, the one(s) approving the change must be separate from the one(s) initiating the request.</w:t>
      </w:r>
    </w:p>
    <w:p w:rsidR="00BB405B" w:rsidRPr="00653F92" w:rsidRDefault="00BB405B" w:rsidP="00BB405B">
      <w:pPr>
        <w:pStyle w:val="PolicyBodyText"/>
      </w:pPr>
      <w:r w:rsidRPr="00653F92">
        <w:rPr>
          <w:rStyle w:val="Strong"/>
        </w:rPr>
        <w:t>Separate Security Administration Functions</w:t>
      </w:r>
      <w:r>
        <w:t xml:space="preserve"> - </w:t>
      </w:r>
      <w:r w:rsidRPr="00653F92">
        <w:t>Accordingly, the functions of information technology security administration and the functions of security infrastructure changes are to be kept separate.  All security administration processes are to be designed and implemented so that no one person, alone, can compromise a security control, either inadvertently or deliberately.</w:t>
      </w:r>
    </w:p>
    <w:p w:rsidR="00BB405B" w:rsidRPr="00653F92" w:rsidRDefault="00BB405B" w:rsidP="00BB405B">
      <w:pPr>
        <w:pStyle w:val="PolicyBodyText"/>
      </w:pPr>
      <w:r w:rsidRPr="00653F92">
        <w:rPr>
          <w:rStyle w:val="Strong"/>
        </w:rPr>
        <w:t>Separation Of Duties</w:t>
      </w:r>
      <w:r>
        <w:t xml:space="preserve"> - </w:t>
      </w:r>
      <w:r w:rsidRPr="00653F92">
        <w:t xml:space="preserve">Whenever a </w:t>
      </w:r>
      <w:proofErr w:type="spellStart"/>
      <w:r w:rsidR="00662D56">
        <w:t>CompanyX</w:t>
      </w:r>
      <w:proofErr w:type="spellEnd"/>
      <w:r w:rsidRPr="00653F92">
        <w:t xml:space="preserve"> computer-based process involves </w:t>
      </w:r>
      <w:r>
        <w:t>confidential</w:t>
      </w:r>
      <w:r w:rsidRPr="00653F92">
        <w:t xml:space="preserve"> valuable, or critical information, the system must include controls involving a </w:t>
      </w:r>
      <w:r w:rsidRPr="00653F92">
        <w:lastRenderedPageBreak/>
        <w:t>separation of duties or other compensating control measures that ensure that no one individual has exclusive control over these types of information.</w:t>
      </w:r>
    </w:p>
    <w:p w:rsidR="00BB405B" w:rsidRDefault="00BB405B" w:rsidP="00BB405B">
      <w:pPr>
        <w:pStyle w:val="Heading3"/>
      </w:pPr>
      <w:bookmarkStart w:id="16" w:name="_Toc385339828"/>
      <w:r>
        <w:t>Personnel Transfers and Changes</w:t>
      </w:r>
      <w:bookmarkEnd w:id="16"/>
    </w:p>
    <w:p w:rsidR="00BB405B" w:rsidRDefault="00BB405B" w:rsidP="00BB405B">
      <w:pPr>
        <w:pStyle w:val="PolicyBodyText"/>
      </w:pPr>
      <w:r w:rsidRPr="00A4341D">
        <w:rPr>
          <w:rStyle w:val="Strong"/>
        </w:rPr>
        <w:t>Reporting Status Changes</w:t>
      </w:r>
      <w:r>
        <w:t xml:space="preserve"> - Employees have a duty to promptly report to their immediate manager all changes in their personal status which might affect their eligibility to maintain their current position. Examples of such status changes include convictions for job-related crimes and outside business activities.</w:t>
      </w:r>
    </w:p>
    <w:p w:rsidR="00BB405B" w:rsidRPr="00A140E7" w:rsidRDefault="00BB405B" w:rsidP="00A140E7">
      <w:pPr>
        <w:pStyle w:val="Heading3"/>
      </w:pPr>
      <w:bookmarkStart w:id="17" w:name="_Toc385339829"/>
      <w:r w:rsidRPr="00A140E7">
        <w:rPr>
          <w:rStyle w:val="Strong"/>
        </w:rPr>
        <w:t>Personnel Terminations</w:t>
      </w:r>
      <w:bookmarkEnd w:id="17"/>
    </w:p>
    <w:p w:rsidR="00BB405B" w:rsidRDefault="00BB405B" w:rsidP="00BB405B">
      <w:pPr>
        <w:pStyle w:val="PolicyBodyText"/>
      </w:pPr>
      <w:r>
        <w:rPr>
          <w:rStyle w:val="Strong"/>
        </w:rPr>
        <w:t xml:space="preserve">Temporary </w:t>
      </w:r>
      <w:r w:rsidRPr="00653F92">
        <w:rPr>
          <w:rStyle w:val="Strong"/>
        </w:rPr>
        <w:t>Worker Transfers</w:t>
      </w:r>
      <w:r w:rsidRPr="00E408FB">
        <w:t xml:space="preserve"> </w:t>
      </w:r>
      <w:r>
        <w:t xml:space="preserve">- Workers who have given notice of their intention to leave the employment of </w:t>
      </w:r>
      <w:proofErr w:type="spellStart"/>
      <w:r w:rsidR="00662D56">
        <w:t>CompanyX</w:t>
      </w:r>
      <w:proofErr w:type="spellEnd"/>
      <w:r>
        <w:t xml:space="preserve">, as well as those who are aware of an impending involuntary employment termination, must be transferred to positions where they can do minimal damage to </w:t>
      </w:r>
      <w:proofErr w:type="spellStart"/>
      <w:r w:rsidR="00662D56">
        <w:t>CompanyX</w:t>
      </w:r>
      <w:proofErr w:type="spellEnd"/>
      <w:r>
        <w:t xml:space="preserve"> assets. This policy also applies to those workers who are known to be disgruntled. At the worker's supervisor's option, these individuals may alternatively be placed on a paid leave of absence.</w:t>
      </w:r>
    </w:p>
    <w:p w:rsidR="00BB405B" w:rsidRDefault="00BB405B" w:rsidP="00BB405B">
      <w:pPr>
        <w:pStyle w:val="PolicyBodyText"/>
      </w:pPr>
      <w:r w:rsidRPr="00653F92">
        <w:rPr>
          <w:rStyle w:val="Strong"/>
        </w:rPr>
        <w:t>Immediate Terminations</w:t>
      </w:r>
      <w:r>
        <w:t xml:space="preserve"> - Unless the special permission of a Senior Vice President is obtained, all workers who have stolen </w:t>
      </w:r>
      <w:proofErr w:type="spellStart"/>
      <w:r w:rsidR="00662D56">
        <w:t>CompanyX</w:t>
      </w:r>
      <w:proofErr w:type="spellEnd"/>
      <w:r>
        <w:t xml:space="preserve"> property, acted with insubordination, or been convicted of a felony, must be terminated immediately. Such instant terminations must involve both escort of the individual off </w:t>
      </w:r>
      <w:proofErr w:type="spellStart"/>
      <w:r w:rsidR="00662D56">
        <w:t>CompanyX</w:t>
      </w:r>
      <w:proofErr w:type="spellEnd"/>
      <w:r>
        <w:t xml:space="preserve"> premises, as well as assistance in collecting and removing the individual's personal effects.</w:t>
      </w:r>
    </w:p>
    <w:p w:rsidR="00BB405B" w:rsidRDefault="00BB405B" w:rsidP="00BB405B">
      <w:pPr>
        <w:pStyle w:val="PolicyBodyText"/>
      </w:pPr>
      <w:r w:rsidRPr="00653F92">
        <w:rPr>
          <w:rStyle w:val="Strong"/>
        </w:rPr>
        <w:t>Worker Termination Responsibility</w:t>
      </w:r>
      <w:r>
        <w:t xml:space="preserve"> - In the event that an employee, consultant, or contractor is terminating his or her relationship with </w:t>
      </w:r>
      <w:proofErr w:type="spellStart"/>
      <w:r w:rsidR="00662D56">
        <w:t>CompanyX</w:t>
      </w:r>
      <w:proofErr w:type="spellEnd"/>
      <w:r>
        <w:t xml:space="preserve">, the worker’s immediate manager must ensure that all property in the custody of the worker is returned before the worker leaves </w:t>
      </w:r>
      <w:proofErr w:type="spellStart"/>
      <w:r w:rsidR="00662D56">
        <w:t>CompanyX</w:t>
      </w:r>
      <w:proofErr w:type="spellEnd"/>
      <w:r>
        <w:t>, notify all administrators handling the computer and communications accounts used by the worker as soon as the termination is known, and terminate all other work-related privileges of the individual at the time that the termination takes place.</w:t>
      </w:r>
    </w:p>
    <w:p w:rsidR="00BB405B" w:rsidRDefault="00BB405B" w:rsidP="00BB405B">
      <w:pPr>
        <w:pStyle w:val="PolicyBodyText"/>
      </w:pPr>
      <w:r w:rsidRPr="00653F92">
        <w:rPr>
          <w:rStyle w:val="Strong"/>
        </w:rPr>
        <w:t>Notification Of Worker Terminations</w:t>
      </w:r>
      <w:r>
        <w:t xml:space="preserve"> - All employees must be immediately notified as soon as a worker has been terminated. With each such notice, the Human Resources Department must regularly remind employees that departed workers are no longer permitted to: be on </w:t>
      </w:r>
      <w:proofErr w:type="spellStart"/>
      <w:r w:rsidR="00662D56">
        <w:t>CompanyX</w:t>
      </w:r>
      <w:proofErr w:type="spellEnd"/>
      <w:r>
        <w:t xml:space="preserve"> property (unless escorted by an employee), use </w:t>
      </w:r>
      <w:proofErr w:type="spellStart"/>
      <w:r w:rsidR="00662D56">
        <w:t>CompanyX</w:t>
      </w:r>
      <w:proofErr w:type="spellEnd"/>
      <w:r>
        <w:t xml:space="preserve"> resources, or in any other way be affiliated with </w:t>
      </w:r>
      <w:proofErr w:type="spellStart"/>
      <w:r w:rsidR="00662D56">
        <w:t>CompanyX</w:t>
      </w:r>
      <w:proofErr w:type="spellEnd"/>
      <w:r>
        <w:t>.</w:t>
      </w:r>
    </w:p>
    <w:p w:rsidR="00BB405B" w:rsidRDefault="00BB405B" w:rsidP="00BB405B">
      <w:pPr>
        <w:pStyle w:val="PolicyBodyText"/>
      </w:pPr>
      <w:r w:rsidRPr="00653F92">
        <w:rPr>
          <w:rStyle w:val="Strong"/>
        </w:rPr>
        <w:t>Notification To Third Parties Of Worker Terminations</w:t>
      </w:r>
      <w:r>
        <w:t xml:space="preserve"> - If a terminated worker had authority to direct contractors, consultants, or temporaries, or if this same worker had the authority to bind </w:t>
      </w:r>
      <w:proofErr w:type="spellStart"/>
      <w:r w:rsidR="00662D56">
        <w:t>CompanyX</w:t>
      </w:r>
      <w:proofErr w:type="spellEnd"/>
      <w:r>
        <w:t xml:space="preserve"> in a purchase or another transaction, then the Human Resources Department must promptly notify all relevant third parties that the terminated worker is no longer employed by </w:t>
      </w:r>
      <w:proofErr w:type="spellStart"/>
      <w:r w:rsidR="00662D56">
        <w:t>CompanyX</w:t>
      </w:r>
      <w:proofErr w:type="spellEnd"/>
      <w:r>
        <w:t>.</w:t>
      </w:r>
    </w:p>
    <w:p w:rsidR="00BB405B" w:rsidRDefault="00BB405B" w:rsidP="00BB405B">
      <w:pPr>
        <w:pStyle w:val="PolicyBodyText"/>
      </w:pPr>
      <w:r w:rsidRPr="004C065C">
        <w:rPr>
          <w:b/>
          <w:bCs/>
        </w:rPr>
        <w:t>Involuntary Terminations</w:t>
      </w:r>
      <w:r>
        <w:t xml:space="preserve"> - In all cases where information technology support workers are involuntarily terminated, they must be immediately relieved of all of their duties, required to return all </w:t>
      </w:r>
      <w:proofErr w:type="spellStart"/>
      <w:r w:rsidR="00662D56">
        <w:t>CompanyX</w:t>
      </w:r>
      <w:proofErr w:type="spellEnd"/>
      <w:r>
        <w:t xml:space="preserve"> equipment and information, and escorted while they pack their belongings and walk out of </w:t>
      </w:r>
      <w:proofErr w:type="spellStart"/>
      <w:r w:rsidR="00662D56">
        <w:t>CompanyX</w:t>
      </w:r>
      <w:proofErr w:type="spellEnd"/>
      <w:r>
        <w:t xml:space="preserve"> facilities.</w:t>
      </w:r>
    </w:p>
    <w:p w:rsidR="00BB405B" w:rsidRDefault="00BB405B" w:rsidP="00BB405B">
      <w:pPr>
        <w:pStyle w:val="PolicyBodyText"/>
      </w:pPr>
      <w:r w:rsidRPr="00653F92">
        <w:rPr>
          <w:rStyle w:val="Strong"/>
        </w:rPr>
        <w:lastRenderedPageBreak/>
        <w:t>Information Retention At Employment Termination</w:t>
      </w:r>
      <w:r>
        <w:t xml:space="preserve"> - Upon termination of employment, workers may not retain, give away or remove from </w:t>
      </w:r>
      <w:proofErr w:type="spellStart"/>
      <w:r w:rsidR="00662D56">
        <w:t>CompanyX</w:t>
      </w:r>
      <w:proofErr w:type="spellEnd"/>
      <w:r>
        <w:t xml:space="preserve"> premises any </w:t>
      </w:r>
      <w:proofErr w:type="spellStart"/>
      <w:r w:rsidR="00662D56">
        <w:t>CompanyX</w:t>
      </w:r>
      <w:proofErr w:type="spellEnd"/>
      <w:r>
        <w:t xml:space="preserve"> information other than personal copies of information disseminated to the public and personal copies of correspondence directly related to the terms and conditions of their employment. All other </w:t>
      </w:r>
      <w:proofErr w:type="spellStart"/>
      <w:r w:rsidR="00662D56">
        <w:t>CompanyX</w:t>
      </w:r>
      <w:proofErr w:type="spellEnd"/>
      <w:r>
        <w:t xml:space="preserve"> information in the custody of the departing worker must be provided to the worker's immediate supervisor at the time of departure.</w:t>
      </w:r>
    </w:p>
    <w:p w:rsidR="00BB405B" w:rsidRDefault="00BB405B" w:rsidP="00BB405B">
      <w:pPr>
        <w:pStyle w:val="PolicyBodyText"/>
      </w:pPr>
      <w:r w:rsidRPr="00653F92">
        <w:rPr>
          <w:rStyle w:val="Strong"/>
        </w:rPr>
        <w:t>Recovery Of Organization Property</w:t>
      </w:r>
      <w:r>
        <w:t xml:space="preserve"> - Employees, temporaries, contractors, and consultants must not receive their final paycheck unless they have returned all hardware, software, working materials, confidential information, and other property belonging to </w:t>
      </w:r>
      <w:proofErr w:type="spellStart"/>
      <w:r w:rsidR="00662D56">
        <w:t>CompanyX</w:t>
      </w:r>
      <w:proofErr w:type="spellEnd"/>
      <w:r>
        <w:t>.</w:t>
      </w:r>
    </w:p>
    <w:p w:rsidR="00A437C9" w:rsidRPr="00074BA0" w:rsidRDefault="00924538" w:rsidP="00074BA0">
      <w:pPr>
        <w:pStyle w:val="PolicyElementHeader"/>
        <w:rPr>
          <w:bCs/>
          <w:color w:val="00527A"/>
        </w:rPr>
      </w:pPr>
      <w:bookmarkStart w:id="18" w:name="_Toc385339830"/>
      <w:r>
        <w:rPr>
          <w:bCs/>
          <w:color w:val="00527A"/>
        </w:rPr>
        <w:t>Violations</w:t>
      </w:r>
      <w:bookmarkEnd w:id="4"/>
      <w:bookmarkEnd w:id="18"/>
    </w:p>
    <w:p w:rsidR="003C1B8C" w:rsidRPr="002A7256"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proofErr w:type="spellStart"/>
      <w:r w:rsidR="00662D56">
        <w:rPr>
          <w:rFonts w:eastAsia="MS Mincho"/>
        </w:rPr>
        <w:t>CompanyX</w:t>
      </w:r>
      <w:proofErr w:type="spellEnd"/>
      <w:r w:rsidRPr="002A7256">
        <w:rPr>
          <w:rFonts w:eastAsia="MS Mincho"/>
        </w:rPr>
        <w:t xml:space="preserve"> reserves the right to notify the appropriate law enforcement authorities of any unlawful activity and to cooperate in any investigation of such activity. </w:t>
      </w:r>
      <w:proofErr w:type="spellStart"/>
      <w:r w:rsidR="00662D56">
        <w:rPr>
          <w:rFonts w:eastAsia="MS Mincho"/>
        </w:rPr>
        <w:t>CompanyX</w:t>
      </w:r>
      <w:proofErr w:type="spellEnd"/>
      <w:r w:rsidRPr="002A7256">
        <w:rPr>
          <w:rFonts w:eastAsia="MS Mincho"/>
        </w:rPr>
        <w:t xml:space="preserve"> does not consider conduct in violation of this policy to be within an employee’s or partner’s course and scope of employment, or the direct consequence of the discharge of the employee’s or partner’s duties. Accordingly, to the extent permitted by law, </w:t>
      </w:r>
      <w:proofErr w:type="spellStart"/>
      <w:r w:rsidR="00662D56">
        <w:rPr>
          <w:rFonts w:eastAsia="MS Mincho"/>
        </w:rPr>
        <w:t>CompanyX</w:t>
      </w:r>
      <w:proofErr w:type="spellEnd"/>
      <w:r w:rsidRPr="002A7256">
        <w:rPr>
          <w:rFonts w:eastAsia="MS Mincho"/>
        </w:rPr>
        <w:t xml:space="preserve"> reserves the right not to defend or pay any damages awarded against employees or partners that result from violation of this policy.</w:t>
      </w:r>
    </w:p>
    <w:p w:rsidR="00A437C9" w:rsidRPr="003F09FA" w:rsidRDefault="00A437C9" w:rsidP="003F09FA">
      <w:pPr>
        <w:pStyle w:val="PolicyElementHeader"/>
        <w:rPr>
          <w:bCs/>
          <w:color w:val="00527A"/>
        </w:rPr>
      </w:pPr>
      <w:bookmarkStart w:id="19" w:name="_Toc241985855"/>
      <w:bookmarkStart w:id="20" w:name="_Toc385339831"/>
      <w:r w:rsidRPr="003F09FA">
        <w:rPr>
          <w:bCs/>
          <w:color w:val="00527A"/>
        </w:rPr>
        <w:t>Definitions</w:t>
      </w:r>
      <w:bookmarkEnd w:id="19"/>
      <w:bookmarkEnd w:id="20"/>
    </w:p>
    <w:p w:rsidR="007129D9" w:rsidRDefault="007129D9" w:rsidP="007129D9">
      <w:pPr>
        <w:spacing w:after="120"/>
        <w:jc w:val="both"/>
      </w:pPr>
      <w:r w:rsidRPr="00CA3C71">
        <w:rPr>
          <w:b/>
          <w:bCs/>
        </w:rPr>
        <w:t>Partner</w:t>
      </w:r>
      <w:r w:rsidRPr="00CA3C71">
        <w:rPr>
          <w:b/>
        </w:rPr>
        <w:t xml:space="preserve"> – </w:t>
      </w:r>
      <w:r w:rsidRPr="0034512D">
        <w:t xml:space="preserve">Any non-employee of </w:t>
      </w:r>
      <w:proofErr w:type="spellStart"/>
      <w:r w:rsidR="00662D56">
        <w:t>CompanyX</w:t>
      </w:r>
      <w:proofErr w:type="spellEnd"/>
      <w:r w:rsidRPr="0034512D">
        <w:t xml:space="preserve"> who is contractually bound to provide some form of service to </w:t>
      </w:r>
      <w:proofErr w:type="spellStart"/>
      <w:r w:rsidR="00662D56">
        <w:t>CompanyX</w:t>
      </w:r>
      <w:proofErr w:type="spellEnd"/>
      <w:r w:rsidRPr="0034512D">
        <w:t>.</w:t>
      </w:r>
    </w:p>
    <w:p w:rsidR="00BA7551" w:rsidRDefault="00BA7551" w:rsidP="00BA7551">
      <w:pPr>
        <w:spacing w:after="120"/>
        <w:jc w:val="both"/>
      </w:pPr>
      <w:r w:rsidRPr="00DC440B">
        <w:rPr>
          <w:b/>
        </w:rPr>
        <w:t>Password</w:t>
      </w:r>
      <w:r>
        <w:t xml:space="preserve"> </w:t>
      </w:r>
      <w:r w:rsidRPr="00CA3C71">
        <w:rPr>
          <w:b/>
        </w:rPr>
        <w:t xml:space="preserve">– </w:t>
      </w:r>
      <w:r w:rsidRPr="00DC440B">
        <w:t xml:space="preserve">An arbitrary string of characters chosen by a user </w:t>
      </w:r>
      <w:r>
        <w:t xml:space="preserve">that is </w:t>
      </w:r>
      <w:r w:rsidRPr="00DC440B">
        <w:t>used to authenticate the user when he attempts to log on, in order to prevent unauthorized access to his account.</w:t>
      </w:r>
    </w:p>
    <w:p w:rsidR="00222770" w:rsidRPr="00CA3C71" w:rsidRDefault="00222770" w:rsidP="00222770">
      <w:pPr>
        <w:spacing w:after="120"/>
        <w:jc w:val="both"/>
        <w:rPr>
          <w:b/>
        </w:rPr>
      </w:pPr>
      <w:r>
        <w:rPr>
          <w:b/>
        </w:rPr>
        <w:t xml:space="preserve">System Administrator </w:t>
      </w:r>
      <w:r w:rsidRPr="00CA3C71">
        <w:rPr>
          <w:b/>
        </w:rPr>
        <w:t xml:space="preserve">– </w:t>
      </w:r>
      <w:r>
        <w:t xml:space="preserve">An employee or partner </w:t>
      </w:r>
      <w:r w:rsidRPr="00237AD4">
        <w:t xml:space="preserve">who is responsible for managing a </w:t>
      </w:r>
      <w:proofErr w:type="spellStart"/>
      <w:r w:rsidR="00662D56">
        <w:t>CompanyX</w:t>
      </w:r>
      <w:proofErr w:type="spellEnd"/>
      <w:r w:rsidRPr="00237AD4">
        <w:t xml:space="preserve"> multi-user computing environment</w:t>
      </w:r>
      <w:r>
        <w:t xml:space="preserve">. </w:t>
      </w:r>
      <w:r w:rsidRPr="00237AD4">
        <w:t>The responsibilities of the system administrator typically include installing and configuring system hardware and software, establishing and managing user accounts, upgrading software and backup and recovery tasks.</w:t>
      </w:r>
    </w:p>
    <w:p w:rsidR="00F51BD1" w:rsidRDefault="007129D9" w:rsidP="00C64EAF">
      <w:pPr>
        <w:spacing w:after="120"/>
        <w:jc w:val="both"/>
      </w:pPr>
      <w:r w:rsidRPr="00EC4A77">
        <w:rPr>
          <w:b/>
          <w:bCs/>
        </w:rPr>
        <w:t>User</w:t>
      </w:r>
      <w:r w:rsidRPr="00EC4A77">
        <w:rPr>
          <w:b/>
        </w:rPr>
        <w:t xml:space="preserve"> </w:t>
      </w:r>
      <w:r w:rsidR="003962EA">
        <w:rPr>
          <w:b/>
        </w:rPr>
        <w:t>–</w:t>
      </w:r>
      <w:r w:rsidRPr="00EC4A77">
        <w:rPr>
          <w:b/>
        </w:rPr>
        <w:t xml:space="preserve"> </w:t>
      </w:r>
      <w:r w:rsidRPr="00EC4A77">
        <w:t>Any</w:t>
      </w:r>
      <w:r w:rsidR="003962EA">
        <w:t xml:space="preserve"> </w:t>
      </w:r>
      <w:proofErr w:type="spellStart"/>
      <w:r w:rsidR="00662D56">
        <w:t>CompanyX</w:t>
      </w:r>
      <w:proofErr w:type="spellEnd"/>
      <w:r w:rsidRPr="00EC4A77">
        <w:t xml:space="preserve"> employee or partner who has been authorized to access any </w:t>
      </w:r>
      <w:proofErr w:type="spellStart"/>
      <w:r w:rsidR="00662D56">
        <w:t>CompanyX</w:t>
      </w:r>
      <w:proofErr w:type="spellEnd"/>
      <w:r w:rsidRPr="00EC4A77">
        <w:t xml:space="preserve"> electronic information resource.</w:t>
      </w:r>
    </w:p>
    <w:p w:rsidR="00D13DA3" w:rsidRDefault="00D13DA3" w:rsidP="00D13DA3">
      <w:pPr>
        <w:pStyle w:val="PolicyElementHeader"/>
        <w:rPr>
          <w:color w:val="00527A"/>
          <w:szCs w:val="28"/>
        </w:rPr>
      </w:pPr>
      <w:bookmarkStart w:id="21" w:name="_Toc178155364"/>
      <w:bookmarkStart w:id="22" w:name="_Toc241985856"/>
      <w:bookmarkStart w:id="23" w:name="_Toc385339832"/>
      <w:r>
        <w:rPr>
          <w:color w:val="00527A"/>
          <w:szCs w:val="28"/>
        </w:rPr>
        <w:t>References</w:t>
      </w:r>
      <w:bookmarkEnd w:id="21"/>
      <w:bookmarkEnd w:id="22"/>
      <w:bookmarkEnd w:id="23"/>
    </w:p>
    <w:p w:rsidR="0083580C" w:rsidRDefault="0083580C" w:rsidP="0083580C">
      <w:bookmarkStart w:id="24" w:name="_Toc178155365"/>
      <w:bookmarkStart w:id="25" w:name="_Toc241985857"/>
      <w:r w:rsidRPr="007D37A8">
        <w:rPr>
          <w:bCs/>
        </w:rPr>
        <w:t>ISO/IEC 27002</w:t>
      </w:r>
      <w:r w:rsidR="00BB405B">
        <w:t>:</w:t>
      </w:r>
      <w:r w:rsidRPr="007D37A8">
        <w:rPr>
          <w:iCs/>
        </w:rPr>
        <w:t xml:space="preserve"> </w:t>
      </w:r>
      <w:r w:rsidR="00FF4B3B">
        <w:t>7</w:t>
      </w:r>
      <w:r w:rsidRPr="00B63C2D">
        <w:t>.</w:t>
      </w:r>
      <w:r w:rsidR="00BB405B">
        <w:t xml:space="preserve"> Human Resources Security</w:t>
      </w:r>
    </w:p>
    <w:p w:rsidR="00BB405B" w:rsidRDefault="00BB405B" w:rsidP="0083580C">
      <w:r w:rsidRPr="00BB405B">
        <w:t>NIST: Personnel Security (PS)</w:t>
      </w:r>
    </w:p>
    <w:p w:rsidR="00D13DA3" w:rsidRPr="00662D56" w:rsidRDefault="00FF4B3B" w:rsidP="00662D56">
      <w:r w:rsidRPr="00FF4B3B">
        <w:t>PCI</w:t>
      </w:r>
      <w:r>
        <w:t>-DSS</w:t>
      </w:r>
      <w:r w:rsidRPr="00FF4B3B">
        <w:t xml:space="preserve">: </w:t>
      </w:r>
      <w:r w:rsidR="00BB405B" w:rsidRPr="00BB405B">
        <w:t>PCI: 12.6.1 Employee Training</w:t>
      </w:r>
      <w:r w:rsidR="0017066F">
        <w:br/>
        <w:t xml:space="preserve">US-CSF: </w:t>
      </w:r>
      <w:r w:rsidR="0017066F" w:rsidRPr="0044228E">
        <w:t>PR.AT-1: All users are informed and trained</w:t>
      </w:r>
      <w:bookmarkEnd w:id="24"/>
      <w:bookmarkEnd w:id="25"/>
    </w:p>
    <w:p w:rsidR="00D13DA3" w:rsidRPr="00EF734B" w:rsidRDefault="00D13DA3" w:rsidP="00EF734B">
      <w:pPr>
        <w:pStyle w:val="PolicyElementHeader"/>
        <w:rPr>
          <w:bCs/>
          <w:color w:val="00527A"/>
        </w:rPr>
      </w:pPr>
      <w:bookmarkStart w:id="26" w:name="_Toc241985858"/>
      <w:bookmarkStart w:id="27" w:name="_Toc385339834"/>
      <w:r w:rsidRPr="00EF734B">
        <w:rPr>
          <w:bCs/>
          <w:color w:val="00527A"/>
        </w:rPr>
        <w:lastRenderedPageBreak/>
        <w:t>Approval and Ownership</w:t>
      </w:r>
      <w:bookmarkEnd w:id="26"/>
      <w:bookmarkEnd w:id="27"/>
    </w:p>
    <w:tbl>
      <w:tblPr>
        <w:tblpPr w:leftFromText="180" w:rightFromText="180" w:vertAnchor="text" w:horzAnchor="margin" w:tblpXSpec="center" w:tblpY="1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7"/>
        <w:gridCol w:w="2517"/>
        <w:gridCol w:w="1978"/>
        <w:gridCol w:w="2338"/>
      </w:tblGrid>
      <w:tr w:rsidR="009F7CB8" w:rsidTr="009F7CB8">
        <w:trPr>
          <w:trHeight w:val="346"/>
        </w:trPr>
        <w:tc>
          <w:tcPr>
            <w:tcW w:w="2520" w:type="dxa"/>
            <w:shd w:val="pct10" w:color="auto" w:fill="auto"/>
            <w:tcMar>
              <w:top w:w="29" w:type="dxa"/>
              <w:left w:w="115" w:type="dxa"/>
              <w:bottom w:w="29" w:type="dxa"/>
              <w:right w:w="115" w:type="dxa"/>
            </w:tcMar>
            <w:vAlign w:val="center"/>
          </w:tcPr>
          <w:p w:rsidR="009F7CB8" w:rsidRDefault="009F7CB8" w:rsidP="009F7CB8">
            <w:pPr>
              <w:pStyle w:val="FooterTableHeader"/>
            </w:pPr>
            <w:r>
              <w:t>Owner</w:t>
            </w:r>
          </w:p>
        </w:tc>
        <w:tc>
          <w:tcPr>
            <w:tcW w:w="2520" w:type="dxa"/>
            <w:shd w:val="pct10" w:color="auto" w:fill="auto"/>
            <w:tcMar>
              <w:top w:w="29" w:type="dxa"/>
              <w:left w:w="115" w:type="dxa"/>
              <w:bottom w:w="29" w:type="dxa"/>
              <w:right w:w="115" w:type="dxa"/>
            </w:tcMar>
            <w:vAlign w:val="center"/>
          </w:tcPr>
          <w:p w:rsidR="009F7CB8" w:rsidRDefault="009F7CB8" w:rsidP="009F7CB8">
            <w:pPr>
              <w:pStyle w:val="FooterTableHeader"/>
            </w:pPr>
            <w:r>
              <w:t>Title</w:t>
            </w:r>
          </w:p>
        </w:tc>
        <w:tc>
          <w:tcPr>
            <w:tcW w:w="1980" w:type="dxa"/>
            <w:shd w:val="pct10" w:color="auto" w:fill="auto"/>
            <w:tcMar>
              <w:top w:w="29" w:type="dxa"/>
              <w:left w:w="115" w:type="dxa"/>
              <w:bottom w:w="29" w:type="dxa"/>
              <w:right w:w="115" w:type="dxa"/>
            </w:tcMar>
            <w:vAlign w:val="center"/>
          </w:tcPr>
          <w:p w:rsidR="009F7CB8" w:rsidRDefault="009F7CB8" w:rsidP="009F7CB8">
            <w:pPr>
              <w:pStyle w:val="FooterTableHeader"/>
            </w:pPr>
            <w:r>
              <w:t>Date</w:t>
            </w:r>
          </w:p>
        </w:tc>
        <w:tc>
          <w:tcPr>
            <w:tcW w:w="2340" w:type="dxa"/>
            <w:shd w:val="pct10" w:color="auto" w:fill="auto"/>
            <w:tcMar>
              <w:top w:w="29" w:type="dxa"/>
              <w:left w:w="115" w:type="dxa"/>
              <w:bottom w:w="29" w:type="dxa"/>
              <w:right w:w="115" w:type="dxa"/>
            </w:tcMar>
            <w:vAlign w:val="center"/>
          </w:tcPr>
          <w:p w:rsidR="009F7CB8" w:rsidRDefault="009F7CB8" w:rsidP="009F7CB8">
            <w:pPr>
              <w:pStyle w:val="FooterTableHeader"/>
            </w:pPr>
            <w:r>
              <w:t>Signature</w:t>
            </w:r>
          </w:p>
        </w:tc>
      </w:tr>
      <w:tr w:rsidR="009F7CB8" w:rsidTr="009F7CB8">
        <w:trPr>
          <w:trHeight w:val="346"/>
        </w:trPr>
        <w:tc>
          <w:tcPr>
            <w:tcW w:w="2520" w:type="dxa"/>
            <w:tcBorders>
              <w:bottom w:val="single" w:sz="4" w:space="0" w:color="auto"/>
            </w:tcBorders>
            <w:tcMar>
              <w:top w:w="29" w:type="dxa"/>
              <w:left w:w="115" w:type="dxa"/>
              <w:bottom w:w="29" w:type="dxa"/>
              <w:right w:w="115" w:type="dxa"/>
            </w:tcMar>
            <w:vAlign w:val="center"/>
          </w:tcPr>
          <w:p w:rsidR="009F7CB8" w:rsidRPr="0043775C" w:rsidRDefault="0076032A" w:rsidP="009F7CB8">
            <w:pPr>
              <w:pStyle w:val="PolicyHeaderFill"/>
            </w:pPr>
            <w:r w:rsidRPr="0076032A">
              <w:rPr>
                <w:highlight w:val="yellow"/>
              </w:rPr>
              <w:t>Author</w:t>
            </w:r>
          </w:p>
        </w:tc>
        <w:tc>
          <w:tcPr>
            <w:tcW w:w="2520" w:type="dxa"/>
            <w:tcBorders>
              <w:bottom w:val="single" w:sz="4" w:space="0" w:color="auto"/>
            </w:tcBorders>
            <w:tcMar>
              <w:top w:w="29" w:type="dxa"/>
              <w:left w:w="115" w:type="dxa"/>
              <w:bottom w:w="29" w:type="dxa"/>
              <w:right w:w="115" w:type="dxa"/>
            </w:tcMar>
            <w:vAlign w:val="center"/>
          </w:tcPr>
          <w:p w:rsidR="009F7CB8" w:rsidRPr="0043775C" w:rsidRDefault="009F7CB8" w:rsidP="009F7CB8">
            <w:pPr>
              <w:pStyle w:val="PolicyHeaderFill"/>
            </w:pPr>
            <w:r w:rsidRPr="0076032A">
              <w:rPr>
                <w:highlight w:val="yellow"/>
              </w:rPr>
              <w:t>Title</w:t>
            </w:r>
          </w:p>
        </w:tc>
        <w:tc>
          <w:tcPr>
            <w:tcW w:w="1980" w:type="dxa"/>
            <w:tcBorders>
              <w:bottom w:val="single" w:sz="4" w:space="0" w:color="auto"/>
            </w:tcBorders>
            <w:tcMar>
              <w:top w:w="29" w:type="dxa"/>
              <w:left w:w="115" w:type="dxa"/>
              <w:bottom w:w="29" w:type="dxa"/>
              <w:right w:w="115" w:type="dxa"/>
            </w:tcMar>
            <w:vAlign w:val="center"/>
          </w:tcPr>
          <w:p w:rsidR="009F7CB8" w:rsidRPr="0043775C" w:rsidRDefault="009F7CB8" w:rsidP="009F7CB8">
            <w:pPr>
              <w:pStyle w:val="PolicyHeaderFill"/>
            </w:pPr>
          </w:p>
        </w:tc>
        <w:tc>
          <w:tcPr>
            <w:tcW w:w="2340" w:type="dxa"/>
            <w:tcBorders>
              <w:bottom w:val="single" w:sz="4" w:space="0" w:color="auto"/>
            </w:tcBorders>
            <w:tcMar>
              <w:top w:w="29" w:type="dxa"/>
              <w:left w:w="115" w:type="dxa"/>
              <w:bottom w:w="29" w:type="dxa"/>
              <w:right w:w="115" w:type="dxa"/>
            </w:tcMar>
            <w:vAlign w:val="center"/>
          </w:tcPr>
          <w:p w:rsidR="009F7CB8" w:rsidRDefault="009F7CB8" w:rsidP="009F7CB8">
            <w:pPr>
              <w:jc w:val="center"/>
            </w:pPr>
          </w:p>
        </w:tc>
      </w:tr>
      <w:tr w:rsidR="009F7CB8" w:rsidTr="009F7CB8">
        <w:trPr>
          <w:trHeight w:val="346"/>
        </w:trPr>
        <w:tc>
          <w:tcPr>
            <w:tcW w:w="2520" w:type="dxa"/>
            <w:shd w:val="pct10" w:color="auto" w:fill="auto"/>
            <w:tcMar>
              <w:top w:w="29" w:type="dxa"/>
              <w:left w:w="115" w:type="dxa"/>
              <w:bottom w:w="29" w:type="dxa"/>
              <w:right w:w="115" w:type="dxa"/>
            </w:tcMar>
            <w:vAlign w:val="center"/>
          </w:tcPr>
          <w:p w:rsidR="009F7CB8" w:rsidRDefault="009F7CB8" w:rsidP="009F7CB8">
            <w:pPr>
              <w:pStyle w:val="FooterTableHeader"/>
            </w:pPr>
            <w:r>
              <w:t>Approved By</w:t>
            </w:r>
          </w:p>
        </w:tc>
        <w:tc>
          <w:tcPr>
            <w:tcW w:w="2520" w:type="dxa"/>
            <w:shd w:val="pct10" w:color="auto" w:fill="auto"/>
            <w:tcMar>
              <w:top w:w="29" w:type="dxa"/>
              <w:left w:w="115" w:type="dxa"/>
              <w:bottom w:w="29" w:type="dxa"/>
              <w:right w:w="115" w:type="dxa"/>
            </w:tcMar>
            <w:vAlign w:val="center"/>
          </w:tcPr>
          <w:p w:rsidR="009F7CB8" w:rsidRDefault="009F7CB8" w:rsidP="009F7CB8">
            <w:pPr>
              <w:pStyle w:val="FooterTableHeader"/>
            </w:pPr>
            <w:r>
              <w:t>Title</w:t>
            </w:r>
          </w:p>
        </w:tc>
        <w:tc>
          <w:tcPr>
            <w:tcW w:w="1980" w:type="dxa"/>
            <w:shd w:val="pct10" w:color="auto" w:fill="auto"/>
            <w:tcMar>
              <w:top w:w="29" w:type="dxa"/>
              <w:left w:w="115" w:type="dxa"/>
              <w:bottom w:w="29" w:type="dxa"/>
              <w:right w:w="115" w:type="dxa"/>
            </w:tcMar>
            <w:vAlign w:val="center"/>
          </w:tcPr>
          <w:p w:rsidR="009F7CB8" w:rsidRDefault="009F7CB8" w:rsidP="009F7CB8">
            <w:pPr>
              <w:pStyle w:val="FooterTableHeader"/>
            </w:pPr>
            <w:r>
              <w:t>Date</w:t>
            </w:r>
          </w:p>
        </w:tc>
        <w:tc>
          <w:tcPr>
            <w:tcW w:w="2340" w:type="dxa"/>
            <w:shd w:val="pct10" w:color="auto" w:fill="auto"/>
            <w:tcMar>
              <w:top w:w="29" w:type="dxa"/>
              <w:left w:w="115" w:type="dxa"/>
              <w:bottom w:w="29" w:type="dxa"/>
              <w:right w:w="115" w:type="dxa"/>
            </w:tcMar>
            <w:vAlign w:val="center"/>
          </w:tcPr>
          <w:p w:rsidR="009F7CB8" w:rsidRDefault="009F7CB8" w:rsidP="009F7CB8">
            <w:pPr>
              <w:pStyle w:val="FooterTableHeader"/>
            </w:pPr>
            <w:r>
              <w:t>Signature</w:t>
            </w:r>
          </w:p>
        </w:tc>
      </w:tr>
      <w:tr w:rsidR="009F7CB8" w:rsidTr="009F7CB8">
        <w:trPr>
          <w:trHeight w:val="346"/>
        </w:trPr>
        <w:tc>
          <w:tcPr>
            <w:tcW w:w="2520" w:type="dxa"/>
            <w:tcMar>
              <w:top w:w="29" w:type="dxa"/>
              <w:left w:w="115" w:type="dxa"/>
              <w:bottom w:w="29" w:type="dxa"/>
              <w:right w:w="115" w:type="dxa"/>
            </w:tcMar>
            <w:vAlign w:val="center"/>
          </w:tcPr>
          <w:p w:rsidR="009F7CB8" w:rsidRPr="0043775C" w:rsidRDefault="009F7CB8" w:rsidP="009F7CB8">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rsidR="009F7CB8" w:rsidRPr="0043775C" w:rsidRDefault="009F7CB8" w:rsidP="009F7CB8">
            <w:pPr>
              <w:pStyle w:val="PolicyHeaderFill"/>
            </w:pPr>
            <w:r w:rsidRPr="0076032A">
              <w:rPr>
                <w:highlight w:val="yellow"/>
              </w:rPr>
              <w:t>Title</w:t>
            </w:r>
          </w:p>
        </w:tc>
        <w:tc>
          <w:tcPr>
            <w:tcW w:w="1980" w:type="dxa"/>
            <w:tcMar>
              <w:top w:w="29" w:type="dxa"/>
              <w:left w:w="115" w:type="dxa"/>
              <w:bottom w:w="29" w:type="dxa"/>
              <w:right w:w="115" w:type="dxa"/>
            </w:tcMar>
            <w:vAlign w:val="center"/>
          </w:tcPr>
          <w:p w:rsidR="009F7CB8" w:rsidRPr="0043775C" w:rsidRDefault="009F7CB8" w:rsidP="009F7CB8">
            <w:pPr>
              <w:pStyle w:val="PolicyHeaderFill"/>
            </w:pPr>
          </w:p>
        </w:tc>
        <w:tc>
          <w:tcPr>
            <w:tcW w:w="2340" w:type="dxa"/>
            <w:tcMar>
              <w:top w:w="29" w:type="dxa"/>
              <w:left w:w="115" w:type="dxa"/>
              <w:bottom w:w="29" w:type="dxa"/>
              <w:right w:w="115" w:type="dxa"/>
            </w:tcMar>
            <w:vAlign w:val="center"/>
          </w:tcPr>
          <w:p w:rsidR="009F7CB8" w:rsidRDefault="009F7CB8" w:rsidP="009F7CB8">
            <w:pPr>
              <w:jc w:val="center"/>
            </w:pPr>
          </w:p>
        </w:tc>
      </w:tr>
    </w:tbl>
    <w:p w:rsidR="002B50C6" w:rsidRPr="00EF734B" w:rsidRDefault="002B50C6" w:rsidP="00EF734B">
      <w:pPr>
        <w:pStyle w:val="PolicyElementHeader"/>
        <w:rPr>
          <w:bCs/>
          <w:color w:val="00527A"/>
        </w:rPr>
      </w:pPr>
      <w:bookmarkStart w:id="28" w:name="_Toc241985859"/>
      <w:bookmarkStart w:id="29" w:name="_Toc385339835"/>
      <w:r w:rsidRPr="00EF734B">
        <w:rPr>
          <w:bCs/>
          <w:color w:val="00527A"/>
        </w:rPr>
        <w:t>Revision History</w:t>
      </w:r>
      <w:bookmarkEnd w:id="28"/>
      <w:bookmarkEnd w:id="29"/>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rsidTr="00EB6491">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DA209E" w:rsidRPr="0076502A" w:rsidTr="00EB6491">
        <w:trPr>
          <w:trHeight w:val="288"/>
        </w:trPr>
        <w:tc>
          <w:tcPr>
            <w:tcW w:w="624" w:type="pct"/>
            <w:vAlign w:val="center"/>
          </w:tcPr>
          <w:p w:rsidR="00DA209E" w:rsidRPr="00DA209E" w:rsidRDefault="00DA209E" w:rsidP="009246D3">
            <w:pPr>
              <w:pStyle w:val="PolicyHeaderFill"/>
            </w:pPr>
            <w:r w:rsidRPr="00DA209E">
              <w:t>1.0</w:t>
            </w:r>
          </w:p>
        </w:tc>
        <w:tc>
          <w:tcPr>
            <w:tcW w:w="1540" w:type="pct"/>
            <w:vAlign w:val="center"/>
          </w:tcPr>
          <w:p w:rsidR="00DA209E" w:rsidRPr="00DA209E" w:rsidRDefault="00DA209E" w:rsidP="009246D3">
            <w:pPr>
              <w:pStyle w:val="PolicyHeaderFill"/>
            </w:pPr>
            <w:r w:rsidRPr="00DA209E">
              <w:t>Initial Version</w:t>
            </w:r>
          </w:p>
        </w:tc>
        <w:tc>
          <w:tcPr>
            <w:tcW w:w="817" w:type="pct"/>
            <w:tcMar>
              <w:top w:w="29" w:type="dxa"/>
              <w:left w:w="115" w:type="dxa"/>
              <w:bottom w:w="29" w:type="dxa"/>
              <w:right w:w="115" w:type="dxa"/>
            </w:tcMar>
            <w:vAlign w:val="center"/>
          </w:tcPr>
          <w:p w:rsidR="00DA209E" w:rsidRPr="00DA209E" w:rsidRDefault="0076032A" w:rsidP="009246D3">
            <w:pPr>
              <w:pStyle w:val="PolicyHeaderFill"/>
            </w:pPr>
            <w:r>
              <w:t>10</w:t>
            </w:r>
            <w:r w:rsidR="006B30E2">
              <w:t>/0</w:t>
            </w:r>
            <w:r>
              <w:t>5</w:t>
            </w:r>
            <w:r w:rsidR="006B30E2">
              <w:t>/201</w:t>
            </w:r>
            <w:r>
              <w:t>9</w:t>
            </w:r>
          </w:p>
        </w:tc>
        <w:tc>
          <w:tcPr>
            <w:tcW w:w="817" w:type="pct"/>
            <w:tcMar>
              <w:top w:w="29" w:type="dxa"/>
              <w:left w:w="115" w:type="dxa"/>
              <w:bottom w:w="29" w:type="dxa"/>
              <w:right w:w="115" w:type="dxa"/>
            </w:tcMar>
            <w:vAlign w:val="center"/>
          </w:tcPr>
          <w:p w:rsidR="00DA209E" w:rsidRPr="00DA209E" w:rsidRDefault="00DA209E" w:rsidP="009246D3">
            <w:pPr>
              <w:pStyle w:val="PolicyHeaderFill"/>
            </w:pPr>
          </w:p>
        </w:tc>
        <w:tc>
          <w:tcPr>
            <w:tcW w:w="1202" w:type="pct"/>
            <w:tcMar>
              <w:top w:w="29" w:type="dxa"/>
              <w:left w:w="115" w:type="dxa"/>
              <w:bottom w:w="29" w:type="dxa"/>
              <w:right w:w="115" w:type="dxa"/>
            </w:tcMar>
            <w:vAlign w:val="center"/>
          </w:tcPr>
          <w:p w:rsidR="00DA209E" w:rsidRPr="0076502A" w:rsidRDefault="00DA209E" w:rsidP="00B53867">
            <w:pPr>
              <w:pStyle w:val="PolicyHeaderFill"/>
            </w:pPr>
          </w:p>
        </w:tc>
      </w:tr>
      <w:tr w:rsidR="00DA209E" w:rsidRPr="0076502A" w:rsidTr="00EB6491">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Pr="00EB6491" w:rsidRDefault="002B50C6" w:rsidP="00EB6491">
      <w:pPr>
        <w:tabs>
          <w:tab w:val="left" w:pos="3750"/>
        </w:tabs>
      </w:pPr>
    </w:p>
    <w:sectPr w:rsidR="002B50C6" w:rsidRPr="00EB6491" w:rsidSect="00D13DA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E7231" w:rsidRDefault="00DE7231">
      <w:r>
        <w:separator/>
      </w:r>
    </w:p>
    <w:p w:rsidR="00DE7231" w:rsidRDefault="00DE7231"/>
  </w:endnote>
  <w:endnote w:type="continuationSeparator" w:id="0">
    <w:p w:rsidR="00DE7231" w:rsidRDefault="00DE7231">
      <w:r>
        <w:continuationSeparator/>
      </w:r>
    </w:p>
    <w:p w:rsidR="00DE7231" w:rsidRDefault="00DE72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2D56" w:rsidRDefault="00662D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1B8C" w:rsidRPr="00575A04" w:rsidRDefault="00662D56" w:rsidP="00575A04">
    <w:pPr>
      <w:pStyle w:val="Footer"/>
    </w:pPr>
    <w:proofErr w:type="spellStart"/>
    <w:r>
      <w:t>CompanyX</w:t>
    </w:r>
    <w:proofErr w:type="spellEnd"/>
    <w:r w:rsidR="0095081C">
      <w:t xml:space="preserve"> Security Policy</w:t>
    </w:r>
    <w:r w:rsidR="003C1B8C" w:rsidRPr="00575A04">
      <w:tab/>
    </w:r>
    <w:r w:rsidR="0076032A">
      <w:t>Classification: INTERNAL</w:t>
    </w:r>
    <w:r w:rsidR="003C1B8C" w:rsidRPr="00575A04">
      <w:tab/>
    </w:r>
    <w:r w:rsidR="003C1B8C">
      <w:t xml:space="preserve">  </w:t>
    </w:r>
    <w:r w:rsidR="003C1B8C" w:rsidRPr="00575A04">
      <w:t xml:space="preserve">Page </w:t>
    </w:r>
    <w:r w:rsidR="0010035A">
      <w:fldChar w:fldCharType="begin"/>
    </w:r>
    <w:r w:rsidR="0010035A">
      <w:instrText xml:space="preserve"> PAGE </w:instrText>
    </w:r>
    <w:r w:rsidR="0010035A">
      <w:fldChar w:fldCharType="separate"/>
    </w:r>
    <w:r w:rsidR="006B30E2">
      <w:rPr>
        <w:noProof/>
      </w:rPr>
      <w:t>6</w:t>
    </w:r>
    <w:r w:rsidR="0010035A">
      <w:rPr>
        <w:noProof/>
      </w:rPr>
      <w:fldChar w:fldCharType="end"/>
    </w:r>
  </w:p>
  <w:p w:rsidR="003C1B8C" w:rsidRDefault="003C1B8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2D56" w:rsidRDefault="00662D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E7231" w:rsidRDefault="00DE7231">
      <w:r>
        <w:separator/>
      </w:r>
    </w:p>
    <w:p w:rsidR="00DE7231" w:rsidRDefault="00DE7231"/>
  </w:footnote>
  <w:footnote w:type="continuationSeparator" w:id="0">
    <w:p w:rsidR="00DE7231" w:rsidRDefault="00DE7231">
      <w:r>
        <w:continuationSeparator/>
      </w:r>
    </w:p>
    <w:p w:rsidR="00DE7231" w:rsidRDefault="00DE72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2D56" w:rsidRDefault="00662D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CellMar>
        <w:top w:w="58" w:type="dxa"/>
        <w:left w:w="115" w:type="dxa"/>
        <w:bottom w:w="14" w:type="dxa"/>
        <w:right w:w="115" w:type="dxa"/>
      </w:tblCellMar>
      <w:tblLook w:val="0600" w:firstRow="0" w:lastRow="0" w:firstColumn="0" w:lastColumn="0" w:noHBand="1" w:noVBand="1"/>
    </w:tblPr>
    <w:tblGrid>
      <w:gridCol w:w="6360"/>
      <w:gridCol w:w="1398"/>
      <w:gridCol w:w="1592"/>
    </w:tblGrid>
    <w:tr w:rsidR="0076032A" w:rsidRPr="00ED75F8" w:rsidTr="00ED7DC0">
      <w:trPr>
        <w:trHeight w:val="576"/>
        <w:jc w:val="center"/>
      </w:trPr>
      <w:tc>
        <w:tcPr>
          <w:tcW w:w="7375" w:type="dxa"/>
          <w:vAlign w:val="center"/>
        </w:tcPr>
        <w:p w:rsidR="0076032A" w:rsidRPr="0076032A" w:rsidRDefault="00662D56" w:rsidP="0076032A">
          <w:pPr>
            <w:jc w:val="center"/>
            <w:rPr>
              <w:rFonts w:ascii="Calibri" w:hAnsi="Calibri"/>
              <w:szCs w:val="22"/>
            </w:rPr>
          </w:pPr>
          <w:r>
            <w:rPr>
              <w:rFonts w:ascii="Calibri" w:hAnsi="Calibri"/>
              <w:szCs w:val="22"/>
            </w:rPr>
            <w:t>(Company Logo or Name)</w:t>
          </w:r>
        </w:p>
      </w:tc>
      <w:tc>
        <w:tcPr>
          <w:tcW w:w="1440" w:type="dxa"/>
          <w:vAlign w:val="center"/>
        </w:tcPr>
        <w:p w:rsidR="0076032A" w:rsidRPr="0076032A" w:rsidRDefault="0076032A" w:rsidP="0076032A">
          <w:pPr>
            <w:jc w:val="center"/>
            <w:rPr>
              <w:rFonts w:ascii="Calibri" w:hAnsi="Calibri"/>
              <w:szCs w:val="22"/>
            </w:rPr>
          </w:pPr>
          <w:r w:rsidRPr="0076032A">
            <w:rPr>
              <w:rFonts w:ascii="Calibri" w:hAnsi="Calibri"/>
              <w:b/>
              <w:szCs w:val="22"/>
            </w:rPr>
            <w:t>Document #</w:t>
          </w:r>
        </w:p>
      </w:tc>
      <w:tc>
        <w:tcPr>
          <w:tcW w:w="1795" w:type="dxa"/>
          <w:vAlign w:val="center"/>
        </w:tcPr>
        <w:p w:rsidR="0076032A" w:rsidRPr="0076032A" w:rsidRDefault="0076032A" w:rsidP="0076032A">
          <w:pPr>
            <w:jc w:val="center"/>
            <w:rPr>
              <w:rStyle w:val="IntenseEmphasis"/>
              <w:rFonts w:ascii="Cambria" w:hAnsi="Cambria"/>
              <w:szCs w:val="22"/>
            </w:rPr>
          </w:pPr>
          <w:r w:rsidRPr="00DA364E">
            <w:rPr>
              <w:rStyle w:val="IntenseEmphasis"/>
              <w:rFonts w:ascii="Cambria" w:hAnsi="Cambria"/>
              <w:szCs w:val="22"/>
            </w:rPr>
            <w:t>IT-PL-</w:t>
          </w:r>
          <w:r w:rsidR="00DA364E" w:rsidRPr="00DA364E">
            <w:rPr>
              <w:rStyle w:val="IntenseEmphasis"/>
              <w:rFonts w:ascii="Cambria" w:hAnsi="Cambria"/>
              <w:szCs w:val="22"/>
              <w:highlight w:val="yellow"/>
            </w:rPr>
            <w:t>XX</w:t>
          </w:r>
        </w:p>
      </w:tc>
    </w:tr>
    <w:tr w:rsidR="0076032A" w:rsidRPr="00ED75F8" w:rsidTr="00ED7DC0">
      <w:trPr>
        <w:trHeight w:val="1008"/>
        <w:jc w:val="center"/>
      </w:trPr>
      <w:tc>
        <w:tcPr>
          <w:tcW w:w="10610" w:type="dxa"/>
          <w:gridSpan w:val="3"/>
        </w:tcPr>
        <w:p w:rsidR="0076032A" w:rsidRPr="0076032A" w:rsidRDefault="0076032A" w:rsidP="0076032A">
          <w:pPr>
            <w:jc w:val="center"/>
            <w:rPr>
              <w:rFonts w:ascii="Calibri" w:hAnsi="Calibri"/>
              <w:i/>
              <w:sz w:val="28"/>
              <w:szCs w:val="22"/>
            </w:rPr>
          </w:pPr>
        </w:p>
        <w:p w:rsidR="0076032A" w:rsidRPr="00A12E79" w:rsidRDefault="0076032A" w:rsidP="0076032A">
          <w:pPr>
            <w:pStyle w:val="Title"/>
          </w:pPr>
          <w:r>
            <w:t>Personnel Security Management Policy</w:t>
          </w:r>
        </w:p>
      </w:tc>
    </w:tr>
  </w:tbl>
  <w:p w:rsidR="0076032A" w:rsidRDefault="007603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2D56" w:rsidRDefault="00662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A3"/>
    <w:rsid w:val="0000157F"/>
    <w:rsid w:val="00011129"/>
    <w:rsid w:val="0003608C"/>
    <w:rsid w:val="00051520"/>
    <w:rsid w:val="00074BA0"/>
    <w:rsid w:val="00087738"/>
    <w:rsid w:val="000A6314"/>
    <w:rsid w:val="000C06AA"/>
    <w:rsid w:val="0010035A"/>
    <w:rsid w:val="001072C4"/>
    <w:rsid w:val="00107EC2"/>
    <w:rsid w:val="001116EE"/>
    <w:rsid w:val="00143AFF"/>
    <w:rsid w:val="0016248C"/>
    <w:rsid w:val="0016703E"/>
    <w:rsid w:val="0017066F"/>
    <w:rsid w:val="00184AF3"/>
    <w:rsid w:val="001B3246"/>
    <w:rsid w:val="001B556F"/>
    <w:rsid w:val="001E29F7"/>
    <w:rsid w:val="001E5FFA"/>
    <w:rsid w:val="001F1048"/>
    <w:rsid w:val="00222770"/>
    <w:rsid w:val="00244229"/>
    <w:rsid w:val="00255B11"/>
    <w:rsid w:val="0025728D"/>
    <w:rsid w:val="00261945"/>
    <w:rsid w:val="00291101"/>
    <w:rsid w:val="0029313E"/>
    <w:rsid w:val="002A1334"/>
    <w:rsid w:val="002A7256"/>
    <w:rsid w:val="002B50C6"/>
    <w:rsid w:val="002F7FA6"/>
    <w:rsid w:val="00307C3B"/>
    <w:rsid w:val="003162F7"/>
    <w:rsid w:val="003345C8"/>
    <w:rsid w:val="00364588"/>
    <w:rsid w:val="00375F3E"/>
    <w:rsid w:val="00385F82"/>
    <w:rsid w:val="003962EA"/>
    <w:rsid w:val="00397D8F"/>
    <w:rsid w:val="003B089F"/>
    <w:rsid w:val="003C1B8C"/>
    <w:rsid w:val="003C4ADF"/>
    <w:rsid w:val="003D14BE"/>
    <w:rsid w:val="003F09FA"/>
    <w:rsid w:val="00400FC8"/>
    <w:rsid w:val="004254C1"/>
    <w:rsid w:val="00451671"/>
    <w:rsid w:val="00481967"/>
    <w:rsid w:val="00491984"/>
    <w:rsid w:val="004D2353"/>
    <w:rsid w:val="004D37EB"/>
    <w:rsid w:val="004E3134"/>
    <w:rsid w:val="004F7469"/>
    <w:rsid w:val="0051524F"/>
    <w:rsid w:val="00526A9B"/>
    <w:rsid w:val="00555B9D"/>
    <w:rsid w:val="00555CFC"/>
    <w:rsid w:val="00565990"/>
    <w:rsid w:val="00565B97"/>
    <w:rsid w:val="00575A04"/>
    <w:rsid w:val="005A4B62"/>
    <w:rsid w:val="005B23C5"/>
    <w:rsid w:val="005D12B6"/>
    <w:rsid w:val="005D35BE"/>
    <w:rsid w:val="005D52B4"/>
    <w:rsid w:val="006173D9"/>
    <w:rsid w:val="006200A9"/>
    <w:rsid w:val="0062107D"/>
    <w:rsid w:val="006510F6"/>
    <w:rsid w:val="00653F92"/>
    <w:rsid w:val="00662D56"/>
    <w:rsid w:val="00673932"/>
    <w:rsid w:val="00684D1E"/>
    <w:rsid w:val="0068601F"/>
    <w:rsid w:val="006B30E2"/>
    <w:rsid w:val="006C099D"/>
    <w:rsid w:val="006D6C78"/>
    <w:rsid w:val="00711DFA"/>
    <w:rsid w:val="007129D9"/>
    <w:rsid w:val="0076032A"/>
    <w:rsid w:val="0077342D"/>
    <w:rsid w:val="00775AB4"/>
    <w:rsid w:val="007844D5"/>
    <w:rsid w:val="00785886"/>
    <w:rsid w:val="007942C4"/>
    <w:rsid w:val="007D37A8"/>
    <w:rsid w:val="007F61A2"/>
    <w:rsid w:val="008063B7"/>
    <w:rsid w:val="00816505"/>
    <w:rsid w:val="008314F4"/>
    <w:rsid w:val="0083580C"/>
    <w:rsid w:val="0085160B"/>
    <w:rsid w:val="00853487"/>
    <w:rsid w:val="0086465F"/>
    <w:rsid w:val="00897169"/>
    <w:rsid w:val="008B29FF"/>
    <w:rsid w:val="008E325A"/>
    <w:rsid w:val="0092229F"/>
    <w:rsid w:val="00923C76"/>
    <w:rsid w:val="00924538"/>
    <w:rsid w:val="009246D3"/>
    <w:rsid w:val="0093202E"/>
    <w:rsid w:val="009320CC"/>
    <w:rsid w:val="0095081C"/>
    <w:rsid w:val="00955117"/>
    <w:rsid w:val="00975083"/>
    <w:rsid w:val="009961DF"/>
    <w:rsid w:val="009A4764"/>
    <w:rsid w:val="009A6CDE"/>
    <w:rsid w:val="009D2C64"/>
    <w:rsid w:val="009F1103"/>
    <w:rsid w:val="009F7CB8"/>
    <w:rsid w:val="00A140E7"/>
    <w:rsid w:val="00A32B57"/>
    <w:rsid w:val="00A33801"/>
    <w:rsid w:val="00A3631A"/>
    <w:rsid w:val="00A4341D"/>
    <w:rsid w:val="00A437C9"/>
    <w:rsid w:val="00A5435A"/>
    <w:rsid w:val="00A726A1"/>
    <w:rsid w:val="00A97638"/>
    <w:rsid w:val="00A97803"/>
    <w:rsid w:val="00AB5967"/>
    <w:rsid w:val="00AB6A36"/>
    <w:rsid w:val="00AC0F82"/>
    <w:rsid w:val="00AD3B1D"/>
    <w:rsid w:val="00AD5BE0"/>
    <w:rsid w:val="00AF5689"/>
    <w:rsid w:val="00B36AF7"/>
    <w:rsid w:val="00B427DB"/>
    <w:rsid w:val="00B53867"/>
    <w:rsid w:val="00BA21BA"/>
    <w:rsid w:val="00BA3CA6"/>
    <w:rsid w:val="00BA7551"/>
    <w:rsid w:val="00BB405B"/>
    <w:rsid w:val="00BB7929"/>
    <w:rsid w:val="00BC6F34"/>
    <w:rsid w:val="00BD6C73"/>
    <w:rsid w:val="00BF1A5F"/>
    <w:rsid w:val="00C453A2"/>
    <w:rsid w:val="00C51809"/>
    <w:rsid w:val="00C51C73"/>
    <w:rsid w:val="00C64EAF"/>
    <w:rsid w:val="00C76D3B"/>
    <w:rsid w:val="00C80DA4"/>
    <w:rsid w:val="00CA01E1"/>
    <w:rsid w:val="00CB422C"/>
    <w:rsid w:val="00CD236D"/>
    <w:rsid w:val="00D13DA3"/>
    <w:rsid w:val="00D35111"/>
    <w:rsid w:val="00D519A6"/>
    <w:rsid w:val="00D83CD8"/>
    <w:rsid w:val="00D86AF2"/>
    <w:rsid w:val="00DA209E"/>
    <w:rsid w:val="00DA364E"/>
    <w:rsid w:val="00DB7191"/>
    <w:rsid w:val="00DC3FEF"/>
    <w:rsid w:val="00DE7231"/>
    <w:rsid w:val="00DF667F"/>
    <w:rsid w:val="00E1776B"/>
    <w:rsid w:val="00E214CF"/>
    <w:rsid w:val="00E364EF"/>
    <w:rsid w:val="00E408FB"/>
    <w:rsid w:val="00E474F5"/>
    <w:rsid w:val="00E53344"/>
    <w:rsid w:val="00E65349"/>
    <w:rsid w:val="00E81331"/>
    <w:rsid w:val="00E919AF"/>
    <w:rsid w:val="00EA5856"/>
    <w:rsid w:val="00EB6491"/>
    <w:rsid w:val="00EC5DB4"/>
    <w:rsid w:val="00EF734B"/>
    <w:rsid w:val="00F07EAE"/>
    <w:rsid w:val="00F51BD1"/>
    <w:rsid w:val="00F7571D"/>
    <w:rsid w:val="00F906B3"/>
    <w:rsid w:val="00FE2000"/>
    <w:rsid w:val="00FF4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F30288"/>
  <w15:docId w15:val="{43096B77-C690-E84A-92C2-FE1CE10C0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E65349"/>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basedOn w:val="DefaultParagraphFont"/>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basedOn w:val="DefaultParagraphFont"/>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E65349"/>
    <w:pPr>
      <w:tabs>
        <w:tab w:val="right" w:leader="dot" w:pos="9350"/>
      </w:tabs>
    </w:pPr>
  </w:style>
  <w:style w:type="character" w:styleId="Hyperlink">
    <w:name w:val="Hyperlink"/>
    <w:basedOn w:val="DefaultParagraphFont"/>
    <w:uiPriority w:val="99"/>
    <w:rsid w:val="005B23C5"/>
    <w:rPr>
      <w:color w:val="0000FF"/>
      <w:u w:val="single"/>
    </w:rPr>
  </w:style>
  <w:style w:type="character" w:styleId="Strong">
    <w:name w:val="Strong"/>
    <w:basedOn w:val="DefaultParagraphFont"/>
    <w:qFormat/>
    <w:rsid w:val="00C51C73"/>
    <w:rPr>
      <w:b/>
      <w:bCs/>
    </w:rPr>
  </w:style>
  <w:style w:type="paragraph" w:styleId="NormalIndent">
    <w:name w:val="Normal Indent"/>
    <w:basedOn w:val="Normal"/>
    <w:rsid w:val="00E65349"/>
    <w:pPr>
      <w:widowControl w:val="0"/>
      <w:ind w:left="360"/>
    </w:pPr>
    <w:rPr>
      <w:szCs w:val="20"/>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basedOn w:val="DefaultParagraphFont"/>
    <w:link w:val="PolicyBodyText"/>
    <w:rsid w:val="00C64EAF"/>
    <w:rPr>
      <w:rFonts w:ascii="Arial" w:hAnsi="Arial"/>
      <w:sz w:val="22"/>
      <w:szCs w:val="24"/>
    </w:rPr>
  </w:style>
  <w:style w:type="table" w:styleId="TableGrid">
    <w:name w:val="Table Grid"/>
    <w:basedOn w:val="TableNormal"/>
    <w:rsid w:val="0076032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76032A"/>
    <w:rPr>
      <w:b/>
      <w:i/>
      <w:iCs/>
      <w:color w:val="B5464E"/>
    </w:rPr>
  </w:style>
  <w:style w:type="paragraph" w:styleId="Title">
    <w:name w:val="Title"/>
    <w:basedOn w:val="Normal"/>
    <w:next w:val="Normal"/>
    <w:link w:val="TitleChar"/>
    <w:qFormat/>
    <w:rsid w:val="0076032A"/>
    <w:pPr>
      <w:spacing w:line="280" w:lineRule="exact"/>
      <w:jc w:val="center"/>
    </w:pPr>
    <w:rPr>
      <w:rFonts w:ascii="Calibri" w:hAnsi="Calibri"/>
      <w:b/>
      <w:i/>
      <w:sz w:val="28"/>
      <w:szCs w:val="22"/>
      <w:lang w:eastAsia="de-DE"/>
    </w:rPr>
  </w:style>
  <w:style w:type="character" w:customStyle="1" w:styleId="TitleChar">
    <w:name w:val="Title Char"/>
    <w:basedOn w:val="DefaultParagraphFont"/>
    <w:link w:val="Title"/>
    <w:rsid w:val="0076032A"/>
    <w:rPr>
      <w:rFonts w:ascii="Calibri" w:hAnsi="Calibri"/>
      <w:b/>
      <w:i/>
      <w:sz w:val="28"/>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2DA2B-3CE2-3441-BB9C-C5599E1FA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2236</Words>
  <Characters>12750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14957</CharactersWithSpaces>
  <SharedDoc>false</SharedDoc>
  <HLinks>
    <vt:vector size="96" baseType="variant">
      <vt:variant>
        <vt:i4>1441853</vt:i4>
      </vt:variant>
      <vt:variant>
        <vt:i4>92</vt:i4>
      </vt:variant>
      <vt:variant>
        <vt:i4>0</vt:i4>
      </vt:variant>
      <vt:variant>
        <vt:i4>5</vt:i4>
      </vt:variant>
      <vt:variant>
        <vt:lpwstr/>
      </vt:variant>
      <vt:variant>
        <vt:lpwstr>_Toc385339835</vt:lpwstr>
      </vt:variant>
      <vt:variant>
        <vt:i4>1441853</vt:i4>
      </vt:variant>
      <vt:variant>
        <vt:i4>86</vt:i4>
      </vt:variant>
      <vt:variant>
        <vt:i4>0</vt:i4>
      </vt:variant>
      <vt:variant>
        <vt:i4>5</vt:i4>
      </vt:variant>
      <vt:variant>
        <vt:lpwstr/>
      </vt:variant>
      <vt:variant>
        <vt:lpwstr>_Toc385339834</vt:lpwstr>
      </vt:variant>
      <vt:variant>
        <vt:i4>1441853</vt:i4>
      </vt:variant>
      <vt:variant>
        <vt:i4>80</vt:i4>
      </vt:variant>
      <vt:variant>
        <vt:i4>0</vt:i4>
      </vt:variant>
      <vt:variant>
        <vt:i4>5</vt:i4>
      </vt:variant>
      <vt:variant>
        <vt:lpwstr/>
      </vt:variant>
      <vt:variant>
        <vt:lpwstr>_Toc385339833</vt:lpwstr>
      </vt:variant>
      <vt:variant>
        <vt:i4>1441853</vt:i4>
      </vt:variant>
      <vt:variant>
        <vt:i4>74</vt:i4>
      </vt:variant>
      <vt:variant>
        <vt:i4>0</vt:i4>
      </vt:variant>
      <vt:variant>
        <vt:i4>5</vt:i4>
      </vt:variant>
      <vt:variant>
        <vt:lpwstr/>
      </vt:variant>
      <vt:variant>
        <vt:lpwstr>_Toc385339832</vt:lpwstr>
      </vt:variant>
      <vt:variant>
        <vt:i4>1441853</vt:i4>
      </vt:variant>
      <vt:variant>
        <vt:i4>68</vt:i4>
      </vt:variant>
      <vt:variant>
        <vt:i4>0</vt:i4>
      </vt:variant>
      <vt:variant>
        <vt:i4>5</vt:i4>
      </vt:variant>
      <vt:variant>
        <vt:lpwstr/>
      </vt:variant>
      <vt:variant>
        <vt:lpwstr>_Toc385339831</vt:lpwstr>
      </vt:variant>
      <vt:variant>
        <vt:i4>1441853</vt:i4>
      </vt:variant>
      <vt:variant>
        <vt:i4>62</vt:i4>
      </vt:variant>
      <vt:variant>
        <vt:i4>0</vt:i4>
      </vt:variant>
      <vt:variant>
        <vt:i4>5</vt:i4>
      </vt:variant>
      <vt:variant>
        <vt:lpwstr/>
      </vt:variant>
      <vt:variant>
        <vt:lpwstr>_Toc385339830</vt:lpwstr>
      </vt:variant>
      <vt:variant>
        <vt:i4>1507389</vt:i4>
      </vt:variant>
      <vt:variant>
        <vt:i4>56</vt:i4>
      </vt:variant>
      <vt:variant>
        <vt:i4>0</vt:i4>
      </vt:variant>
      <vt:variant>
        <vt:i4>5</vt:i4>
      </vt:variant>
      <vt:variant>
        <vt:lpwstr/>
      </vt:variant>
      <vt:variant>
        <vt:lpwstr>_Toc385339829</vt:lpwstr>
      </vt:variant>
      <vt:variant>
        <vt:i4>1507389</vt:i4>
      </vt:variant>
      <vt:variant>
        <vt:i4>50</vt:i4>
      </vt:variant>
      <vt:variant>
        <vt:i4>0</vt:i4>
      </vt:variant>
      <vt:variant>
        <vt:i4>5</vt:i4>
      </vt:variant>
      <vt:variant>
        <vt:lpwstr/>
      </vt:variant>
      <vt:variant>
        <vt:lpwstr>_Toc385339828</vt:lpwstr>
      </vt:variant>
      <vt:variant>
        <vt:i4>1507389</vt:i4>
      </vt:variant>
      <vt:variant>
        <vt:i4>44</vt:i4>
      </vt:variant>
      <vt:variant>
        <vt:i4>0</vt:i4>
      </vt:variant>
      <vt:variant>
        <vt:i4>5</vt:i4>
      </vt:variant>
      <vt:variant>
        <vt:lpwstr/>
      </vt:variant>
      <vt:variant>
        <vt:lpwstr>_Toc385339827</vt:lpwstr>
      </vt:variant>
      <vt:variant>
        <vt:i4>1507389</vt:i4>
      </vt:variant>
      <vt:variant>
        <vt:i4>38</vt:i4>
      </vt:variant>
      <vt:variant>
        <vt:i4>0</vt:i4>
      </vt:variant>
      <vt:variant>
        <vt:i4>5</vt:i4>
      </vt:variant>
      <vt:variant>
        <vt:lpwstr/>
      </vt:variant>
      <vt:variant>
        <vt:lpwstr>_Toc385339826</vt:lpwstr>
      </vt:variant>
      <vt:variant>
        <vt:i4>1507389</vt:i4>
      </vt:variant>
      <vt:variant>
        <vt:i4>32</vt:i4>
      </vt:variant>
      <vt:variant>
        <vt:i4>0</vt:i4>
      </vt:variant>
      <vt:variant>
        <vt:i4>5</vt:i4>
      </vt:variant>
      <vt:variant>
        <vt:lpwstr/>
      </vt:variant>
      <vt:variant>
        <vt:lpwstr>_Toc385339825</vt:lpwstr>
      </vt:variant>
      <vt:variant>
        <vt:i4>1507389</vt:i4>
      </vt:variant>
      <vt:variant>
        <vt:i4>26</vt:i4>
      </vt:variant>
      <vt:variant>
        <vt:i4>0</vt:i4>
      </vt:variant>
      <vt:variant>
        <vt:i4>5</vt:i4>
      </vt:variant>
      <vt:variant>
        <vt:lpwstr/>
      </vt:variant>
      <vt:variant>
        <vt:lpwstr>_Toc385339824</vt:lpwstr>
      </vt:variant>
      <vt:variant>
        <vt:i4>1507389</vt:i4>
      </vt:variant>
      <vt:variant>
        <vt:i4>20</vt:i4>
      </vt:variant>
      <vt:variant>
        <vt:i4>0</vt:i4>
      </vt:variant>
      <vt:variant>
        <vt:i4>5</vt:i4>
      </vt:variant>
      <vt:variant>
        <vt:lpwstr/>
      </vt:variant>
      <vt:variant>
        <vt:lpwstr>_Toc385339823</vt:lpwstr>
      </vt:variant>
      <vt:variant>
        <vt:i4>1507389</vt:i4>
      </vt:variant>
      <vt:variant>
        <vt:i4>14</vt:i4>
      </vt:variant>
      <vt:variant>
        <vt:i4>0</vt:i4>
      </vt:variant>
      <vt:variant>
        <vt:i4>5</vt:i4>
      </vt:variant>
      <vt:variant>
        <vt:lpwstr/>
      </vt:variant>
      <vt:variant>
        <vt:lpwstr>_Toc385339822</vt:lpwstr>
      </vt:variant>
      <vt:variant>
        <vt:i4>1507389</vt:i4>
      </vt:variant>
      <vt:variant>
        <vt:i4>8</vt:i4>
      </vt:variant>
      <vt:variant>
        <vt:i4>0</vt:i4>
      </vt:variant>
      <vt:variant>
        <vt:i4>5</vt:i4>
      </vt:variant>
      <vt:variant>
        <vt:lpwstr/>
      </vt:variant>
      <vt:variant>
        <vt:lpwstr>_Toc385339821</vt:lpwstr>
      </vt:variant>
      <vt:variant>
        <vt:i4>1507389</vt:i4>
      </vt:variant>
      <vt:variant>
        <vt:i4>2</vt:i4>
      </vt:variant>
      <vt:variant>
        <vt:i4>0</vt:i4>
      </vt:variant>
      <vt:variant>
        <vt:i4>5</vt:i4>
      </vt:variant>
      <vt:variant>
        <vt:lpwstr/>
      </vt:variant>
      <vt:variant>
        <vt:lpwstr>_Toc385339820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Rafael Nunez</cp:lastModifiedBy>
  <cp:revision>7</cp:revision>
  <dcterms:created xsi:type="dcterms:W3CDTF">2019-10-10T16:03:00Z</dcterms:created>
  <dcterms:modified xsi:type="dcterms:W3CDTF">2020-12-15T23:16:00Z</dcterms:modified>
</cp:coreProperties>
</file>