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8614" w14:textId="01635174" w:rsidR="00D13DA3" w:rsidRDefault="00D13DA3"/>
    <w:p w14:paraId="52EBAEEA" w14:textId="7498D94F" w:rsidR="0090454B" w:rsidRDefault="0090454B" w:rsidP="0090454B">
      <w:pPr>
        <w:tabs>
          <w:tab w:val="left" w:pos="2802"/>
        </w:tabs>
        <w:jc w:val="center"/>
        <w:rPr>
          <w:rFonts w:ascii="Calibri" w:hAnsi="Calibri" w:cs="Calibri"/>
          <w:i/>
          <w:sz w:val="144"/>
          <w:szCs w:val="144"/>
          <w:lang w:eastAsia="de-DE"/>
        </w:rPr>
      </w:pPr>
      <w:r w:rsidRPr="0090454B">
        <w:rPr>
          <w:rFonts w:ascii="Calibri" w:hAnsi="Calibri" w:cs="Calibri"/>
          <w:i/>
          <w:sz w:val="144"/>
          <w:szCs w:val="144"/>
          <w:lang w:eastAsia="de-DE"/>
        </w:rPr>
        <w:t>P</w:t>
      </w:r>
      <w:r>
        <w:rPr>
          <w:rFonts w:ascii="Calibri" w:hAnsi="Calibri" w:cs="Calibri"/>
          <w:i/>
          <w:sz w:val="144"/>
          <w:szCs w:val="144"/>
          <w:lang w:eastAsia="de-DE"/>
        </w:rPr>
        <w:t>hysical Security</w:t>
      </w:r>
    </w:p>
    <w:p w14:paraId="5A388F34" w14:textId="41BB8BB6" w:rsidR="0090454B" w:rsidRDefault="0090454B" w:rsidP="0090454B">
      <w:pPr>
        <w:tabs>
          <w:tab w:val="left" w:pos="2802"/>
        </w:tabs>
        <w:jc w:val="center"/>
      </w:pPr>
      <w:r>
        <w:rPr>
          <w:rFonts w:ascii="Calibri" w:hAnsi="Calibri" w:cs="Calibri"/>
          <w:i/>
          <w:sz w:val="144"/>
          <w:szCs w:val="144"/>
          <w:lang w:eastAsia="de-DE"/>
        </w:rPr>
        <w:t>P</w:t>
      </w:r>
      <w:r w:rsidRPr="0090454B">
        <w:rPr>
          <w:rFonts w:ascii="Calibri" w:hAnsi="Calibri" w:cs="Calibri"/>
          <w:i/>
          <w:sz w:val="144"/>
          <w:szCs w:val="144"/>
          <w:lang w:eastAsia="de-DE"/>
        </w:rPr>
        <w:t>olicy</w:t>
      </w:r>
    </w:p>
    <w:p w14:paraId="7115DF75" w14:textId="5BF92A62" w:rsidR="0090454B" w:rsidRDefault="0090454B"/>
    <w:p w14:paraId="00DBEB97" w14:textId="7CA2E5B2" w:rsidR="0090454B" w:rsidRDefault="0090454B"/>
    <w:p w14:paraId="1052CFAC" w14:textId="6B844871" w:rsidR="0090454B" w:rsidRDefault="0090454B"/>
    <w:p w14:paraId="4CDBF71C" w14:textId="77777777" w:rsidR="0090454B" w:rsidRDefault="0090454B"/>
    <w:p w14:paraId="6F897F25" w14:textId="77777777" w:rsidR="0090454B" w:rsidRDefault="0090454B" w:rsidP="00EC5773">
      <w:pPr>
        <w:pStyle w:val="PolicySubheader"/>
        <w:spacing w:before="120"/>
      </w:pPr>
      <w:bookmarkStart w:id="0" w:name="_Toc242654773"/>
    </w:p>
    <w:p w14:paraId="0417117D" w14:textId="77777777" w:rsidR="0090454B" w:rsidRDefault="0090454B" w:rsidP="00EC5773">
      <w:pPr>
        <w:pStyle w:val="PolicySubheader"/>
        <w:spacing w:before="120"/>
      </w:pPr>
    </w:p>
    <w:p w14:paraId="0C88C5C9" w14:textId="77777777" w:rsidR="0090454B" w:rsidRDefault="0090454B" w:rsidP="00EC5773">
      <w:pPr>
        <w:pStyle w:val="PolicySubheader"/>
        <w:spacing w:before="120"/>
      </w:pPr>
    </w:p>
    <w:p w14:paraId="23B30E06" w14:textId="77777777" w:rsidR="0090454B" w:rsidRDefault="0090454B" w:rsidP="00EC5773">
      <w:pPr>
        <w:pStyle w:val="PolicySubheader"/>
        <w:spacing w:before="120"/>
      </w:pPr>
    </w:p>
    <w:p w14:paraId="1F428B7F" w14:textId="77777777" w:rsidR="0090454B" w:rsidRDefault="0090454B" w:rsidP="00EC5773">
      <w:pPr>
        <w:pStyle w:val="PolicySubheader"/>
        <w:spacing w:before="120"/>
      </w:pPr>
    </w:p>
    <w:p w14:paraId="1113F39E" w14:textId="77777777" w:rsidR="0090454B" w:rsidRDefault="0090454B" w:rsidP="00EC5773">
      <w:pPr>
        <w:pStyle w:val="PolicySubheader"/>
        <w:spacing w:before="120"/>
      </w:pPr>
    </w:p>
    <w:p w14:paraId="4F037F0B" w14:textId="77777777" w:rsidR="0090454B" w:rsidRDefault="0090454B" w:rsidP="00EC5773">
      <w:pPr>
        <w:pStyle w:val="PolicySubheader"/>
        <w:spacing w:before="120"/>
      </w:pPr>
    </w:p>
    <w:p w14:paraId="78D4DA7E" w14:textId="77777777" w:rsidR="0090454B" w:rsidRDefault="0090454B" w:rsidP="00EC5773">
      <w:pPr>
        <w:pStyle w:val="PolicySubheader"/>
        <w:spacing w:before="120"/>
      </w:pPr>
    </w:p>
    <w:p w14:paraId="5B27309A" w14:textId="77777777" w:rsidR="0090454B" w:rsidRDefault="0090454B" w:rsidP="00EC5773">
      <w:pPr>
        <w:pStyle w:val="PolicySubheader"/>
        <w:spacing w:before="120"/>
      </w:pPr>
    </w:p>
    <w:p w14:paraId="1CC5D7C1" w14:textId="77777777" w:rsidR="0090454B" w:rsidRDefault="0090454B" w:rsidP="00EC5773">
      <w:pPr>
        <w:pStyle w:val="PolicySubheader"/>
        <w:spacing w:before="120"/>
      </w:pPr>
    </w:p>
    <w:p w14:paraId="3917CB91" w14:textId="77777777" w:rsidR="0090454B" w:rsidRDefault="0090454B" w:rsidP="00EC5773">
      <w:pPr>
        <w:pStyle w:val="PolicySubheader"/>
        <w:spacing w:before="120"/>
      </w:pPr>
    </w:p>
    <w:p w14:paraId="73B12F8D" w14:textId="77777777" w:rsidR="0090454B" w:rsidRDefault="0090454B" w:rsidP="00EC5773">
      <w:pPr>
        <w:pStyle w:val="PolicySubheader"/>
        <w:spacing w:before="120"/>
      </w:pPr>
    </w:p>
    <w:p w14:paraId="6A29173D" w14:textId="60E95D67" w:rsidR="00B22690" w:rsidRDefault="005B23C5" w:rsidP="00EC5773">
      <w:pPr>
        <w:pStyle w:val="PolicySubheader"/>
        <w:spacing w:before="120"/>
        <w:rPr>
          <w:noProof/>
        </w:rPr>
      </w:pPr>
      <w:r w:rsidRPr="0029313E">
        <w:lastRenderedPageBreak/>
        <w:t>Table of Contents</w:t>
      </w:r>
      <w:bookmarkEnd w:id="0"/>
      <w:r w:rsidR="001C4B70">
        <w:fldChar w:fldCharType="begin"/>
      </w:r>
      <w:r w:rsidR="0085160B">
        <w:instrText xml:space="preserve"> TOC \o "1-3" \h \z \u </w:instrText>
      </w:r>
      <w:r w:rsidR="001C4B70">
        <w:fldChar w:fldCharType="separate"/>
      </w:r>
    </w:p>
    <w:p w14:paraId="456D7D90" w14:textId="77777777" w:rsidR="00B22690" w:rsidRPr="003505DE" w:rsidRDefault="00A65FF3">
      <w:pPr>
        <w:pStyle w:val="TOC1"/>
        <w:tabs>
          <w:tab w:val="right" w:leader="dot" w:pos="9350"/>
        </w:tabs>
        <w:rPr>
          <w:rFonts w:ascii="Calibri" w:hAnsi="Calibri"/>
          <w:noProof/>
          <w:szCs w:val="22"/>
        </w:rPr>
      </w:pPr>
      <w:hyperlink w:anchor="_Toc3894090" w:history="1">
        <w:r w:rsidR="00B22690" w:rsidRPr="009A19ED">
          <w:rPr>
            <w:rStyle w:val="Hyperlink"/>
            <w:bCs/>
            <w:noProof/>
          </w:rPr>
          <w:t>Purpose</w:t>
        </w:r>
        <w:r w:rsidR="00B22690">
          <w:rPr>
            <w:noProof/>
            <w:webHidden/>
          </w:rPr>
          <w:tab/>
        </w:r>
        <w:r w:rsidR="00B22690">
          <w:rPr>
            <w:noProof/>
            <w:webHidden/>
          </w:rPr>
          <w:fldChar w:fldCharType="begin"/>
        </w:r>
        <w:r w:rsidR="00B22690">
          <w:rPr>
            <w:noProof/>
            <w:webHidden/>
          </w:rPr>
          <w:instrText xml:space="preserve"> PAGEREF _Toc3894090 \h </w:instrText>
        </w:r>
        <w:r w:rsidR="00B22690">
          <w:rPr>
            <w:noProof/>
            <w:webHidden/>
          </w:rPr>
        </w:r>
        <w:r w:rsidR="00B22690">
          <w:rPr>
            <w:noProof/>
            <w:webHidden/>
          </w:rPr>
          <w:fldChar w:fldCharType="separate"/>
        </w:r>
        <w:r w:rsidR="00B22690">
          <w:rPr>
            <w:noProof/>
            <w:webHidden/>
          </w:rPr>
          <w:t>1</w:t>
        </w:r>
        <w:r w:rsidR="00B22690">
          <w:rPr>
            <w:noProof/>
            <w:webHidden/>
          </w:rPr>
          <w:fldChar w:fldCharType="end"/>
        </w:r>
      </w:hyperlink>
    </w:p>
    <w:p w14:paraId="1476E790" w14:textId="77777777" w:rsidR="00B22690" w:rsidRPr="003505DE" w:rsidRDefault="00A65FF3">
      <w:pPr>
        <w:pStyle w:val="TOC1"/>
        <w:tabs>
          <w:tab w:val="right" w:leader="dot" w:pos="9350"/>
        </w:tabs>
        <w:rPr>
          <w:rFonts w:ascii="Calibri" w:hAnsi="Calibri"/>
          <w:noProof/>
          <w:szCs w:val="22"/>
        </w:rPr>
      </w:pPr>
      <w:hyperlink w:anchor="_Toc3894091" w:history="1">
        <w:r w:rsidR="00B22690" w:rsidRPr="009A19ED">
          <w:rPr>
            <w:rStyle w:val="Hyperlink"/>
            <w:bCs/>
            <w:noProof/>
          </w:rPr>
          <w:t>Scope</w:t>
        </w:r>
        <w:r w:rsidR="00B22690">
          <w:rPr>
            <w:noProof/>
            <w:webHidden/>
          </w:rPr>
          <w:tab/>
        </w:r>
        <w:r w:rsidR="00B22690">
          <w:rPr>
            <w:noProof/>
            <w:webHidden/>
          </w:rPr>
          <w:fldChar w:fldCharType="begin"/>
        </w:r>
        <w:r w:rsidR="00B22690">
          <w:rPr>
            <w:noProof/>
            <w:webHidden/>
          </w:rPr>
          <w:instrText xml:space="preserve"> PAGEREF _Toc3894091 \h </w:instrText>
        </w:r>
        <w:r w:rsidR="00B22690">
          <w:rPr>
            <w:noProof/>
            <w:webHidden/>
          </w:rPr>
        </w:r>
        <w:r w:rsidR="00B22690">
          <w:rPr>
            <w:noProof/>
            <w:webHidden/>
          </w:rPr>
          <w:fldChar w:fldCharType="separate"/>
        </w:r>
        <w:r w:rsidR="00B22690">
          <w:rPr>
            <w:noProof/>
            <w:webHidden/>
          </w:rPr>
          <w:t>1</w:t>
        </w:r>
        <w:r w:rsidR="00B22690">
          <w:rPr>
            <w:noProof/>
            <w:webHidden/>
          </w:rPr>
          <w:fldChar w:fldCharType="end"/>
        </w:r>
      </w:hyperlink>
    </w:p>
    <w:p w14:paraId="309E4885" w14:textId="77777777" w:rsidR="00B22690" w:rsidRPr="003505DE" w:rsidRDefault="00A65FF3">
      <w:pPr>
        <w:pStyle w:val="TOC1"/>
        <w:tabs>
          <w:tab w:val="right" w:leader="dot" w:pos="9350"/>
        </w:tabs>
        <w:rPr>
          <w:rFonts w:ascii="Calibri" w:hAnsi="Calibri"/>
          <w:noProof/>
          <w:szCs w:val="22"/>
        </w:rPr>
      </w:pPr>
      <w:hyperlink w:anchor="_Toc3894092" w:history="1">
        <w:r w:rsidR="00B22690" w:rsidRPr="009A19ED">
          <w:rPr>
            <w:rStyle w:val="Hyperlink"/>
            <w:bCs/>
            <w:noProof/>
          </w:rPr>
          <w:t>Policy</w:t>
        </w:r>
        <w:r w:rsidR="00B22690">
          <w:rPr>
            <w:noProof/>
            <w:webHidden/>
          </w:rPr>
          <w:tab/>
        </w:r>
        <w:r w:rsidR="00B22690">
          <w:rPr>
            <w:noProof/>
            <w:webHidden/>
          </w:rPr>
          <w:fldChar w:fldCharType="begin"/>
        </w:r>
        <w:r w:rsidR="00B22690">
          <w:rPr>
            <w:noProof/>
            <w:webHidden/>
          </w:rPr>
          <w:instrText xml:space="preserve"> PAGEREF _Toc3894092 \h </w:instrText>
        </w:r>
        <w:r w:rsidR="00B22690">
          <w:rPr>
            <w:noProof/>
            <w:webHidden/>
          </w:rPr>
        </w:r>
        <w:r w:rsidR="00B22690">
          <w:rPr>
            <w:noProof/>
            <w:webHidden/>
          </w:rPr>
          <w:fldChar w:fldCharType="separate"/>
        </w:r>
        <w:r w:rsidR="00B22690">
          <w:rPr>
            <w:noProof/>
            <w:webHidden/>
          </w:rPr>
          <w:t>1</w:t>
        </w:r>
        <w:r w:rsidR="00B22690">
          <w:rPr>
            <w:noProof/>
            <w:webHidden/>
          </w:rPr>
          <w:fldChar w:fldCharType="end"/>
        </w:r>
      </w:hyperlink>
    </w:p>
    <w:p w14:paraId="4350DB8D" w14:textId="77777777" w:rsidR="00B22690" w:rsidRPr="003505DE" w:rsidRDefault="00A65FF3">
      <w:pPr>
        <w:pStyle w:val="TOC3"/>
        <w:tabs>
          <w:tab w:val="right" w:leader="dot" w:pos="9350"/>
        </w:tabs>
        <w:rPr>
          <w:rFonts w:ascii="Calibri" w:hAnsi="Calibri"/>
          <w:noProof/>
          <w:szCs w:val="22"/>
        </w:rPr>
      </w:pPr>
      <w:hyperlink w:anchor="_Toc3894093" w:history="1">
        <w:r w:rsidR="00B22690" w:rsidRPr="009A19ED">
          <w:rPr>
            <w:rStyle w:val="Hyperlink"/>
            <w:noProof/>
          </w:rPr>
          <w:t>Physical Security Perimeter</w:t>
        </w:r>
        <w:r w:rsidR="00B22690">
          <w:rPr>
            <w:noProof/>
            <w:webHidden/>
          </w:rPr>
          <w:tab/>
        </w:r>
        <w:r w:rsidR="00B22690">
          <w:rPr>
            <w:noProof/>
            <w:webHidden/>
          </w:rPr>
          <w:fldChar w:fldCharType="begin"/>
        </w:r>
        <w:r w:rsidR="00B22690">
          <w:rPr>
            <w:noProof/>
            <w:webHidden/>
          </w:rPr>
          <w:instrText xml:space="preserve"> PAGEREF _Toc3894093 \h </w:instrText>
        </w:r>
        <w:r w:rsidR="00B22690">
          <w:rPr>
            <w:noProof/>
            <w:webHidden/>
          </w:rPr>
        </w:r>
        <w:r w:rsidR="00B22690">
          <w:rPr>
            <w:noProof/>
            <w:webHidden/>
          </w:rPr>
          <w:fldChar w:fldCharType="separate"/>
        </w:r>
        <w:r w:rsidR="00B22690">
          <w:rPr>
            <w:noProof/>
            <w:webHidden/>
          </w:rPr>
          <w:t>1</w:t>
        </w:r>
        <w:r w:rsidR="00B22690">
          <w:rPr>
            <w:noProof/>
            <w:webHidden/>
          </w:rPr>
          <w:fldChar w:fldCharType="end"/>
        </w:r>
      </w:hyperlink>
    </w:p>
    <w:p w14:paraId="100383C5" w14:textId="77777777" w:rsidR="00B22690" w:rsidRPr="003505DE" w:rsidRDefault="00A65FF3">
      <w:pPr>
        <w:pStyle w:val="TOC3"/>
        <w:tabs>
          <w:tab w:val="right" w:leader="dot" w:pos="9350"/>
        </w:tabs>
        <w:rPr>
          <w:rFonts w:ascii="Calibri" w:hAnsi="Calibri"/>
          <w:noProof/>
          <w:szCs w:val="22"/>
        </w:rPr>
      </w:pPr>
      <w:hyperlink w:anchor="_Toc3894094" w:history="1">
        <w:r w:rsidR="00B22690" w:rsidRPr="009A19ED">
          <w:rPr>
            <w:rStyle w:val="Hyperlink"/>
            <w:noProof/>
          </w:rPr>
          <w:t>Physical Access Control</w:t>
        </w:r>
        <w:r w:rsidR="00B22690">
          <w:rPr>
            <w:noProof/>
            <w:webHidden/>
          </w:rPr>
          <w:tab/>
        </w:r>
        <w:r w:rsidR="00B22690">
          <w:rPr>
            <w:noProof/>
            <w:webHidden/>
          </w:rPr>
          <w:fldChar w:fldCharType="begin"/>
        </w:r>
        <w:r w:rsidR="00B22690">
          <w:rPr>
            <w:noProof/>
            <w:webHidden/>
          </w:rPr>
          <w:instrText xml:space="preserve"> PAGEREF _Toc3894094 \h </w:instrText>
        </w:r>
        <w:r w:rsidR="00B22690">
          <w:rPr>
            <w:noProof/>
            <w:webHidden/>
          </w:rPr>
        </w:r>
        <w:r w:rsidR="00B22690">
          <w:rPr>
            <w:noProof/>
            <w:webHidden/>
          </w:rPr>
          <w:fldChar w:fldCharType="separate"/>
        </w:r>
        <w:r w:rsidR="00B22690">
          <w:rPr>
            <w:noProof/>
            <w:webHidden/>
          </w:rPr>
          <w:t>1</w:t>
        </w:r>
        <w:r w:rsidR="00B22690">
          <w:rPr>
            <w:noProof/>
            <w:webHidden/>
          </w:rPr>
          <w:fldChar w:fldCharType="end"/>
        </w:r>
      </w:hyperlink>
    </w:p>
    <w:p w14:paraId="71E2E458" w14:textId="77777777" w:rsidR="00B22690" w:rsidRPr="003505DE" w:rsidRDefault="00A65FF3">
      <w:pPr>
        <w:pStyle w:val="TOC3"/>
        <w:tabs>
          <w:tab w:val="right" w:leader="dot" w:pos="9350"/>
        </w:tabs>
        <w:rPr>
          <w:rFonts w:ascii="Calibri" w:hAnsi="Calibri"/>
          <w:noProof/>
          <w:szCs w:val="22"/>
        </w:rPr>
      </w:pPr>
      <w:hyperlink w:anchor="_Toc3894095" w:history="1">
        <w:r w:rsidR="00B22690" w:rsidRPr="009A19ED">
          <w:rPr>
            <w:rStyle w:val="Hyperlink"/>
            <w:noProof/>
          </w:rPr>
          <w:t>Access Control Monitoring</w:t>
        </w:r>
        <w:r w:rsidR="00B22690">
          <w:rPr>
            <w:noProof/>
            <w:webHidden/>
          </w:rPr>
          <w:tab/>
        </w:r>
        <w:r w:rsidR="00B22690">
          <w:rPr>
            <w:noProof/>
            <w:webHidden/>
          </w:rPr>
          <w:fldChar w:fldCharType="begin"/>
        </w:r>
        <w:r w:rsidR="00B22690">
          <w:rPr>
            <w:noProof/>
            <w:webHidden/>
          </w:rPr>
          <w:instrText xml:space="preserve"> PAGEREF _Toc3894095 \h </w:instrText>
        </w:r>
        <w:r w:rsidR="00B22690">
          <w:rPr>
            <w:noProof/>
            <w:webHidden/>
          </w:rPr>
        </w:r>
        <w:r w:rsidR="00B22690">
          <w:rPr>
            <w:noProof/>
            <w:webHidden/>
          </w:rPr>
          <w:fldChar w:fldCharType="separate"/>
        </w:r>
        <w:r w:rsidR="00B22690">
          <w:rPr>
            <w:noProof/>
            <w:webHidden/>
          </w:rPr>
          <w:t>2</w:t>
        </w:r>
        <w:r w:rsidR="00B22690">
          <w:rPr>
            <w:noProof/>
            <w:webHidden/>
          </w:rPr>
          <w:fldChar w:fldCharType="end"/>
        </w:r>
      </w:hyperlink>
    </w:p>
    <w:p w14:paraId="285F049F" w14:textId="77777777" w:rsidR="00B22690" w:rsidRPr="003505DE" w:rsidRDefault="00A65FF3">
      <w:pPr>
        <w:pStyle w:val="TOC3"/>
        <w:tabs>
          <w:tab w:val="right" w:leader="dot" w:pos="9350"/>
        </w:tabs>
        <w:rPr>
          <w:rFonts w:ascii="Calibri" w:hAnsi="Calibri"/>
          <w:noProof/>
          <w:szCs w:val="22"/>
        </w:rPr>
      </w:pPr>
      <w:hyperlink w:anchor="_Toc3894096" w:history="1">
        <w:r w:rsidR="00B22690" w:rsidRPr="009A19ED">
          <w:rPr>
            <w:rStyle w:val="Hyperlink"/>
            <w:noProof/>
          </w:rPr>
          <w:t>Physical Access Authorization</w:t>
        </w:r>
        <w:r w:rsidR="00B22690">
          <w:rPr>
            <w:noProof/>
            <w:webHidden/>
          </w:rPr>
          <w:tab/>
        </w:r>
        <w:r w:rsidR="00B22690">
          <w:rPr>
            <w:noProof/>
            <w:webHidden/>
          </w:rPr>
          <w:fldChar w:fldCharType="begin"/>
        </w:r>
        <w:r w:rsidR="00B22690">
          <w:rPr>
            <w:noProof/>
            <w:webHidden/>
          </w:rPr>
          <w:instrText xml:space="preserve"> PAGEREF _Toc3894096 \h </w:instrText>
        </w:r>
        <w:r w:rsidR="00B22690">
          <w:rPr>
            <w:noProof/>
            <w:webHidden/>
          </w:rPr>
        </w:r>
        <w:r w:rsidR="00B22690">
          <w:rPr>
            <w:noProof/>
            <w:webHidden/>
          </w:rPr>
          <w:fldChar w:fldCharType="separate"/>
        </w:r>
        <w:r w:rsidR="00B22690">
          <w:rPr>
            <w:noProof/>
            <w:webHidden/>
          </w:rPr>
          <w:t>2</w:t>
        </w:r>
        <w:r w:rsidR="00B22690">
          <w:rPr>
            <w:noProof/>
            <w:webHidden/>
          </w:rPr>
          <w:fldChar w:fldCharType="end"/>
        </w:r>
      </w:hyperlink>
    </w:p>
    <w:p w14:paraId="60411CF4" w14:textId="77777777" w:rsidR="00B22690" w:rsidRPr="003505DE" w:rsidRDefault="00A65FF3">
      <w:pPr>
        <w:pStyle w:val="TOC3"/>
        <w:tabs>
          <w:tab w:val="right" w:leader="dot" w:pos="9350"/>
        </w:tabs>
        <w:rPr>
          <w:rFonts w:ascii="Calibri" w:hAnsi="Calibri"/>
          <w:noProof/>
          <w:szCs w:val="22"/>
        </w:rPr>
      </w:pPr>
      <w:hyperlink w:anchor="_Toc3894097" w:history="1">
        <w:r w:rsidR="00B22690" w:rsidRPr="009A19ED">
          <w:rPr>
            <w:rStyle w:val="Hyperlink"/>
            <w:noProof/>
          </w:rPr>
          <w:t>Access Badges</w:t>
        </w:r>
        <w:r w:rsidR="00B22690">
          <w:rPr>
            <w:noProof/>
            <w:webHidden/>
          </w:rPr>
          <w:tab/>
        </w:r>
        <w:r w:rsidR="00B22690">
          <w:rPr>
            <w:noProof/>
            <w:webHidden/>
          </w:rPr>
          <w:fldChar w:fldCharType="begin"/>
        </w:r>
        <w:r w:rsidR="00B22690">
          <w:rPr>
            <w:noProof/>
            <w:webHidden/>
          </w:rPr>
          <w:instrText xml:space="preserve"> PAGEREF _Toc3894097 \h </w:instrText>
        </w:r>
        <w:r w:rsidR="00B22690">
          <w:rPr>
            <w:noProof/>
            <w:webHidden/>
          </w:rPr>
        </w:r>
        <w:r w:rsidR="00B22690">
          <w:rPr>
            <w:noProof/>
            <w:webHidden/>
          </w:rPr>
          <w:fldChar w:fldCharType="separate"/>
        </w:r>
        <w:r w:rsidR="00B22690">
          <w:rPr>
            <w:noProof/>
            <w:webHidden/>
          </w:rPr>
          <w:t>2</w:t>
        </w:r>
        <w:r w:rsidR="00B22690">
          <w:rPr>
            <w:noProof/>
            <w:webHidden/>
          </w:rPr>
          <w:fldChar w:fldCharType="end"/>
        </w:r>
      </w:hyperlink>
    </w:p>
    <w:p w14:paraId="3D00AAA3" w14:textId="77777777" w:rsidR="00B22690" w:rsidRPr="003505DE" w:rsidRDefault="00A65FF3">
      <w:pPr>
        <w:pStyle w:val="TOC3"/>
        <w:tabs>
          <w:tab w:val="right" w:leader="dot" w:pos="9350"/>
        </w:tabs>
        <w:rPr>
          <w:rFonts w:ascii="Calibri" w:hAnsi="Calibri"/>
          <w:noProof/>
          <w:szCs w:val="22"/>
        </w:rPr>
      </w:pPr>
      <w:hyperlink w:anchor="_Toc3894098" w:history="1">
        <w:r w:rsidR="00B22690" w:rsidRPr="009A19ED">
          <w:rPr>
            <w:rStyle w:val="Hyperlink"/>
            <w:noProof/>
          </w:rPr>
          <w:t>Visitor Handling</w:t>
        </w:r>
        <w:r w:rsidR="00B22690">
          <w:rPr>
            <w:noProof/>
            <w:webHidden/>
          </w:rPr>
          <w:tab/>
        </w:r>
        <w:r w:rsidR="00B22690">
          <w:rPr>
            <w:noProof/>
            <w:webHidden/>
          </w:rPr>
          <w:fldChar w:fldCharType="begin"/>
        </w:r>
        <w:r w:rsidR="00B22690">
          <w:rPr>
            <w:noProof/>
            <w:webHidden/>
          </w:rPr>
          <w:instrText xml:space="preserve"> PAGEREF _Toc3894098 \h </w:instrText>
        </w:r>
        <w:r w:rsidR="00B22690">
          <w:rPr>
            <w:noProof/>
            <w:webHidden/>
          </w:rPr>
        </w:r>
        <w:r w:rsidR="00B22690">
          <w:rPr>
            <w:noProof/>
            <w:webHidden/>
          </w:rPr>
          <w:fldChar w:fldCharType="separate"/>
        </w:r>
        <w:r w:rsidR="00B22690">
          <w:rPr>
            <w:noProof/>
            <w:webHidden/>
          </w:rPr>
          <w:t>3</w:t>
        </w:r>
        <w:r w:rsidR="00B22690">
          <w:rPr>
            <w:noProof/>
            <w:webHidden/>
          </w:rPr>
          <w:fldChar w:fldCharType="end"/>
        </w:r>
      </w:hyperlink>
    </w:p>
    <w:p w14:paraId="5D9EFB91" w14:textId="77777777" w:rsidR="00B22690" w:rsidRPr="003505DE" w:rsidRDefault="00A65FF3">
      <w:pPr>
        <w:pStyle w:val="TOC3"/>
        <w:tabs>
          <w:tab w:val="right" w:leader="dot" w:pos="9350"/>
        </w:tabs>
        <w:rPr>
          <w:rFonts w:ascii="Calibri" w:hAnsi="Calibri"/>
          <w:noProof/>
          <w:szCs w:val="22"/>
        </w:rPr>
      </w:pPr>
      <w:hyperlink w:anchor="_Toc3894099" w:history="1">
        <w:r w:rsidR="00B22690" w:rsidRPr="009A19ED">
          <w:rPr>
            <w:rStyle w:val="Hyperlink"/>
            <w:noProof/>
          </w:rPr>
          <w:t>Access Review</w:t>
        </w:r>
        <w:r w:rsidR="00B22690">
          <w:rPr>
            <w:noProof/>
            <w:webHidden/>
          </w:rPr>
          <w:tab/>
        </w:r>
        <w:r w:rsidR="00B22690">
          <w:rPr>
            <w:noProof/>
            <w:webHidden/>
          </w:rPr>
          <w:fldChar w:fldCharType="begin"/>
        </w:r>
        <w:r w:rsidR="00B22690">
          <w:rPr>
            <w:noProof/>
            <w:webHidden/>
          </w:rPr>
          <w:instrText xml:space="preserve"> PAGEREF _Toc3894099 \h </w:instrText>
        </w:r>
        <w:r w:rsidR="00B22690">
          <w:rPr>
            <w:noProof/>
            <w:webHidden/>
          </w:rPr>
        </w:r>
        <w:r w:rsidR="00B22690">
          <w:rPr>
            <w:noProof/>
            <w:webHidden/>
          </w:rPr>
          <w:fldChar w:fldCharType="separate"/>
        </w:r>
        <w:r w:rsidR="00B22690">
          <w:rPr>
            <w:noProof/>
            <w:webHidden/>
          </w:rPr>
          <w:t>3</w:t>
        </w:r>
        <w:r w:rsidR="00B22690">
          <w:rPr>
            <w:noProof/>
            <w:webHidden/>
          </w:rPr>
          <w:fldChar w:fldCharType="end"/>
        </w:r>
      </w:hyperlink>
    </w:p>
    <w:p w14:paraId="3725C70A" w14:textId="77777777" w:rsidR="00B22690" w:rsidRPr="003505DE" w:rsidRDefault="00A65FF3">
      <w:pPr>
        <w:pStyle w:val="TOC3"/>
        <w:tabs>
          <w:tab w:val="right" w:leader="dot" w:pos="9350"/>
        </w:tabs>
        <w:rPr>
          <w:rFonts w:ascii="Calibri" w:hAnsi="Calibri"/>
          <w:noProof/>
          <w:szCs w:val="22"/>
        </w:rPr>
      </w:pPr>
      <w:hyperlink w:anchor="_Toc3894100" w:history="1">
        <w:r w:rsidR="00B22690" w:rsidRPr="009A19ED">
          <w:rPr>
            <w:rStyle w:val="Hyperlink"/>
            <w:noProof/>
          </w:rPr>
          <w:t>Access Testing</w:t>
        </w:r>
        <w:r w:rsidR="00B22690">
          <w:rPr>
            <w:noProof/>
            <w:webHidden/>
          </w:rPr>
          <w:tab/>
        </w:r>
        <w:r w:rsidR="00B22690">
          <w:rPr>
            <w:noProof/>
            <w:webHidden/>
          </w:rPr>
          <w:fldChar w:fldCharType="begin"/>
        </w:r>
        <w:r w:rsidR="00B22690">
          <w:rPr>
            <w:noProof/>
            <w:webHidden/>
          </w:rPr>
          <w:instrText xml:space="preserve"> PAGEREF _Toc3894100 \h </w:instrText>
        </w:r>
        <w:r w:rsidR="00B22690">
          <w:rPr>
            <w:noProof/>
            <w:webHidden/>
          </w:rPr>
        </w:r>
        <w:r w:rsidR="00B22690">
          <w:rPr>
            <w:noProof/>
            <w:webHidden/>
          </w:rPr>
          <w:fldChar w:fldCharType="separate"/>
        </w:r>
        <w:r w:rsidR="00B22690">
          <w:rPr>
            <w:noProof/>
            <w:webHidden/>
          </w:rPr>
          <w:t>3</w:t>
        </w:r>
        <w:r w:rsidR="00B22690">
          <w:rPr>
            <w:noProof/>
            <w:webHidden/>
          </w:rPr>
          <w:fldChar w:fldCharType="end"/>
        </w:r>
      </w:hyperlink>
    </w:p>
    <w:p w14:paraId="3F518A8C" w14:textId="77777777" w:rsidR="00B22690" w:rsidRPr="003505DE" w:rsidRDefault="00A65FF3">
      <w:pPr>
        <w:pStyle w:val="TOC1"/>
        <w:tabs>
          <w:tab w:val="right" w:leader="dot" w:pos="9350"/>
        </w:tabs>
        <w:rPr>
          <w:rFonts w:ascii="Calibri" w:hAnsi="Calibri"/>
          <w:noProof/>
          <w:szCs w:val="22"/>
        </w:rPr>
      </w:pPr>
      <w:hyperlink w:anchor="_Toc3894101" w:history="1">
        <w:r w:rsidR="00B22690" w:rsidRPr="009A19ED">
          <w:rPr>
            <w:rStyle w:val="Hyperlink"/>
            <w:bCs/>
            <w:noProof/>
          </w:rPr>
          <w:t>Violations</w:t>
        </w:r>
        <w:r w:rsidR="00B22690">
          <w:rPr>
            <w:noProof/>
            <w:webHidden/>
          </w:rPr>
          <w:tab/>
        </w:r>
        <w:r w:rsidR="00B22690">
          <w:rPr>
            <w:noProof/>
            <w:webHidden/>
          </w:rPr>
          <w:fldChar w:fldCharType="begin"/>
        </w:r>
        <w:r w:rsidR="00B22690">
          <w:rPr>
            <w:noProof/>
            <w:webHidden/>
          </w:rPr>
          <w:instrText xml:space="preserve"> PAGEREF _Toc3894101 \h </w:instrText>
        </w:r>
        <w:r w:rsidR="00B22690">
          <w:rPr>
            <w:noProof/>
            <w:webHidden/>
          </w:rPr>
        </w:r>
        <w:r w:rsidR="00B22690">
          <w:rPr>
            <w:noProof/>
            <w:webHidden/>
          </w:rPr>
          <w:fldChar w:fldCharType="separate"/>
        </w:r>
        <w:r w:rsidR="00B22690">
          <w:rPr>
            <w:noProof/>
            <w:webHidden/>
          </w:rPr>
          <w:t>4</w:t>
        </w:r>
        <w:r w:rsidR="00B22690">
          <w:rPr>
            <w:noProof/>
            <w:webHidden/>
          </w:rPr>
          <w:fldChar w:fldCharType="end"/>
        </w:r>
      </w:hyperlink>
    </w:p>
    <w:p w14:paraId="363CF460" w14:textId="77777777" w:rsidR="00B22690" w:rsidRPr="003505DE" w:rsidRDefault="00A65FF3">
      <w:pPr>
        <w:pStyle w:val="TOC1"/>
        <w:tabs>
          <w:tab w:val="right" w:leader="dot" w:pos="9350"/>
        </w:tabs>
        <w:rPr>
          <w:rFonts w:ascii="Calibri" w:hAnsi="Calibri"/>
          <w:noProof/>
          <w:szCs w:val="22"/>
        </w:rPr>
      </w:pPr>
      <w:hyperlink w:anchor="_Toc3894102" w:history="1">
        <w:r w:rsidR="00B22690" w:rsidRPr="009A19ED">
          <w:rPr>
            <w:rStyle w:val="Hyperlink"/>
            <w:bCs/>
            <w:noProof/>
          </w:rPr>
          <w:t>Definitions</w:t>
        </w:r>
        <w:r w:rsidR="00B22690">
          <w:rPr>
            <w:noProof/>
            <w:webHidden/>
          </w:rPr>
          <w:tab/>
        </w:r>
        <w:r w:rsidR="00B22690">
          <w:rPr>
            <w:noProof/>
            <w:webHidden/>
          </w:rPr>
          <w:fldChar w:fldCharType="begin"/>
        </w:r>
        <w:r w:rsidR="00B22690">
          <w:rPr>
            <w:noProof/>
            <w:webHidden/>
          </w:rPr>
          <w:instrText xml:space="preserve"> PAGEREF _Toc3894102 \h </w:instrText>
        </w:r>
        <w:r w:rsidR="00B22690">
          <w:rPr>
            <w:noProof/>
            <w:webHidden/>
          </w:rPr>
        </w:r>
        <w:r w:rsidR="00B22690">
          <w:rPr>
            <w:noProof/>
            <w:webHidden/>
          </w:rPr>
          <w:fldChar w:fldCharType="separate"/>
        </w:r>
        <w:r w:rsidR="00B22690">
          <w:rPr>
            <w:noProof/>
            <w:webHidden/>
          </w:rPr>
          <w:t>4</w:t>
        </w:r>
        <w:r w:rsidR="00B22690">
          <w:rPr>
            <w:noProof/>
            <w:webHidden/>
          </w:rPr>
          <w:fldChar w:fldCharType="end"/>
        </w:r>
      </w:hyperlink>
    </w:p>
    <w:p w14:paraId="5B77E6B5" w14:textId="77777777" w:rsidR="00B22690" w:rsidRPr="003505DE" w:rsidRDefault="00A65FF3">
      <w:pPr>
        <w:pStyle w:val="TOC1"/>
        <w:tabs>
          <w:tab w:val="right" w:leader="dot" w:pos="9350"/>
        </w:tabs>
        <w:rPr>
          <w:rFonts w:ascii="Calibri" w:hAnsi="Calibri"/>
          <w:noProof/>
          <w:szCs w:val="22"/>
        </w:rPr>
      </w:pPr>
      <w:hyperlink w:anchor="_Toc3894103" w:history="1">
        <w:r w:rsidR="00B22690" w:rsidRPr="009A19ED">
          <w:rPr>
            <w:rStyle w:val="Hyperlink"/>
            <w:noProof/>
          </w:rPr>
          <w:t>References</w:t>
        </w:r>
        <w:r w:rsidR="00B22690">
          <w:rPr>
            <w:noProof/>
            <w:webHidden/>
          </w:rPr>
          <w:tab/>
        </w:r>
        <w:r w:rsidR="00B22690">
          <w:rPr>
            <w:noProof/>
            <w:webHidden/>
          </w:rPr>
          <w:fldChar w:fldCharType="begin"/>
        </w:r>
        <w:r w:rsidR="00B22690">
          <w:rPr>
            <w:noProof/>
            <w:webHidden/>
          </w:rPr>
          <w:instrText xml:space="preserve"> PAGEREF _Toc3894103 \h </w:instrText>
        </w:r>
        <w:r w:rsidR="00B22690">
          <w:rPr>
            <w:noProof/>
            <w:webHidden/>
          </w:rPr>
        </w:r>
        <w:r w:rsidR="00B22690">
          <w:rPr>
            <w:noProof/>
            <w:webHidden/>
          </w:rPr>
          <w:fldChar w:fldCharType="separate"/>
        </w:r>
        <w:r w:rsidR="00B22690">
          <w:rPr>
            <w:noProof/>
            <w:webHidden/>
          </w:rPr>
          <w:t>4</w:t>
        </w:r>
        <w:r w:rsidR="00B22690">
          <w:rPr>
            <w:noProof/>
            <w:webHidden/>
          </w:rPr>
          <w:fldChar w:fldCharType="end"/>
        </w:r>
      </w:hyperlink>
    </w:p>
    <w:p w14:paraId="21DA93CF" w14:textId="77777777" w:rsidR="00B22690" w:rsidRPr="003505DE" w:rsidRDefault="00A65FF3">
      <w:pPr>
        <w:pStyle w:val="TOC1"/>
        <w:tabs>
          <w:tab w:val="right" w:leader="dot" w:pos="9350"/>
        </w:tabs>
        <w:rPr>
          <w:rFonts w:ascii="Calibri" w:hAnsi="Calibri"/>
          <w:noProof/>
          <w:szCs w:val="22"/>
        </w:rPr>
      </w:pPr>
      <w:hyperlink w:anchor="_Toc3894104" w:history="1">
        <w:r w:rsidR="00B22690" w:rsidRPr="009A19ED">
          <w:rPr>
            <w:rStyle w:val="Hyperlink"/>
            <w:noProof/>
          </w:rPr>
          <w:t>Related Documents</w:t>
        </w:r>
        <w:r w:rsidR="00B22690">
          <w:rPr>
            <w:noProof/>
            <w:webHidden/>
          </w:rPr>
          <w:tab/>
        </w:r>
        <w:r w:rsidR="00B22690">
          <w:rPr>
            <w:noProof/>
            <w:webHidden/>
          </w:rPr>
          <w:fldChar w:fldCharType="begin"/>
        </w:r>
        <w:r w:rsidR="00B22690">
          <w:rPr>
            <w:noProof/>
            <w:webHidden/>
          </w:rPr>
          <w:instrText xml:space="preserve"> PAGEREF _Toc3894104 \h </w:instrText>
        </w:r>
        <w:r w:rsidR="00B22690">
          <w:rPr>
            <w:noProof/>
            <w:webHidden/>
          </w:rPr>
        </w:r>
        <w:r w:rsidR="00B22690">
          <w:rPr>
            <w:noProof/>
            <w:webHidden/>
          </w:rPr>
          <w:fldChar w:fldCharType="separate"/>
        </w:r>
        <w:r w:rsidR="00B22690">
          <w:rPr>
            <w:noProof/>
            <w:webHidden/>
          </w:rPr>
          <w:t>4</w:t>
        </w:r>
        <w:r w:rsidR="00B22690">
          <w:rPr>
            <w:noProof/>
            <w:webHidden/>
          </w:rPr>
          <w:fldChar w:fldCharType="end"/>
        </w:r>
      </w:hyperlink>
    </w:p>
    <w:p w14:paraId="59652ECF" w14:textId="77777777" w:rsidR="00B22690" w:rsidRPr="003505DE" w:rsidRDefault="00A65FF3">
      <w:pPr>
        <w:pStyle w:val="TOC1"/>
        <w:tabs>
          <w:tab w:val="right" w:leader="dot" w:pos="9350"/>
        </w:tabs>
        <w:rPr>
          <w:rFonts w:ascii="Calibri" w:hAnsi="Calibri"/>
          <w:noProof/>
          <w:szCs w:val="22"/>
        </w:rPr>
      </w:pPr>
      <w:hyperlink w:anchor="_Toc3894105" w:history="1">
        <w:r w:rsidR="00B22690" w:rsidRPr="009A19ED">
          <w:rPr>
            <w:rStyle w:val="Hyperlink"/>
            <w:bCs/>
            <w:noProof/>
          </w:rPr>
          <w:t>Approval and Ownership</w:t>
        </w:r>
        <w:r w:rsidR="00B22690">
          <w:rPr>
            <w:noProof/>
            <w:webHidden/>
          </w:rPr>
          <w:tab/>
        </w:r>
        <w:r w:rsidR="00B22690">
          <w:rPr>
            <w:noProof/>
            <w:webHidden/>
          </w:rPr>
          <w:fldChar w:fldCharType="begin"/>
        </w:r>
        <w:r w:rsidR="00B22690">
          <w:rPr>
            <w:noProof/>
            <w:webHidden/>
          </w:rPr>
          <w:instrText xml:space="preserve"> PAGEREF _Toc3894105 \h </w:instrText>
        </w:r>
        <w:r w:rsidR="00B22690">
          <w:rPr>
            <w:noProof/>
            <w:webHidden/>
          </w:rPr>
        </w:r>
        <w:r w:rsidR="00B22690">
          <w:rPr>
            <w:noProof/>
            <w:webHidden/>
          </w:rPr>
          <w:fldChar w:fldCharType="separate"/>
        </w:r>
        <w:r w:rsidR="00B22690">
          <w:rPr>
            <w:noProof/>
            <w:webHidden/>
          </w:rPr>
          <w:t>4</w:t>
        </w:r>
        <w:r w:rsidR="00B22690">
          <w:rPr>
            <w:noProof/>
            <w:webHidden/>
          </w:rPr>
          <w:fldChar w:fldCharType="end"/>
        </w:r>
      </w:hyperlink>
    </w:p>
    <w:p w14:paraId="19C1A766" w14:textId="77777777" w:rsidR="00B22690" w:rsidRPr="003505DE" w:rsidRDefault="00A65FF3">
      <w:pPr>
        <w:pStyle w:val="TOC1"/>
        <w:tabs>
          <w:tab w:val="right" w:leader="dot" w:pos="9350"/>
        </w:tabs>
        <w:rPr>
          <w:rFonts w:ascii="Calibri" w:hAnsi="Calibri"/>
          <w:noProof/>
          <w:szCs w:val="22"/>
        </w:rPr>
      </w:pPr>
      <w:hyperlink w:anchor="_Toc3894106" w:history="1">
        <w:r w:rsidR="00B22690" w:rsidRPr="009A19ED">
          <w:rPr>
            <w:rStyle w:val="Hyperlink"/>
            <w:bCs/>
            <w:noProof/>
          </w:rPr>
          <w:t>Revision History</w:t>
        </w:r>
        <w:r w:rsidR="00B22690">
          <w:rPr>
            <w:noProof/>
            <w:webHidden/>
          </w:rPr>
          <w:tab/>
        </w:r>
        <w:r w:rsidR="00B22690">
          <w:rPr>
            <w:noProof/>
            <w:webHidden/>
          </w:rPr>
          <w:fldChar w:fldCharType="begin"/>
        </w:r>
        <w:r w:rsidR="00B22690">
          <w:rPr>
            <w:noProof/>
            <w:webHidden/>
          </w:rPr>
          <w:instrText xml:space="preserve"> PAGEREF _Toc3894106 \h </w:instrText>
        </w:r>
        <w:r w:rsidR="00B22690">
          <w:rPr>
            <w:noProof/>
            <w:webHidden/>
          </w:rPr>
        </w:r>
        <w:r w:rsidR="00B22690">
          <w:rPr>
            <w:noProof/>
            <w:webHidden/>
          </w:rPr>
          <w:fldChar w:fldCharType="separate"/>
        </w:r>
        <w:r w:rsidR="00B22690">
          <w:rPr>
            <w:noProof/>
            <w:webHidden/>
          </w:rPr>
          <w:t>5</w:t>
        </w:r>
        <w:r w:rsidR="00B22690">
          <w:rPr>
            <w:noProof/>
            <w:webHidden/>
          </w:rPr>
          <w:fldChar w:fldCharType="end"/>
        </w:r>
      </w:hyperlink>
    </w:p>
    <w:p w14:paraId="353FB29F" w14:textId="6F7A2D14" w:rsidR="0085160B" w:rsidRDefault="001C4B70" w:rsidP="008E325A">
      <w:pPr>
        <w:pStyle w:val="TOC1"/>
        <w:tabs>
          <w:tab w:val="right" w:leader="dot" w:pos="9350"/>
        </w:tabs>
      </w:pPr>
      <w:r>
        <w:fldChar w:fldCharType="end"/>
      </w:r>
    </w:p>
    <w:p w14:paraId="3D205805" w14:textId="1CDD861E" w:rsidR="0090454B" w:rsidRDefault="0090454B" w:rsidP="0090454B"/>
    <w:p w14:paraId="796EFF9E" w14:textId="08ED39D0" w:rsidR="0090454B" w:rsidRDefault="0090454B" w:rsidP="0090454B"/>
    <w:p w14:paraId="0FCF9D2F" w14:textId="1AC73CDA" w:rsidR="0090454B" w:rsidRDefault="0090454B" w:rsidP="0090454B"/>
    <w:p w14:paraId="68763010" w14:textId="63C29780" w:rsidR="0090454B" w:rsidRDefault="0090454B" w:rsidP="0090454B"/>
    <w:p w14:paraId="3B3AFE2A" w14:textId="4CF7E10E" w:rsidR="0090454B" w:rsidRDefault="0090454B" w:rsidP="0090454B"/>
    <w:p w14:paraId="5C81A309" w14:textId="48456C67" w:rsidR="0090454B" w:rsidRDefault="0090454B" w:rsidP="0090454B"/>
    <w:p w14:paraId="2A5C7453" w14:textId="7174BA53" w:rsidR="0090454B" w:rsidRDefault="0090454B" w:rsidP="0090454B"/>
    <w:p w14:paraId="261CE8A8" w14:textId="27CB3237" w:rsidR="0090454B" w:rsidRDefault="0090454B" w:rsidP="0090454B"/>
    <w:p w14:paraId="3952280B" w14:textId="1C2B349B" w:rsidR="0090454B" w:rsidRDefault="0090454B" w:rsidP="0090454B"/>
    <w:p w14:paraId="408DE0C5" w14:textId="76390D5F" w:rsidR="0090454B" w:rsidRDefault="0090454B" w:rsidP="0090454B"/>
    <w:p w14:paraId="05C2F3C5" w14:textId="04EEBF2C" w:rsidR="0090454B" w:rsidRDefault="0090454B" w:rsidP="0090454B"/>
    <w:p w14:paraId="5628BFC4" w14:textId="5FA15F81" w:rsidR="0090454B" w:rsidRDefault="0090454B" w:rsidP="0090454B"/>
    <w:p w14:paraId="4CD9BF57" w14:textId="5671399E" w:rsidR="0090454B" w:rsidRDefault="0090454B" w:rsidP="0090454B"/>
    <w:p w14:paraId="50BC3EEF" w14:textId="74B3EE2E" w:rsidR="0090454B" w:rsidRDefault="0090454B" w:rsidP="0090454B"/>
    <w:p w14:paraId="35C55FA2" w14:textId="03D9F144" w:rsidR="0090454B" w:rsidRDefault="0090454B" w:rsidP="0090454B"/>
    <w:p w14:paraId="5B09790C" w14:textId="616CF5C4" w:rsidR="0090454B" w:rsidRDefault="0090454B" w:rsidP="0090454B"/>
    <w:p w14:paraId="2C1D45F5" w14:textId="61085376" w:rsidR="0090454B" w:rsidRDefault="0090454B" w:rsidP="0090454B"/>
    <w:p w14:paraId="1776BB9F" w14:textId="18CF2529" w:rsidR="0090454B" w:rsidRDefault="0090454B" w:rsidP="0090454B"/>
    <w:p w14:paraId="5DD165D7" w14:textId="5F5BF67A" w:rsidR="0090454B" w:rsidRDefault="0090454B" w:rsidP="0090454B"/>
    <w:p w14:paraId="660B7D16" w14:textId="349CFFCC" w:rsidR="0090454B" w:rsidRDefault="0090454B" w:rsidP="0090454B"/>
    <w:p w14:paraId="060E15FF" w14:textId="3D10D12D" w:rsidR="0090454B" w:rsidRDefault="0090454B" w:rsidP="0090454B"/>
    <w:p w14:paraId="49357C7F" w14:textId="77777777" w:rsidR="0090454B" w:rsidRPr="0090454B" w:rsidRDefault="0090454B" w:rsidP="0090454B"/>
    <w:p w14:paraId="67B44AF0" w14:textId="77777777" w:rsidR="009C0C85" w:rsidRPr="003F09FA" w:rsidRDefault="009C0C85" w:rsidP="009C0C85">
      <w:pPr>
        <w:pStyle w:val="PolicyElementHeader"/>
        <w:rPr>
          <w:bCs/>
          <w:color w:val="00527A"/>
        </w:rPr>
      </w:pPr>
      <w:bookmarkStart w:id="1" w:name="_Toc242151515"/>
      <w:bookmarkStart w:id="2" w:name="_Toc306278212"/>
      <w:bookmarkStart w:id="3" w:name="_Toc3894090"/>
      <w:bookmarkStart w:id="4" w:name="_Toc241985854"/>
      <w:r w:rsidRPr="003F09FA">
        <w:rPr>
          <w:bCs/>
          <w:color w:val="00527A"/>
        </w:rPr>
        <w:lastRenderedPageBreak/>
        <w:t>Purpose</w:t>
      </w:r>
      <w:bookmarkEnd w:id="1"/>
      <w:bookmarkEnd w:id="2"/>
      <w:bookmarkEnd w:id="3"/>
    </w:p>
    <w:p w14:paraId="0AABB67A" w14:textId="58D62E17" w:rsidR="009C0C85" w:rsidRPr="0077342D" w:rsidRDefault="009C0C85" w:rsidP="009C0C85">
      <w:r w:rsidRPr="00EE7D19">
        <w:t xml:space="preserve">This policy defines the requirements for establishing physical access controls at </w:t>
      </w:r>
      <w:proofErr w:type="spellStart"/>
      <w:r w:rsidR="00C819F4">
        <w:t>CompanyX</w:t>
      </w:r>
      <w:proofErr w:type="spellEnd"/>
      <w:r w:rsidR="0090454B">
        <w:t xml:space="preserve"> (the “Company”)</w:t>
      </w:r>
      <w:r w:rsidRPr="00EE7D19">
        <w:t xml:space="preserve"> locations.</w:t>
      </w:r>
    </w:p>
    <w:p w14:paraId="78841F43" w14:textId="77777777" w:rsidR="009C0C85" w:rsidRPr="003F09FA" w:rsidRDefault="009C0C85" w:rsidP="009C0C85">
      <w:pPr>
        <w:pStyle w:val="PolicyElementHeader"/>
        <w:rPr>
          <w:bCs/>
          <w:color w:val="00527A"/>
        </w:rPr>
      </w:pPr>
      <w:bookmarkStart w:id="5" w:name="_Toc242151516"/>
      <w:bookmarkStart w:id="6" w:name="_Toc306278213"/>
      <w:bookmarkStart w:id="7" w:name="_Toc3894091"/>
      <w:r w:rsidRPr="003F09FA">
        <w:rPr>
          <w:bCs/>
          <w:color w:val="00527A"/>
        </w:rPr>
        <w:t>Scope</w:t>
      </w:r>
      <w:bookmarkEnd w:id="5"/>
      <w:bookmarkEnd w:id="6"/>
      <w:bookmarkEnd w:id="7"/>
    </w:p>
    <w:p w14:paraId="7FB04F56" w14:textId="0FC68E8D" w:rsidR="009C0C85" w:rsidRPr="00CD236D" w:rsidRDefault="009C0C85" w:rsidP="009C0C85">
      <w:pPr>
        <w:rPr>
          <w:szCs w:val="22"/>
        </w:rPr>
      </w:pPr>
      <w:r w:rsidRPr="00EE7D19">
        <w:rPr>
          <w:szCs w:val="22"/>
        </w:rPr>
        <w:t xml:space="preserve">This policy applies to all </w:t>
      </w:r>
      <w:proofErr w:type="spellStart"/>
      <w:r w:rsidR="00C819F4">
        <w:rPr>
          <w:szCs w:val="22"/>
        </w:rPr>
        <w:t>CompanyX</w:t>
      </w:r>
      <w:proofErr w:type="spellEnd"/>
      <w:r w:rsidRPr="00EE7D19">
        <w:rPr>
          <w:szCs w:val="22"/>
        </w:rPr>
        <w:t xml:space="preserve"> facilities, with a target audience of all employees and </w:t>
      </w:r>
      <w:r w:rsidR="001910C7">
        <w:rPr>
          <w:szCs w:val="22"/>
        </w:rPr>
        <w:t>Third-Parties</w:t>
      </w:r>
      <w:r w:rsidRPr="00EE7D19">
        <w:rPr>
          <w:szCs w:val="22"/>
        </w:rPr>
        <w:t>.</w:t>
      </w:r>
    </w:p>
    <w:p w14:paraId="29E09C24" w14:textId="77777777" w:rsidR="009C0C85" w:rsidRPr="003F09FA" w:rsidRDefault="009C0C85" w:rsidP="009C0C85">
      <w:pPr>
        <w:pStyle w:val="PolicyElementHeader"/>
        <w:rPr>
          <w:bCs/>
          <w:color w:val="00527A"/>
        </w:rPr>
      </w:pPr>
      <w:bookmarkStart w:id="8" w:name="_Toc242151517"/>
      <w:bookmarkStart w:id="9" w:name="_Toc306278214"/>
      <w:bookmarkStart w:id="10" w:name="_Toc3894092"/>
      <w:r w:rsidRPr="003F09FA">
        <w:rPr>
          <w:bCs/>
          <w:color w:val="00527A"/>
        </w:rPr>
        <w:t>Policy</w:t>
      </w:r>
      <w:bookmarkEnd w:id="8"/>
      <w:bookmarkEnd w:id="9"/>
      <w:bookmarkEnd w:id="10"/>
    </w:p>
    <w:p w14:paraId="28D2DB55" w14:textId="77777777" w:rsidR="009C0C85" w:rsidRPr="006F33E6" w:rsidRDefault="00B22690" w:rsidP="006F33E6">
      <w:pPr>
        <w:pStyle w:val="Heading3"/>
        <w:rPr>
          <w:rStyle w:val="Strong"/>
          <w:b/>
          <w:bCs/>
        </w:rPr>
      </w:pPr>
      <w:bookmarkStart w:id="11" w:name="_Toc3894093"/>
      <w:r>
        <w:rPr>
          <w:rStyle w:val="Strong"/>
          <w:b/>
          <w:bCs/>
        </w:rPr>
        <w:t>Physical Security Perimeter</w:t>
      </w:r>
      <w:bookmarkEnd w:id="11"/>
    </w:p>
    <w:p w14:paraId="3C3525F1" w14:textId="697F715C" w:rsidR="006F33E6" w:rsidRDefault="006F33E6" w:rsidP="006F33E6">
      <w:pPr>
        <w:pStyle w:val="PolicyBodyText"/>
      </w:pPr>
      <w:r w:rsidRPr="00B721D8">
        <w:rPr>
          <w:rStyle w:val="PolicyDefinitionChar"/>
        </w:rPr>
        <w:t>Security Perimeter</w:t>
      </w:r>
      <w:r>
        <w:t xml:space="preserve"> - </w:t>
      </w:r>
      <w:r w:rsidRPr="00B721D8">
        <w:t xml:space="preserve">Access to every </w:t>
      </w:r>
      <w:proofErr w:type="spellStart"/>
      <w:r w:rsidR="00C819F4">
        <w:t>CompanyX</w:t>
      </w:r>
      <w:proofErr w:type="spellEnd"/>
      <w:r w:rsidRPr="00B721D8">
        <w:t xml:space="preserve"> secure area must be controlled by a clearly defined security perimeter.</w:t>
      </w:r>
    </w:p>
    <w:p w14:paraId="5DFD7520" w14:textId="77777777" w:rsidR="00B22690" w:rsidRPr="00B721D8" w:rsidRDefault="00B22690" w:rsidP="00B22690">
      <w:pPr>
        <w:pStyle w:val="Heading3"/>
      </w:pPr>
      <w:bookmarkStart w:id="12" w:name="_Toc3894094"/>
      <w:r>
        <w:rPr>
          <w:rStyle w:val="Strong"/>
          <w:b/>
          <w:bCs/>
        </w:rPr>
        <w:t xml:space="preserve">Physical </w:t>
      </w:r>
      <w:r w:rsidRPr="006F33E6">
        <w:rPr>
          <w:rStyle w:val="Strong"/>
          <w:b/>
          <w:bCs/>
        </w:rPr>
        <w:t>Access Control</w:t>
      </w:r>
      <w:bookmarkEnd w:id="12"/>
    </w:p>
    <w:p w14:paraId="5F834003" w14:textId="77777777" w:rsidR="009C0C85" w:rsidRDefault="009C0C85" w:rsidP="009C0C85">
      <w:pPr>
        <w:spacing w:after="120"/>
        <w:ind w:left="360"/>
      </w:pPr>
      <w:r w:rsidRPr="002B5125">
        <w:rPr>
          <w:rStyle w:val="Strong"/>
        </w:rPr>
        <w:t>Physical Access Control To Sensitive Information</w:t>
      </w:r>
      <w:r>
        <w:rPr>
          <w:rStyle w:val="Strong"/>
        </w:rPr>
        <w:t xml:space="preserve"> </w:t>
      </w:r>
      <w:r w:rsidRPr="006B4D0A">
        <w:t>- Access to every work area containing sensitive information must be physically restricted to limit access to those with a need to know.</w:t>
      </w:r>
    </w:p>
    <w:p w14:paraId="493BA8CD" w14:textId="23F6DA8E" w:rsidR="006F33E6" w:rsidRDefault="006F33E6" w:rsidP="006F33E6">
      <w:pPr>
        <w:pStyle w:val="PolicyBodyText"/>
      </w:pPr>
      <w:r w:rsidRPr="00B721D8">
        <w:rPr>
          <w:rStyle w:val="PolicyDefinitionChar"/>
        </w:rPr>
        <w:t>Guarded Access</w:t>
      </w:r>
      <w:r>
        <w:t xml:space="preserve"> - </w:t>
      </w:r>
      <w:r w:rsidRPr="00B721D8">
        <w:t xml:space="preserve">All </w:t>
      </w:r>
      <w:r w:rsidR="00FA6EA5">
        <w:t>Third-Party</w:t>
      </w:r>
      <w:r w:rsidRPr="00B721D8">
        <w:t xml:space="preserve"> access to </w:t>
      </w:r>
      <w:proofErr w:type="spellStart"/>
      <w:r w:rsidR="00C819F4">
        <w:t>CompanyX</w:t>
      </w:r>
      <w:proofErr w:type="spellEnd"/>
      <w:r w:rsidRPr="00B721D8">
        <w:t xml:space="preserve"> offices, computer facilities, and other work areas containing sensitive information must be controlled by guards, receptionists, or other staff.</w:t>
      </w:r>
    </w:p>
    <w:p w14:paraId="10C7A807" w14:textId="26385049" w:rsidR="009C0C85" w:rsidRPr="006B4D0A" w:rsidRDefault="009C0C85" w:rsidP="009C0C85">
      <w:pPr>
        <w:spacing w:after="120"/>
        <w:ind w:left="360"/>
      </w:pPr>
      <w:r w:rsidRPr="002B5125">
        <w:rPr>
          <w:rStyle w:val="Strong"/>
        </w:rPr>
        <w:t>Unauthorized Physical Access Attempts</w:t>
      </w:r>
      <w:r>
        <w:rPr>
          <w:rStyle w:val="Strong"/>
        </w:rPr>
        <w:t xml:space="preserve"> </w:t>
      </w:r>
      <w:r w:rsidRPr="006B4D0A">
        <w:t xml:space="preserve">- Workers must not attempt to enter restricted areas in </w:t>
      </w:r>
      <w:proofErr w:type="spellStart"/>
      <w:r w:rsidR="00C819F4">
        <w:t>CompanyX</w:t>
      </w:r>
      <w:proofErr w:type="spellEnd"/>
      <w:r w:rsidRPr="006B4D0A">
        <w:t xml:space="preserve"> buildings for which they have not received access authorization.</w:t>
      </w:r>
    </w:p>
    <w:p w14:paraId="5685C911" w14:textId="66C38085" w:rsidR="009C0C85" w:rsidRDefault="009C0C85" w:rsidP="009C0C85">
      <w:pPr>
        <w:spacing w:after="120"/>
        <w:ind w:left="360"/>
      </w:pPr>
      <w:r w:rsidRPr="002B5125">
        <w:rPr>
          <w:rStyle w:val="Strong"/>
        </w:rPr>
        <w:t>Terminated Worker Access To Restricted Areas</w:t>
      </w:r>
      <w:r>
        <w:rPr>
          <w:rStyle w:val="Strong"/>
        </w:rPr>
        <w:t xml:space="preserve"> </w:t>
      </w:r>
      <w:r w:rsidRPr="006B4D0A">
        <w:t xml:space="preserve">- Whenever a worker terminates his or her working relationship with </w:t>
      </w:r>
      <w:proofErr w:type="spellStart"/>
      <w:r w:rsidR="00C819F4">
        <w:t>CompanyX</w:t>
      </w:r>
      <w:proofErr w:type="spellEnd"/>
      <w:r w:rsidRPr="006B4D0A">
        <w:t xml:space="preserve">, all access rights to </w:t>
      </w:r>
      <w:proofErr w:type="spellStart"/>
      <w:r w:rsidR="00C819F4">
        <w:t>CompanyX</w:t>
      </w:r>
      <w:proofErr w:type="spellEnd"/>
      <w:r w:rsidRPr="006B4D0A">
        <w:t xml:space="preserve"> restricted areas must be immediately revoked.</w:t>
      </w:r>
    </w:p>
    <w:p w14:paraId="657F77AD" w14:textId="5AA20192" w:rsidR="009C0C85" w:rsidRPr="002B5125" w:rsidRDefault="009C0C85" w:rsidP="009C0C85">
      <w:pPr>
        <w:spacing w:after="120"/>
        <w:ind w:left="360"/>
        <w:rPr>
          <w:rStyle w:val="Strong"/>
        </w:rPr>
      </w:pPr>
      <w:r w:rsidRPr="002B5125">
        <w:rPr>
          <w:rStyle w:val="Strong"/>
        </w:rPr>
        <w:t>Restricted Area Working Hours</w:t>
      </w:r>
      <w:r>
        <w:rPr>
          <w:rStyle w:val="Strong"/>
        </w:rPr>
        <w:t xml:space="preserve"> </w:t>
      </w:r>
      <w:r w:rsidRPr="006B4D0A">
        <w:t xml:space="preserve">- Authorized workers must not access restricted </w:t>
      </w:r>
      <w:proofErr w:type="spellStart"/>
      <w:r w:rsidR="00C819F4">
        <w:t>CompanyX</w:t>
      </w:r>
      <w:proofErr w:type="spellEnd"/>
      <w:r w:rsidRPr="006B4D0A">
        <w:t xml:space="preserve"> facilities where sensitive, critical, or valuable information is handled at any time other than authorized access hours.</w:t>
      </w:r>
    </w:p>
    <w:p w14:paraId="661F1444" w14:textId="77777777" w:rsidR="009C0C85" w:rsidRPr="0003227A" w:rsidRDefault="009C0C85" w:rsidP="009C0C85">
      <w:pPr>
        <w:pStyle w:val="Heading3"/>
      </w:pPr>
      <w:bookmarkStart w:id="13" w:name="_Toc3894095"/>
      <w:r>
        <w:t>Access Control Monitoring</w:t>
      </w:r>
      <w:bookmarkEnd w:id="13"/>
    </w:p>
    <w:p w14:paraId="51596E89" w14:textId="227197BD" w:rsidR="006F33E6" w:rsidRPr="002B5125" w:rsidRDefault="006F33E6" w:rsidP="006F33E6">
      <w:pPr>
        <w:spacing w:after="120"/>
        <w:ind w:left="360"/>
        <w:rPr>
          <w:rStyle w:val="Strong"/>
        </w:rPr>
      </w:pPr>
      <w:r w:rsidRPr="002B5125">
        <w:rPr>
          <w:rStyle w:val="Strong"/>
        </w:rPr>
        <w:t>Access Control System Records</w:t>
      </w:r>
      <w:r>
        <w:rPr>
          <w:rStyle w:val="Strong"/>
        </w:rPr>
        <w:t xml:space="preserve"> </w:t>
      </w:r>
      <w:r w:rsidRPr="006B4D0A">
        <w:t xml:space="preserve">- The Security Department must maintain records of the persons currently and previously inside </w:t>
      </w:r>
      <w:proofErr w:type="spellStart"/>
      <w:r w:rsidR="00C819F4">
        <w:t>CompanyX</w:t>
      </w:r>
      <w:proofErr w:type="spellEnd"/>
      <w:r w:rsidRPr="006B4D0A">
        <w:t xml:space="preserve"> buildings and securely retain this information for at least three months.</w:t>
      </w:r>
    </w:p>
    <w:p w14:paraId="6EF264F1" w14:textId="77777777" w:rsidR="009C0C85" w:rsidRPr="002B5125" w:rsidRDefault="009C0C85" w:rsidP="009C0C85">
      <w:pPr>
        <w:spacing w:after="120"/>
        <w:ind w:left="360"/>
        <w:rPr>
          <w:b/>
          <w:bCs/>
        </w:rPr>
      </w:pPr>
      <w:r w:rsidRPr="002B5125">
        <w:rPr>
          <w:b/>
          <w:bCs/>
        </w:rPr>
        <w:t xml:space="preserve">Physical Access Monitoring </w:t>
      </w:r>
      <w:r w:rsidRPr="00686D04">
        <w:rPr>
          <w:rStyle w:val="Strong"/>
        </w:rPr>
        <w:t xml:space="preserve">- Method </w:t>
      </w:r>
      <w:r w:rsidRPr="002B5125">
        <w:t>- Video cameras or other access control mechanisms that monitor the entry and exit points to secure areas must be in place.</w:t>
      </w:r>
    </w:p>
    <w:p w14:paraId="64177652" w14:textId="77777777" w:rsidR="009C0C85" w:rsidRDefault="009C0C85" w:rsidP="009C0C85">
      <w:pPr>
        <w:spacing w:after="120"/>
        <w:ind w:left="360"/>
      </w:pPr>
      <w:r w:rsidRPr="002B5125">
        <w:rPr>
          <w:b/>
          <w:bCs/>
        </w:rPr>
        <w:t xml:space="preserve">Physical Access Monitoring - Security </w:t>
      </w:r>
      <w:r w:rsidRPr="002B5125">
        <w:t>- Video cameras or other access control mechanisms that monitor secure areas must be protected from tampering and disabling.</w:t>
      </w:r>
    </w:p>
    <w:p w14:paraId="732322E5" w14:textId="77777777" w:rsidR="00B22690" w:rsidRPr="002B5125" w:rsidRDefault="00B22690" w:rsidP="00B22690">
      <w:pPr>
        <w:pStyle w:val="Heading3"/>
      </w:pPr>
      <w:bookmarkStart w:id="14" w:name="_Toc3894096"/>
      <w:r>
        <w:t>Physical Access Authorization</w:t>
      </w:r>
      <w:bookmarkEnd w:id="14"/>
    </w:p>
    <w:p w14:paraId="25FE95BE" w14:textId="232E2EDE" w:rsidR="009C0C85" w:rsidRPr="002B5125" w:rsidRDefault="009C0C85" w:rsidP="009C0C85">
      <w:pPr>
        <w:spacing w:after="120"/>
        <w:ind w:left="360"/>
        <w:rPr>
          <w:b/>
          <w:bCs/>
        </w:rPr>
      </w:pPr>
      <w:r w:rsidRPr="002B5125">
        <w:rPr>
          <w:b/>
          <w:bCs/>
        </w:rPr>
        <w:lastRenderedPageBreak/>
        <w:t xml:space="preserve">Physical Access Badge Procedures </w:t>
      </w:r>
      <w:r w:rsidRPr="002B5125">
        <w:t xml:space="preserve">- Procedures must be developed and implemented that control the issuance, modification, and revocation of </w:t>
      </w:r>
      <w:proofErr w:type="spellStart"/>
      <w:r w:rsidR="00C819F4">
        <w:t>CompanyX</w:t>
      </w:r>
      <w:proofErr w:type="spellEnd"/>
      <w:r w:rsidRPr="002B5125">
        <w:t xml:space="preserve"> physical access badges.</w:t>
      </w:r>
    </w:p>
    <w:p w14:paraId="32C358E4" w14:textId="5A7BA8E0" w:rsidR="009C0C85" w:rsidRDefault="009C0C85" w:rsidP="009C0C85">
      <w:pPr>
        <w:spacing w:after="120"/>
        <w:ind w:left="360"/>
      </w:pPr>
      <w:r w:rsidRPr="002B5125">
        <w:rPr>
          <w:b/>
          <w:bCs/>
        </w:rPr>
        <w:t xml:space="preserve">Physical Access Badge System Access </w:t>
      </w:r>
      <w:r w:rsidRPr="002B5125">
        <w:t xml:space="preserve">- Access to the system that controls the </w:t>
      </w:r>
      <w:proofErr w:type="spellStart"/>
      <w:r w:rsidR="00C819F4">
        <w:t>CompanyX</w:t>
      </w:r>
      <w:proofErr w:type="spellEnd"/>
      <w:r w:rsidRPr="002B5125">
        <w:t xml:space="preserve"> physical access badges must be limited to only those employees with the responsibility to issue, modify, or revoke physical access badges.</w:t>
      </w:r>
    </w:p>
    <w:p w14:paraId="0B35E585" w14:textId="77777777" w:rsidR="009C0C85" w:rsidRPr="0003227A" w:rsidRDefault="009C0C85" w:rsidP="009C0C85">
      <w:pPr>
        <w:pStyle w:val="Heading3"/>
      </w:pPr>
      <w:bookmarkStart w:id="15" w:name="_Toc3894097"/>
      <w:r w:rsidRPr="0003227A">
        <w:t>Access Badges</w:t>
      </w:r>
      <w:bookmarkEnd w:id="15"/>
    </w:p>
    <w:p w14:paraId="2DB2C5C2" w14:textId="114864BC" w:rsidR="00837B45" w:rsidRPr="002B5125" w:rsidRDefault="00837B45" w:rsidP="00837B45">
      <w:pPr>
        <w:spacing w:after="120"/>
        <w:ind w:left="360"/>
        <w:rPr>
          <w:rStyle w:val="Strong"/>
        </w:rPr>
      </w:pPr>
      <w:r w:rsidRPr="002B5125">
        <w:rPr>
          <w:rStyle w:val="Strong"/>
        </w:rPr>
        <w:t>Badge-Controlled Access</w:t>
      </w:r>
      <w:r>
        <w:rPr>
          <w:rStyle w:val="Strong"/>
        </w:rPr>
        <w:t xml:space="preserve"> </w:t>
      </w:r>
      <w:r w:rsidRPr="006B4D0A">
        <w:t xml:space="preserve">- Each person must present his or her badge to the badge reader before entering every controlled door within </w:t>
      </w:r>
      <w:proofErr w:type="spellStart"/>
      <w:r w:rsidR="00C819F4">
        <w:t>CompanyX</w:t>
      </w:r>
      <w:proofErr w:type="spellEnd"/>
      <w:r w:rsidRPr="006B4D0A">
        <w:t xml:space="preserve"> premises.</w:t>
      </w:r>
    </w:p>
    <w:p w14:paraId="3E595DEC" w14:textId="2CCA61F2" w:rsidR="009C0C85" w:rsidRDefault="009C0C85" w:rsidP="009C0C85">
      <w:pPr>
        <w:spacing w:after="120"/>
        <w:ind w:left="360"/>
      </w:pPr>
      <w:r w:rsidRPr="002B5125">
        <w:rPr>
          <w:rStyle w:val="Strong"/>
        </w:rPr>
        <w:t>Identification Badges</w:t>
      </w:r>
      <w:r>
        <w:rPr>
          <w:rStyle w:val="Strong"/>
        </w:rPr>
        <w:t xml:space="preserve"> </w:t>
      </w:r>
      <w:r w:rsidRPr="006B4D0A">
        <w:t xml:space="preserve">- When in </w:t>
      </w:r>
      <w:proofErr w:type="spellStart"/>
      <w:r w:rsidR="00C819F4">
        <w:t>CompanyX</w:t>
      </w:r>
      <w:proofErr w:type="spellEnd"/>
      <w:r w:rsidRPr="006B4D0A">
        <w:t xml:space="preserve"> secure buildings or facilities, all persons must wear an identification badge on their outer garments so that both the picture and information on the badge are clearly visible to all people with whom the wearer converses.</w:t>
      </w:r>
    </w:p>
    <w:p w14:paraId="0574F44A" w14:textId="3537E4CF" w:rsidR="009C0C85" w:rsidRDefault="009C0C85" w:rsidP="009C0C85">
      <w:pPr>
        <w:spacing w:after="120"/>
        <w:ind w:left="360"/>
        <w:rPr>
          <w:rStyle w:val="Strong"/>
        </w:rPr>
      </w:pPr>
      <w:r w:rsidRPr="002B5125">
        <w:rPr>
          <w:rStyle w:val="Strong"/>
        </w:rPr>
        <w:t>Securing Identification Badges</w:t>
      </w:r>
      <w:r>
        <w:rPr>
          <w:rStyle w:val="Strong"/>
        </w:rPr>
        <w:t xml:space="preserve"> </w:t>
      </w:r>
      <w:r w:rsidRPr="002B5125">
        <w:t xml:space="preserve">- When off </w:t>
      </w:r>
      <w:proofErr w:type="spellStart"/>
      <w:r w:rsidR="00C819F4">
        <w:t>CompanyX</w:t>
      </w:r>
      <w:proofErr w:type="spellEnd"/>
      <w:r w:rsidRPr="002B5125">
        <w:t xml:space="preserve"> premises, workers must protect their identification badges with the same level of protection as their wallets and credit cards.</w:t>
      </w:r>
    </w:p>
    <w:p w14:paraId="72CC6E48" w14:textId="257C563D" w:rsidR="009C0C85" w:rsidRPr="002B5125" w:rsidRDefault="009C0C85" w:rsidP="009C0C85">
      <w:pPr>
        <w:spacing w:after="120"/>
        <w:ind w:left="360"/>
        <w:rPr>
          <w:rStyle w:val="Strong"/>
        </w:rPr>
      </w:pPr>
      <w:r w:rsidRPr="002B5125">
        <w:rPr>
          <w:rStyle w:val="Strong"/>
        </w:rPr>
        <w:t>Removing Identification Badges</w:t>
      </w:r>
      <w:r>
        <w:rPr>
          <w:rStyle w:val="Strong"/>
        </w:rPr>
        <w:t xml:space="preserve"> </w:t>
      </w:r>
      <w:r w:rsidRPr="002B5125">
        <w:t xml:space="preserve">- Immediately after workers leave </w:t>
      </w:r>
      <w:proofErr w:type="spellStart"/>
      <w:r w:rsidR="00C819F4">
        <w:t>CompanyX</w:t>
      </w:r>
      <w:proofErr w:type="spellEnd"/>
      <w:r w:rsidRPr="002B5125">
        <w:t xml:space="preserve"> facilities, they must remove their identification badges and store them in a safe and convenient place away from public view.</w:t>
      </w:r>
    </w:p>
    <w:p w14:paraId="27AFB13A" w14:textId="77777777" w:rsidR="009C0C85" w:rsidRPr="002B5125" w:rsidRDefault="009C0C85" w:rsidP="009C0C85">
      <w:pPr>
        <w:spacing w:after="120"/>
        <w:ind w:left="360"/>
        <w:rPr>
          <w:rStyle w:val="Strong"/>
        </w:rPr>
      </w:pPr>
      <w:r w:rsidRPr="002B5125">
        <w:rPr>
          <w:rStyle w:val="Strong"/>
        </w:rPr>
        <w:t>Temporary Badges</w:t>
      </w:r>
      <w:r>
        <w:rPr>
          <w:rStyle w:val="Strong"/>
        </w:rPr>
        <w:t xml:space="preserve"> </w:t>
      </w:r>
      <w:r w:rsidRPr="006B4D0A">
        <w:t>- Workers who have forgotten their identification badge must obtain a one-day temporary badge by providing a driver’s license or another piece of picture identification.</w:t>
      </w:r>
    </w:p>
    <w:p w14:paraId="1A2EB54C" w14:textId="77777777" w:rsidR="009C0C85" w:rsidRPr="002B5125" w:rsidRDefault="009C0C85" w:rsidP="009C0C85">
      <w:pPr>
        <w:spacing w:after="120"/>
        <w:ind w:left="360"/>
        <w:rPr>
          <w:rStyle w:val="Strong"/>
        </w:rPr>
      </w:pPr>
      <w:r w:rsidRPr="002B5125">
        <w:rPr>
          <w:rStyle w:val="Strong"/>
        </w:rPr>
        <w:t>Badge Access Sharing</w:t>
      </w:r>
      <w:r>
        <w:rPr>
          <w:rStyle w:val="Strong"/>
        </w:rPr>
        <w:t xml:space="preserve"> </w:t>
      </w:r>
      <w:r w:rsidRPr="006B4D0A">
        <w:t>- Workers must not permit unknown or unauthorized persons to pass through doors, gates, and other entrances to restricted areas at the same time when authorized persons go through these entrances.</w:t>
      </w:r>
    </w:p>
    <w:p w14:paraId="0CEDD312" w14:textId="15A88E0B" w:rsidR="009C0C85" w:rsidRPr="002B5125" w:rsidRDefault="009C0C85" w:rsidP="009C0C85">
      <w:pPr>
        <w:spacing w:after="120"/>
        <w:ind w:left="360"/>
        <w:rPr>
          <w:rStyle w:val="Strong"/>
        </w:rPr>
      </w:pPr>
      <w:r w:rsidRPr="002B5125">
        <w:rPr>
          <w:rStyle w:val="Strong"/>
        </w:rPr>
        <w:t>Individuals Without Identification Badges</w:t>
      </w:r>
      <w:r>
        <w:rPr>
          <w:rStyle w:val="Strong"/>
        </w:rPr>
        <w:t xml:space="preserve"> </w:t>
      </w:r>
      <w:r w:rsidRPr="006B4D0A">
        <w:t xml:space="preserve">- Individuals without a proper </w:t>
      </w:r>
      <w:proofErr w:type="spellStart"/>
      <w:r w:rsidR="00C819F4">
        <w:t>CompanyX</w:t>
      </w:r>
      <w:proofErr w:type="spellEnd"/>
      <w:r w:rsidRPr="006B4D0A">
        <w:t xml:space="preserve"> identification badge in a clearly visible place must be immediately questioned about their badge and if they cannot promptly produce a valid badge, they must be escorted to the receptionist desk.</w:t>
      </w:r>
    </w:p>
    <w:p w14:paraId="1AC6FE55" w14:textId="77777777" w:rsidR="009C0C85" w:rsidRPr="006F33E6" w:rsidRDefault="009C0C85" w:rsidP="006F33E6">
      <w:pPr>
        <w:pStyle w:val="Heading3"/>
        <w:rPr>
          <w:rStyle w:val="Strong"/>
          <w:b/>
          <w:bCs/>
        </w:rPr>
      </w:pPr>
      <w:bookmarkStart w:id="16" w:name="_Toc3894098"/>
      <w:r w:rsidRPr="006F33E6">
        <w:rPr>
          <w:rStyle w:val="Strong"/>
          <w:b/>
          <w:bCs/>
        </w:rPr>
        <w:t>Visitor</w:t>
      </w:r>
      <w:r w:rsidR="006F1EF4">
        <w:rPr>
          <w:rStyle w:val="Strong"/>
          <w:b/>
          <w:bCs/>
        </w:rPr>
        <w:t xml:space="preserve"> Handling</w:t>
      </w:r>
      <w:bookmarkEnd w:id="16"/>
    </w:p>
    <w:p w14:paraId="5F17BD79" w14:textId="75AA3BC3" w:rsidR="009C0C85" w:rsidRPr="002B5125" w:rsidRDefault="009C0C85" w:rsidP="009C0C85">
      <w:pPr>
        <w:spacing w:after="120"/>
        <w:ind w:left="360"/>
        <w:rPr>
          <w:rStyle w:val="Strong"/>
        </w:rPr>
      </w:pPr>
      <w:r w:rsidRPr="002B5125">
        <w:rPr>
          <w:rStyle w:val="Strong"/>
        </w:rPr>
        <w:t>Visitor Identification</w:t>
      </w:r>
      <w:r>
        <w:rPr>
          <w:rStyle w:val="Strong"/>
        </w:rPr>
        <w:t xml:space="preserve"> </w:t>
      </w:r>
      <w:r w:rsidRPr="002B5125">
        <w:t xml:space="preserve">- All visitors to </w:t>
      </w:r>
      <w:proofErr w:type="spellStart"/>
      <w:r w:rsidR="00C819F4">
        <w:t>CompanyX</w:t>
      </w:r>
      <w:proofErr w:type="spellEnd"/>
      <w:r w:rsidRPr="002B5125">
        <w:t xml:space="preserve"> must show picture identification and sign a log prior to gaining access to restricted areas.</w:t>
      </w:r>
    </w:p>
    <w:p w14:paraId="2CCCA672" w14:textId="52E481D0" w:rsidR="009C0C85" w:rsidRPr="002B5125" w:rsidRDefault="009C0C85" w:rsidP="009C0C85">
      <w:pPr>
        <w:spacing w:after="120"/>
        <w:ind w:left="360"/>
        <w:rPr>
          <w:rStyle w:val="Strong"/>
        </w:rPr>
      </w:pPr>
      <w:r w:rsidRPr="002B5125">
        <w:rPr>
          <w:rStyle w:val="Strong"/>
        </w:rPr>
        <w:t>Escorting Visitors</w:t>
      </w:r>
      <w:r>
        <w:rPr>
          <w:rStyle w:val="Strong"/>
        </w:rPr>
        <w:t xml:space="preserve"> </w:t>
      </w:r>
      <w:r w:rsidRPr="002B5125">
        <w:t xml:space="preserve">- Visitors to </w:t>
      </w:r>
      <w:proofErr w:type="spellStart"/>
      <w:r w:rsidR="00C819F4">
        <w:t>CompanyX</w:t>
      </w:r>
      <w:proofErr w:type="spellEnd"/>
      <w:r w:rsidRPr="002B5125">
        <w:t xml:space="preserve"> offices including, but not limited to, customers, former employees, worker family members, equipment repair contractors, package delivery company staff, and police officers, must be escorted at all times by an authorized worker.</w:t>
      </w:r>
    </w:p>
    <w:p w14:paraId="421A34F0" w14:textId="77777777" w:rsidR="009C0C85" w:rsidRPr="002B5125" w:rsidRDefault="009C0C85" w:rsidP="009C0C85">
      <w:pPr>
        <w:spacing w:after="120"/>
        <w:ind w:left="360"/>
        <w:rPr>
          <w:rStyle w:val="Strong"/>
        </w:rPr>
      </w:pPr>
      <w:r w:rsidRPr="002B5125">
        <w:rPr>
          <w:rStyle w:val="Strong"/>
        </w:rPr>
        <w:t>Visitor Badge - Identification</w:t>
      </w:r>
      <w:r>
        <w:rPr>
          <w:rStyle w:val="Strong"/>
        </w:rPr>
        <w:t xml:space="preserve"> </w:t>
      </w:r>
      <w:r w:rsidRPr="002B5125">
        <w:t>- All visitors must be provided with a badge that clearly identifies them as a non-employee.</w:t>
      </w:r>
    </w:p>
    <w:p w14:paraId="026DA6A5" w14:textId="77777777" w:rsidR="009C0C85" w:rsidRPr="002B5125" w:rsidRDefault="009C0C85" w:rsidP="009C0C85">
      <w:pPr>
        <w:spacing w:after="120"/>
        <w:ind w:left="360"/>
        <w:rPr>
          <w:rStyle w:val="Strong"/>
        </w:rPr>
      </w:pPr>
      <w:r w:rsidRPr="002B5125">
        <w:rPr>
          <w:rStyle w:val="Strong"/>
        </w:rPr>
        <w:t xml:space="preserve">Visitor Badge </w:t>
      </w:r>
      <w:r w:rsidRPr="00686D04">
        <w:rPr>
          <w:b/>
        </w:rPr>
        <w:t xml:space="preserve">- Expiration </w:t>
      </w:r>
      <w:r w:rsidRPr="002B5125">
        <w:t>- All visitor badges must be set to expire no longer than the end of the current day.</w:t>
      </w:r>
    </w:p>
    <w:p w14:paraId="439EB80C" w14:textId="09DA8277" w:rsidR="009C0C85" w:rsidRPr="002B5125" w:rsidRDefault="009C0C85" w:rsidP="009C0C85">
      <w:pPr>
        <w:spacing w:after="120"/>
        <w:ind w:left="360"/>
        <w:rPr>
          <w:rStyle w:val="Strong"/>
        </w:rPr>
      </w:pPr>
      <w:r w:rsidRPr="002B5125">
        <w:rPr>
          <w:rStyle w:val="Strong"/>
        </w:rPr>
        <w:lastRenderedPageBreak/>
        <w:t xml:space="preserve">Visitor Badge </w:t>
      </w:r>
      <w:r w:rsidRPr="00686D04">
        <w:rPr>
          <w:b/>
        </w:rPr>
        <w:t>- Surrender</w:t>
      </w:r>
      <w:r w:rsidRPr="006B4D0A">
        <w:t xml:space="preserve"> - All visitors must surrender their badge to the issuing party or their employee escort before leaving any </w:t>
      </w:r>
      <w:proofErr w:type="spellStart"/>
      <w:r w:rsidR="00C819F4">
        <w:t>CompanyX</w:t>
      </w:r>
      <w:proofErr w:type="spellEnd"/>
      <w:r w:rsidRPr="006B4D0A">
        <w:t xml:space="preserve"> facility.</w:t>
      </w:r>
    </w:p>
    <w:p w14:paraId="3B076F5E" w14:textId="0A9D440F" w:rsidR="009C0C85" w:rsidRPr="002B5125" w:rsidRDefault="009C0C85" w:rsidP="009C0C85">
      <w:pPr>
        <w:spacing w:after="120"/>
        <w:ind w:left="360"/>
        <w:rPr>
          <w:rStyle w:val="Strong"/>
        </w:rPr>
      </w:pPr>
      <w:r w:rsidRPr="002B5125">
        <w:rPr>
          <w:rStyle w:val="Strong"/>
        </w:rPr>
        <w:t>Visitor Log - Contents</w:t>
      </w:r>
      <w:r>
        <w:rPr>
          <w:rStyle w:val="Strong"/>
        </w:rPr>
        <w:t xml:space="preserve"> </w:t>
      </w:r>
      <w:r w:rsidRPr="002B5125">
        <w:t xml:space="preserve">- A visitor log must be maintained that contains the visitor's name, the firm represented, and the employee authorizing physical access to any </w:t>
      </w:r>
      <w:proofErr w:type="spellStart"/>
      <w:r w:rsidR="00C819F4">
        <w:t>CompanyX</w:t>
      </w:r>
      <w:proofErr w:type="spellEnd"/>
      <w:r w:rsidRPr="002B5125">
        <w:t xml:space="preserve"> facility.</w:t>
      </w:r>
    </w:p>
    <w:p w14:paraId="27482CCF" w14:textId="77777777" w:rsidR="009C0C85" w:rsidRPr="0003227A" w:rsidRDefault="009C0C85" w:rsidP="009C0C85">
      <w:pPr>
        <w:spacing w:after="120"/>
        <w:ind w:left="360"/>
        <w:rPr>
          <w:rStyle w:val="Strong"/>
          <w:b w:val="0"/>
          <w:bCs w:val="0"/>
        </w:rPr>
      </w:pPr>
      <w:r w:rsidRPr="002B5125">
        <w:rPr>
          <w:rStyle w:val="Strong"/>
        </w:rPr>
        <w:t>Visitor Log - Retention</w:t>
      </w:r>
      <w:r>
        <w:rPr>
          <w:rStyle w:val="Strong"/>
        </w:rPr>
        <w:t xml:space="preserve"> </w:t>
      </w:r>
      <w:r w:rsidRPr="002B5125">
        <w:t>- Visitor logs must be retained for at least three months.</w:t>
      </w:r>
    </w:p>
    <w:p w14:paraId="16EBDBDE" w14:textId="53724CB1" w:rsidR="009C0C85" w:rsidRPr="002B5125" w:rsidRDefault="009C0C85" w:rsidP="009C0C85">
      <w:pPr>
        <w:spacing w:after="120"/>
        <w:ind w:left="360"/>
        <w:rPr>
          <w:rStyle w:val="Strong"/>
        </w:rPr>
      </w:pPr>
      <w:r w:rsidRPr="002B5125">
        <w:rPr>
          <w:rStyle w:val="Strong"/>
        </w:rPr>
        <w:t>Unescorted Visitors</w:t>
      </w:r>
      <w:r>
        <w:rPr>
          <w:rStyle w:val="Strong"/>
        </w:rPr>
        <w:t xml:space="preserve"> </w:t>
      </w:r>
      <w:r w:rsidRPr="002B5125">
        <w:t xml:space="preserve">- Whenever a worker notices an unescorted visitor inside </w:t>
      </w:r>
      <w:proofErr w:type="spellStart"/>
      <w:r w:rsidR="00C819F4">
        <w:t>CompanyX</w:t>
      </w:r>
      <w:proofErr w:type="spellEnd"/>
      <w:r w:rsidRPr="002B5125">
        <w:t xml:space="preserve"> restricted areas, the visitor must be questioned about the purpose for being in restricted areas, then be accompanied to a reception desk, a guard station, or the person they came to see.</w:t>
      </w:r>
    </w:p>
    <w:p w14:paraId="715E7EE1" w14:textId="77777777" w:rsidR="009C0C85" w:rsidRPr="006F33E6" w:rsidRDefault="009C0C85" w:rsidP="006F33E6">
      <w:pPr>
        <w:pStyle w:val="Heading3"/>
        <w:rPr>
          <w:rStyle w:val="Strong"/>
          <w:b/>
          <w:bCs/>
        </w:rPr>
      </w:pPr>
      <w:bookmarkStart w:id="17" w:name="_Toc3894099"/>
      <w:r w:rsidRPr="006F33E6">
        <w:rPr>
          <w:rStyle w:val="Strong"/>
          <w:b/>
          <w:bCs/>
        </w:rPr>
        <w:t>Access Review</w:t>
      </w:r>
      <w:bookmarkEnd w:id="17"/>
    </w:p>
    <w:p w14:paraId="51367686" w14:textId="77777777" w:rsidR="009C0C85" w:rsidRDefault="009C0C85" w:rsidP="009C0C85">
      <w:pPr>
        <w:spacing w:after="120"/>
        <w:ind w:left="360"/>
        <w:rPr>
          <w:rStyle w:val="Strong"/>
        </w:rPr>
      </w:pPr>
      <w:r w:rsidRPr="002B5125">
        <w:rPr>
          <w:rStyle w:val="Strong"/>
        </w:rPr>
        <w:t>Physical Access Monitoring - Data Review</w:t>
      </w:r>
      <w:r>
        <w:rPr>
          <w:rStyle w:val="Strong"/>
        </w:rPr>
        <w:t xml:space="preserve"> </w:t>
      </w:r>
      <w:r w:rsidRPr="002B5125">
        <w:t>- The data that is produced by video cameras or other access control mechanisms that monitor the entry and exit points to secure areas must be monitored.</w:t>
      </w:r>
    </w:p>
    <w:p w14:paraId="316DC507" w14:textId="77777777" w:rsidR="009C0C85" w:rsidRPr="006F33E6" w:rsidRDefault="006F33E6" w:rsidP="006F33E6">
      <w:pPr>
        <w:pStyle w:val="Heading3"/>
        <w:rPr>
          <w:rStyle w:val="Strong"/>
          <w:b/>
          <w:bCs/>
        </w:rPr>
      </w:pPr>
      <w:bookmarkStart w:id="18" w:name="_Toc3894100"/>
      <w:r w:rsidRPr="006F33E6">
        <w:rPr>
          <w:rStyle w:val="Strong"/>
          <w:b/>
          <w:bCs/>
        </w:rPr>
        <w:t xml:space="preserve">Access </w:t>
      </w:r>
      <w:r w:rsidR="009C0C85" w:rsidRPr="006F33E6">
        <w:rPr>
          <w:rStyle w:val="Strong"/>
          <w:b/>
          <w:bCs/>
        </w:rPr>
        <w:t>Testing</w:t>
      </w:r>
      <w:bookmarkEnd w:id="18"/>
    </w:p>
    <w:p w14:paraId="5B2C68EB" w14:textId="6DC7083C" w:rsidR="009C0C85" w:rsidRDefault="009C0C85" w:rsidP="009C0C85">
      <w:pPr>
        <w:spacing w:after="120"/>
        <w:ind w:left="360"/>
        <w:rPr>
          <w:rStyle w:val="Strong"/>
        </w:rPr>
      </w:pPr>
      <w:r w:rsidRPr="002B5125">
        <w:rPr>
          <w:rStyle w:val="Strong"/>
        </w:rPr>
        <w:t>Testing of Physical Security Perimeter</w:t>
      </w:r>
      <w:r>
        <w:rPr>
          <w:rStyle w:val="Strong"/>
        </w:rPr>
        <w:t xml:space="preserve"> </w:t>
      </w:r>
      <w:r w:rsidRPr="002B5125">
        <w:t xml:space="preserve">- </w:t>
      </w:r>
      <w:proofErr w:type="spellStart"/>
      <w:r w:rsidR="00C819F4">
        <w:t>CompanyX</w:t>
      </w:r>
      <w:proofErr w:type="spellEnd"/>
      <w:r w:rsidRPr="002B5125">
        <w:t xml:space="preserve"> will perform a comprehensive testing of the physical security controls of each location at least annually.  This testing includes at the minimum physical access controls, physical access monitoring controls and logging controls.</w:t>
      </w:r>
    </w:p>
    <w:p w14:paraId="51C1F53C" w14:textId="4FBA8205" w:rsidR="009C0C85" w:rsidRDefault="009C0C85" w:rsidP="009C0C85">
      <w:pPr>
        <w:spacing w:after="120"/>
        <w:ind w:left="360"/>
      </w:pPr>
      <w:r w:rsidRPr="002B5125">
        <w:rPr>
          <w:rStyle w:val="Strong"/>
        </w:rPr>
        <w:t>Third-Party Physical Penetration Testing Required</w:t>
      </w:r>
      <w:r>
        <w:rPr>
          <w:rStyle w:val="Strong"/>
        </w:rPr>
        <w:t xml:space="preserve"> </w:t>
      </w:r>
      <w:r w:rsidRPr="002B5125">
        <w:t xml:space="preserve">- </w:t>
      </w:r>
      <w:proofErr w:type="spellStart"/>
      <w:r w:rsidR="00C819F4">
        <w:t>CompanyX</w:t>
      </w:r>
      <w:proofErr w:type="spellEnd"/>
      <w:r w:rsidRPr="002B5125">
        <w:t xml:space="preserve"> must hire a qualified, independent </w:t>
      </w:r>
      <w:r w:rsidR="00FA6EA5">
        <w:t>Third-Party</w:t>
      </w:r>
      <w:r w:rsidRPr="002B5125">
        <w:t xml:space="preserve"> to conduct a physical security penetration test at least once a year.</w:t>
      </w:r>
    </w:p>
    <w:p w14:paraId="18E9CDED" w14:textId="77777777" w:rsidR="00A437C9" w:rsidRPr="00074BA0" w:rsidRDefault="00924538" w:rsidP="00074BA0">
      <w:pPr>
        <w:pStyle w:val="PolicyElementHeader"/>
        <w:rPr>
          <w:bCs/>
          <w:color w:val="00527A"/>
        </w:rPr>
      </w:pPr>
      <w:bookmarkStart w:id="19" w:name="_Toc3894101"/>
      <w:r>
        <w:rPr>
          <w:bCs/>
          <w:color w:val="00527A"/>
        </w:rPr>
        <w:t>Violations</w:t>
      </w:r>
      <w:bookmarkEnd w:id="4"/>
      <w:bookmarkEnd w:id="19"/>
    </w:p>
    <w:p w14:paraId="5C8DA961" w14:textId="66896D2C"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C819F4">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C819F4">
        <w:rPr>
          <w:rFonts w:eastAsia="MS Mincho"/>
        </w:rPr>
        <w:t>CompanyX</w:t>
      </w:r>
      <w:proofErr w:type="spellEnd"/>
      <w:r w:rsidRPr="002A7256">
        <w:rPr>
          <w:rFonts w:eastAsia="MS Mincho"/>
        </w:rPr>
        <w:t xml:space="preserve"> does not consider conduct in violation of this policy to be within an employee’s or </w:t>
      </w:r>
      <w:r w:rsidR="001910C7">
        <w:rPr>
          <w:rFonts w:eastAsia="MS Mincho"/>
        </w:rPr>
        <w:t>Third-Party</w:t>
      </w:r>
      <w:r w:rsidRPr="002A7256">
        <w:rPr>
          <w:rFonts w:eastAsia="MS Mincho"/>
        </w:rPr>
        <w:t xml:space="preserve">’s course and scope of employment, or the direct consequence of the discharge of the employee’s or </w:t>
      </w:r>
      <w:r w:rsidR="001910C7">
        <w:rPr>
          <w:rFonts w:eastAsia="MS Mincho"/>
        </w:rPr>
        <w:t>Third-Party</w:t>
      </w:r>
      <w:r w:rsidRPr="002A7256">
        <w:rPr>
          <w:rFonts w:eastAsia="MS Mincho"/>
        </w:rPr>
        <w:t xml:space="preserve">’s duties. Accordingly, to the extent permitted by law, </w:t>
      </w:r>
      <w:proofErr w:type="spellStart"/>
      <w:r w:rsidR="00C819F4">
        <w:rPr>
          <w:rFonts w:eastAsia="MS Mincho"/>
        </w:rPr>
        <w:t>CompanyX</w:t>
      </w:r>
      <w:proofErr w:type="spellEnd"/>
      <w:r w:rsidRPr="002A7256">
        <w:rPr>
          <w:rFonts w:eastAsia="MS Mincho"/>
        </w:rPr>
        <w:t xml:space="preserve"> reserves the right not to defend or pay any damages awarded against employees or </w:t>
      </w:r>
      <w:r w:rsidR="001910C7">
        <w:rPr>
          <w:rFonts w:eastAsia="MS Mincho"/>
        </w:rPr>
        <w:t>Third-Parties</w:t>
      </w:r>
      <w:r w:rsidRPr="002A7256">
        <w:rPr>
          <w:rFonts w:eastAsia="MS Mincho"/>
        </w:rPr>
        <w:t xml:space="preserve"> that result from violation of this policy.</w:t>
      </w:r>
    </w:p>
    <w:p w14:paraId="41A7D57D" w14:textId="77777777" w:rsidR="00FA6EA5" w:rsidRPr="002A7256" w:rsidRDefault="00FA6EA5"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14:paraId="5EB601C9" w14:textId="77777777" w:rsidR="00B22690" w:rsidRPr="00B22690" w:rsidRDefault="00A437C9" w:rsidP="00B22690">
      <w:pPr>
        <w:pStyle w:val="PolicyElementHeader"/>
        <w:rPr>
          <w:bCs/>
          <w:color w:val="00527A"/>
        </w:rPr>
      </w:pPr>
      <w:bookmarkStart w:id="20" w:name="_Toc241985855"/>
      <w:bookmarkStart w:id="21" w:name="_Toc3894102"/>
      <w:r w:rsidRPr="003F09FA">
        <w:rPr>
          <w:bCs/>
          <w:color w:val="00527A"/>
        </w:rPr>
        <w:t>Definitions</w:t>
      </w:r>
      <w:bookmarkEnd w:id="20"/>
      <w:bookmarkEnd w:id="21"/>
    </w:p>
    <w:p w14:paraId="076F7302" w14:textId="61C5316D" w:rsidR="009315D5" w:rsidRPr="009315D5" w:rsidRDefault="009315D5" w:rsidP="00222770">
      <w:pPr>
        <w:spacing w:after="120"/>
        <w:jc w:val="both"/>
      </w:pPr>
      <w:r>
        <w:rPr>
          <w:b/>
          <w:bCs/>
        </w:rPr>
        <w:t>Third-Party</w:t>
      </w:r>
      <w:r w:rsidRPr="00CA3C71">
        <w:rPr>
          <w:b/>
        </w:rPr>
        <w:t xml:space="preserve"> – </w:t>
      </w:r>
      <w:r w:rsidRPr="0034512D">
        <w:t xml:space="preserve">Any non-employee of </w:t>
      </w:r>
      <w:proofErr w:type="spellStart"/>
      <w:r w:rsidR="00C819F4">
        <w:t>CompanyX</w:t>
      </w:r>
      <w:proofErr w:type="spellEnd"/>
      <w:r w:rsidRPr="0034512D">
        <w:t xml:space="preserve"> who is contractually bound to provide some form of service to </w:t>
      </w:r>
      <w:proofErr w:type="spellStart"/>
      <w:r w:rsidR="00C819F4">
        <w:t>CompanyX</w:t>
      </w:r>
      <w:proofErr w:type="spellEnd"/>
      <w:r w:rsidRPr="0034512D">
        <w:t>.</w:t>
      </w:r>
    </w:p>
    <w:p w14:paraId="599BD849" w14:textId="40E1D8CB" w:rsidR="00F51BD1" w:rsidRDefault="007129D9" w:rsidP="00C64EAF">
      <w:pPr>
        <w:spacing w:after="120"/>
        <w:jc w:val="both"/>
      </w:pPr>
      <w:r w:rsidRPr="00EC4A77">
        <w:rPr>
          <w:b/>
          <w:bCs/>
        </w:rPr>
        <w:lastRenderedPageBreak/>
        <w:t>User</w:t>
      </w:r>
      <w:r w:rsidRPr="00EC4A77">
        <w:rPr>
          <w:b/>
        </w:rPr>
        <w:t xml:space="preserve"> - </w:t>
      </w:r>
      <w:r w:rsidRPr="00EC4A77">
        <w:t xml:space="preserve">Any </w:t>
      </w:r>
      <w:proofErr w:type="spellStart"/>
      <w:r w:rsidR="00C819F4">
        <w:t>CompanyX</w:t>
      </w:r>
      <w:proofErr w:type="spellEnd"/>
      <w:r w:rsidRPr="00EC4A77">
        <w:t xml:space="preserve"> employee or </w:t>
      </w:r>
      <w:r w:rsidR="001910C7">
        <w:t>Third-Party</w:t>
      </w:r>
      <w:r w:rsidRPr="00EC4A77">
        <w:t xml:space="preserve"> who has been authorized to access any </w:t>
      </w:r>
      <w:proofErr w:type="spellStart"/>
      <w:r w:rsidR="00C819F4">
        <w:t>CompanyX</w:t>
      </w:r>
      <w:proofErr w:type="spellEnd"/>
      <w:r w:rsidRPr="00EC4A77">
        <w:t xml:space="preserve"> electronic information resource.</w:t>
      </w:r>
    </w:p>
    <w:p w14:paraId="4AC54A13" w14:textId="5D750F4F" w:rsidR="009C0C85" w:rsidRPr="009C0C85" w:rsidRDefault="009C0C85" w:rsidP="00C64EAF">
      <w:pPr>
        <w:spacing w:after="120"/>
        <w:jc w:val="both"/>
        <w:rPr>
          <w:szCs w:val="22"/>
        </w:rPr>
      </w:pPr>
      <w:r w:rsidRPr="00EE7D19">
        <w:rPr>
          <w:rStyle w:val="Strong"/>
        </w:rPr>
        <w:t xml:space="preserve">Visitor </w:t>
      </w:r>
      <w:r w:rsidRPr="00EE7D19">
        <w:rPr>
          <w:bCs/>
        </w:rPr>
        <w:t>-</w:t>
      </w:r>
      <w:r w:rsidRPr="00817FE2">
        <w:rPr>
          <w:b/>
          <w:bCs/>
        </w:rPr>
        <w:t xml:space="preserve"> </w:t>
      </w:r>
      <w:r w:rsidRPr="00817FE2">
        <w:rPr>
          <w:bCs/>
        </w:rPr>
        <w:t xml:space="preserve">Any person </w:t>
      </w:r>
      <w:r>
        <w:rPr>
          <w:bCs/>
        </w:rPr>
        <w:t>who does not normally work in a</w:t>
      </w:r>
      <w:r w:rsidRPr="00817FE2">
        <w:rPr>
          <w:bCs/>
        </w:rPr>
        <w:t xml:space="preserve"> </w:t>
      </w:r>
      <w:proofErr w:type="spellStart"/>
      <w:r w:rsidR="00C819F4">
        <w:rPr>
          <w:bCs/>
        </w:rPr>
        <w:t>CompanyX</w:t>
      </w:r>
      <w:proofErr w:type="spellEnd"/>
      <w:r w:rsidRPr="00817FE2">
        <w:rPr>
          <w:bCs/>
        </w:rPr>
        <w:t xml:space="preserve"> facility or who does not </w:t>
      </w:r>
      <w:r>
        <w:rPr>
          <w:bCs/>
        </w:rPr>
        <w:t>perform</w:t>
      </w:r>
      <w:r w:rsidRPr="00817FE2">
        <w:rPr>
          <w:bCs/>
        </w:rPr>
        <w:t xml:space="preserve"> regular business functions requiring access to or en</w:t>
      </w:r>
      <w:r>
        <w:rPr>
          <w:bCs/>
        </w:rPr>
        <w:t>try into a</w:t>
      </w:r>
      <w:r w:rsidRPr="00817FE2">
        <w:rPr>
          <w:bCs/>
        </w:rPr>
        <w:t xml:space="preserve"> </w:t>
      </w:r>
      <w:proofErr w:type="spellStart"/>
      <w:r w:rsidR="00C819F4">
        <w:rPr>
          <w:bCs/>
        </w:rPr>
        <w:t>CompanyX</w:t>
      </w:r>
      <w:proofErr w:type="spellEnd"/>
      <w:r w:rsidRPr="00817FE2">
        <w:rPr>
          <w:bCs/>
        </w:rPr>
        <w:t xml:space="preserve"> facility.</w:t>
      </w:r>
    </w:p>
    <w:p w14:paraId="0DB7A7C7" w14:textId="77777777" w:rsidR="00D13DA3" w:rsidRDefault="00D13DA3" w:rsidP="00D13DA3">
      <w:pPr>
        <w:pStyle w:val="PolicyElementHeader"/>
        <w:rPr>
          <w:color w:val="00527A"/>
          <w:szCs w:val="28"/>
        </w:rPr>
      </w:pPr>
      <w:bookmarkStart w:id="22" w:name="_Toc178155364"/>
      <w:bookmarkStart w:id="23" w:name="_Toc241985856"/>
      <w:bookmarkStart w:id="24" w:name="_Toc3894103"/>
      <w:r>
        <w:rPr>
          <w:color w:val="00527A"/>
          <w:szCs w:val="28"/>
        </w:rPr>
        <w:t>References</w:t>
      </w:r>
      <w:bookmarkEnd w:id="22"/>
      <w:bookmarkEnd w:id="23"/>
      <w:bookmarkEnd w:id="24"/>
    </w:p>
    <w:p w14:paraId="3D67AC48" w14:textId="77777777" w:rsidR="009C0C85" w:rsidRDefault="009C0C85" w:rsidP="009C0C85">
      <w:bookmarkStart w:id="25" w:name="_Toc178155365"/>
      <w:bookmarkStart w:id="26" w:name="_Toc241985857"/>
      <w:r w:rsidRPr="007D37A8">
        <w:rPr>
          <w:bCs/>
        </w:rPr>
        <w:t>ISO/IEC 27002</w:t>
      </w:r>
      <w:r w:rsidR="00CE3B58">
        <w:t>:</w:t>
      </w:r>
      <w:r w:rsidRPr="007D37A8">
        <w:rPr>
          <w:iCs/>
        </w:rPr>
        <w:t xml:space="preserve"> </w:t>
      </w:r>
      <w:r w:rsidR="00CE3B58">
        <w:t>11</w:t>
      </w:r>
      <w:r w:rsidRPr="00EE7D19">
        <w:t xml:space="preserve">.1 </w:t>
      </w:r>
      <w:r>
        <w:t>Secure Areas</w:t>
      </w:r>
    </w:p>
    <w:p w14:paraId="0A62DF8B" w14:textId="77777777" w:rsidR="00CE3B58" w:rsidRDefault="00CE3B58" w:rsidP="009C0C85">
      <w:r w:rsidRPr="00CE3B58">
        <w:t>NIST: Physical and Environmental Protection (PE)</w:t>
      </w:r>
    </w:p>
    <w:p w14:paraId="0E269324" w14:textId="77777777" w:rsidR="00CE3B58" w:rsidRDefault="00CE3B58" w:rsidP="009C0C85">
      <w:r w:rsidRPr="00CE3B58">
        <w:t>PCI</w:t>
      </w:r>
      <w:r w:rsidR="009315D5">
        <w:t>-DSS</w:t>
      </w:r>
      <w:r w:rsidRPr="00CE3B58">
        <w:t>: R9. Restrict physical access to cardholder data</w:t>
      </w:r>
    </w:p>
    <w:p w14:paraId="78E79607" w14:textId="77777777" w:rsidR="009315D5" w:rsidRDefault="009315D5" w:rsidP="009C0C85">
      <w:r>
        <w:t xml:space="preserve">US-CSF: </w:t>
      </w:r>
      <w:r w:rsidRPr="00694E02">
        <w:t>PR.AC-2: Physical access to resources is managed and secured</w:t>
      </w:r>
    </w:p>
    <w:bookmarkEnd w:id="25"/>
    <w:bookmarkEnd w:id="26"/>
    <w:p w14:paraId="236ECA1C" w14:textId="77777777" w:rsidR="00FA6EA5" w:rsidRDefault="00FA6EA5"/>
    <w:p w14:paraId="6C4C5BCD" w14:textId="77777777" w:rsidR="001910C7" w:rsidRPr="00EF734B" w:rsidRDefault="001910C7" w:rsidP="001910C7">
      <w:pPr>
        <w:pStyle w:val="PolicyElementHeader"/>
        <w:rPr>
          <w:bCs/>
          <w:color w:val="00527A"/>
        </w:rPr>
      </w:pPr>
      <w:bookmarkStart w:id="27" w:name="_Toc241985858"/>
      <w:bookmarkStart w:id="28" w:name="_Toc384698828"/>
      <w:bookmarkStart w:id="29" w:name="_Toc3894105"/>
      <w:r w:rsidRPr="00EF734B">
        <w:rPr>
          <w:bCs/>
          <w:color w:val="00527A"/>
        </w:rPr>
        <w:t>Approval and Ownership</w:t>
      </w:r>
      <w:bookmarkEnd w:id="27"/>
      <w:bookmarkEnd w:id="28"/>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1910C7" w14:paraId="142CCFB9" w14:textId="77777777" w:rsidTr="007F6153">
        <w:trPr>
          <w:trHeight w:val="346"/>
        </w:trPr>
        <w:tc>
          <w:tcPr>
            <w:tcW w:w="2520" w:type="dxa"/>
            <w:shd w:val="pct10" w:color="auto" w:fill="auto"/>
            <w:tcMar>
              <w:top w:w="29" w:type="dxa"/>
              <w:left w:w="115" w:type="dxa"/>
              <w:bottom w:w="29" w:type="dxa"/>
              <w:right w:w="115" w:type="dxa"/>
            </w:tcMar>
            <w:vAlign w:val="center"/>
          </w:tcPr>
          <w:p w14:paraId="486ABA30" w14:textId="77777777" w:rsidR="001910C7" w:rsidRDefault="001910C7" w:rsidP="007F6153">
            <w:pPr>
              <w:pStyle w:val="FooterTableHeader"/>
            </w:pPr>
            <w:r>
              <w:t>Owner</w:t>
            </w:r>
          </w:p>
        </w:tc>
        <w:tc>
          <w:tcPr>
            <w:tcW w:w="2520" w:type="dxa"/>
            <w:shd w:val="pct10" w:color="auto" w:fill="auto"/>
            <w:tcMar>
              <w:top w:w="29" w:type="dxa"/>
              <w:left w:w="115" w:type="dxa"/>
              <w:bottom w:w="29" w:type="dxa"/>
              <w:right w:w="115" w:type="dxa"/>
            </w:tcMar>
            <w:vAlign w:val="center"/>
          </w:tcPr>
          <w:p w14:paraId="4175A0E0" w14:textId="77777777" w:rsidR="001910C7" w:rsidRDefault="001910C7" w:rsidP="007F6153">
            <w:pPr>
              <w:pStyle w:val="FooterTableHeader"/>
            </w:pPr>
            <w:r>
              <w:t>Title</w:t>
            </w:r>
          </w:p>
        </w:tc>
        <w:tc>
          <w:tcPr>
            <w:tcW w:w="1980" w:type="dxa"/>
            <w:shd w:val="pct10" w:color="auto" w:fill="auto"/>
            <w:tcMar>
              <w:top w:w="29" w:type="dxa"/>
              <w:left w:w="115" w:type="dxa"/>
              <w:bottom w:w="29" w:type="dxa"/>
              <w:right w:w="115" w:type="dxa"/>
            </w:tcMar>
            <w:vAlign w:val="center"/>
          </w:tcPr>
          <w:p w14:paraId="58A97842" w14:textId="77777777" w:rsidR="001910C7" w:rsidRDefault="001910C7" w:rsidP="007F6153">
            <w:pPr>
              <w:pStyle w:val="FooterTableHeader"/>
            </w:pPr>
            <w:r>
              <w:t>Date</w:t>
            </w:r>
          </w:p>
        </w:tc>
        <w:tc>
          <w:tcPr>
            <w:tcW w:w="2340" w:type="dxa"/>
            <w:shd w:val="pct10" w:color="auto" w:fill="auto"/>
            <w:tcMar>
              <w:top w:w="29" w:type="dxa"/>
              <w:left w:w="115" w:type="dxa"/>
              <w:bottom w:w="29" w:type="dxa"/>
              <w:right w:w="115" w:type="dxa"/>
            </w:tcMar>
            <w:vAlign w:val="center"/>
          </w:tcPr>
          <w:p w14:paraId="78774F5E" w14:textId="77777777" w:rsidR="001910C7" w:rsidRDefault="001910C7" w:rsidP="007F6153">
            <w:pPr>
              <w:pStyle w:val="FooterTableHeader"/>
            </w:pPr>
            <w:r>
              <w:t>Signature</w:t>
            </w:r>
          </w:p>
        </w:tc>
      </w:tr>
      <w:tr w:rsidR="001910C7" w14:paraId="2DD0AC60" w14:textId="77777777" w:rsidTr="007F6153">
        <w:trPr>
          <w:trHeight w:val="346"/>
        </w:trPr>
        <w:tc>
          <w:tcPr>
            <w:tcW w:w="2520" w:type="dxa"/>
            <w:tcBorders>
              <w:bottom w:val="single" w:sz="4" w:space="0" w:color="auto"/>
            </w:tcBorders>
            <w:tcMar>
              <w:top w:w="29" w:type="dxa"/>
              <w:left w:w="115" w:type="dxa"/>
              <w:bottom w:w="29" w:type="dxa"/>
              <w:right w:w="115" w:type="dxa"/>
            </w:tcMar>
            <w:vAlign w:val="center"/>
          </w:tcPr>
          <w:p w14:paraId="1629A861" w14:textId="77777777" w:rsidR="001910C7" w:rsidRPr="0090454B" w:rsidRDefault="001910C7" w:rsidP="007F6153">
            <w:pPr>
              <w:pStyle w:val="PolicyHeaderFill"/>
              <w:rPr>
                <w:highlight w:val="yellow"/>
              </w:rPr>
            </w:pPr>
            <w:r w:rsidRPr="0090454B">
              <w:rPr>
                <w:highlight w:val="yellow"/>
              </w:rPr>
              <w:t xml:space="preserve">Policy </w:t>
            </w:r>
            <w:r w:rsidR="00FA6EA5" w:rsidRPr="0090454B">
              <w:rPr>
                <w:highlight w:val="yellow"/>
              </w:rPr>
              <w:t>Author</w:t>
            </w:r>
          </w:p>
        </w:tc>
        <w:tc>
          <w:tcPr>
            <w:tcW w:w="2520" w:type="dxa"/>
            <w:tcBorders>
              <w:bottom w:val="single" w:sz="4" w:space="0" w:color="auto"/>
            </w:tcBorders>
            <w:tcMar>
              <w:top w:w="29" w:type="dxa"/>
              <w:left w:w="115" w:type="dxa"/>
              <w:bottom w:w="29" w:type="dxa"/>
              <w:right w:w="115" w:type="dxa"/>
            </w:tcMar>
            <w:vAlign w:val="center"/>
          </w:tcPr>
          <w:p w14:paraId="572D3F3E" w14:textId="77777777" w:rsidR="001910C7" w:rsidRPr="0090454B" w:rsidRDefault="001910C7" w:rsidP="007F6153">
            <w:pPr>
              <w:pStyle w:val="PolicyHeaderFill"/>
              <w:rPr>
                <w:highlight w:val="yellow"/>
              </w:rPr>
            </w:pPr>
            <w:r w:rsidRPr="0090454B">
              <w:rPr>
                <w:highlight w:val="yellow"/>
              </w:rPr>
              <w:t>Title</w:t>
            </w:r>
          </w:p>
        </w:tc>
        <w:tc>
          <w:tcPr>
            <w:tcW w:w="1980" w:type="dxa"/>
            <w:tcBorders>
              <w:bottom w:val="single" w:sz="4" w:space="0" w:color="auto"/>
            </w:tcBorders>
            <w:tcMar>
              <w:top w:w="29" w:type="dxa"/>
              <w:left w:w="115" w:type="dxa"/>
              <w:bottom w:w="29" w:type="dxa"/>
              <w:right w:w="115" w:type="dxa"/>
            </w:tcMar>
            <w:vAlign w:val="center"/>
          </w:tcPr>
          <w:p w14:paraId="7DE01B97" w14:textId="77777777" w:rsidR="001910C7" w:rsidRPr="0043775C" w:rsidRDefault="001910C7"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14:paraId="198F698B" w14:textId="77777777" w:rsidR="001910C7" w:rsidRDefault="001910C7" w:rsidP="007F6153">
            <w:pPr>
              <w:jc w:val="center"/>
            </w:pPr>
          </w:p>
        </w:tc>
      </w:tr>
      <w:tr w:rsidR="001910C7" w14:paraId="0D9EDC47" w14:textId="77777777" w:rsidTr="007F6153">
        <w:trPr>
          <w:trHeight w:val="346"/>
        </w:trPr>
        <w:tc>
          <w:tcPr>
            <w:tcW w:w="2520" w:type="dxa"/>
            <w:shd w:val="pct10" w:color="auto" w:fill="auto"/>
            <w:tcMar>
              <w:top w:w="29" w:type="dxa"/>
              <w:left w:w="115" w:type="dxa"/>
              <w:bottom w:w="29" w:type="dxa"/>
              <w:right w:w="115" w:type="dxa"/>
            </w:tcMar>
            <w:vAlign w:val="center"/>
          </w:tcPr>
          <w:p w14:paraId="39719F2A" w14:textId="77777777" w:rsidR="001910C7" w:rsidRDefault="001910C7" w:rsidP="007F6153">
            <w:pPr>
              <w:pStyle w:val="FooterTableHeader"/>
            </w:pPr>
            <w:r>
              <w:t>Approved By</w:t>
            </w:r>
          </w:p>
        </w:tc>
        <w:tc>
          <w:tcPr>
            <w:tcW w:w="2520" w:type="dxa"/>
            <w:shd w:val="pct10" w:color="auto" w:fill="auto"/>
            <w:tcMar>
              <w:top w:w="29" w:type="dxa"/>
              <w:left w:w="115" w:type="dxa"/>
              <w:bottom w:w="29" w:type="dxa"/>
              <w:right w:w="115" w:type="dxa"/>
            </w:tcMar>
            <w:vAlign w:val="center"/>
          </w:tcPr>
          <w:p w14:paraId="56F3E240" w14:textId="77777777" w:rsidR="001910C7" w:rsidRDefault="001910C7" w:rsidP="007F6153">
            <w:pPr>
              <w:pStyle w:val="FooterTableHeader"/>
            </w:pPr>
            <w:r>
              <w:t>Title</w:t>
            </w:r>
          </w:p>
        </w:tc>
        <w:tc>
          <w:tcPr>
            <w:tcW w:w="1980" w:type="dxa"/>
            <w:shd w:val="pct10" w:color="auto" w:fill="auto"/>
            <w:tcMar>
              <w:top w:w="29" w:type="dxa"/>
              <w:left w:w="115" w:type="dxa"/>
              <w:bottom w:w="29" w:type="dxa"/>
              <w:right w:w="115" w:type="dxa"/>
            </w:tcMar>
            <w:vAlign w:val="center"/>
          </w:tcPr>
          <w:p w14:paraId="653BA2D7" w14:textId="77777777" w:rsidR="001910C7" w:rsidRDefault="001910C7" w:rsidP="007F6153">
            <w:pPr>
              <w:pStyle w:val="FooterTableHeader"/>
            </w:pPr>
            <w:r>
              <w:t>Date</w:t>
            </w:r>
          </w:p>
        </w:tc>
        <w:tc>
          <w:tcPr>
            <w:tcW w:w="2340" w:type="dxa"/>
            <w:shd w:val="pct10" w:color="auto" w:fill="auto"/>
            <w:tcMar>
              <w:top w:w="29" w:type="dxa"/>
              <w:left w:w="115" w:type="dxa"/>
              <w:bottom w:w="29" w:type="dxa"/>
              <w:right w:w="115" w:type="dxa"/>
            </w:tcMar>
            <w:vAlign w:val="center"/>
          </w:tcPr>
          <w:p w14:paraId="3BE2FA08" w14:textId="77777777" w:rsidR="001910C7" w:rsidRDefault="001910C7" w:rsidP="007F6153">
            <w:pPr>
              <w:pStyle w:val="FooterTableHeader"/>
            </w:pPr>
            <w:r>
              <w:t>Signature</w:t>
            </w:r>
          </w:p>
        </w:tc>
      </w:tr>
      <w:tr w:rsidR="001910C7" w14:paraId="34A7CFEB" w14:textId="77777777" w:rsidTr="007F6153">
        <w:trPr>
          <w:trHeight w:val="346"/>
        </w:trPr>
        <w:tc>
          <w:tcPr>
            <w:tcW w:w="2520" w:type="dxa"/>
            <w:tcMar>
              <w:top w:w="29" w:type="dxa"/>
              <w:left w:w="115" w:type="dxa"/>
              <w:bottom w:w="29" w:type="dxa"/>
              <w:right w:w="115" w:type="dxa"/>
            </w:tcMar>
            <w:vAlign w:val="center"/>
          </w:tcPr>
          <w:p w14:paraId="22753B54" w14:textId="77777777" w:rsidR="001910C7" w:rsidRPr="0090454B" w:rsidRDefault="001910C7" w:rsidP="007F6153">
            <w:pPr>
              <w:pStyle w:val="PolicyHeaderFill"/>
              <w:rPr>
                <w:highlight w:val="yellow"/>
              </w:rPr>
            </w:pPr>
            <w:r w:rsidRPr="0090454B">
              <w:rPr>
                <w:highlight w:val="yellow"/>
              </w:rPr>
              <w:t>Executive Sponsor</w:t>
            </w:r>
          </w:p>
        </w:tc>
        <w:tc>
          <w:tcPr>
            <w:tcW w:w="2520" w:type="dxa"/>
            <w:tcMar>
              <w:top w:w="29" w:type="dxa"/>
              <w:left w:w="115" w:type="dxa"/>
              <w:bottom w:w="29" w:type="dxa"/>
              <w:right w:w="115" w:type="dxa"/>
            </w:tcMar>
            <w:vAlign w:val="center"/>
          </w:tcPr>
          <w:p w14:paraId="0671CD73" w14:textId="77777777" w:rsidR="001910C7" w:rsidRPr="0090454B" w:rsidRDefault="001910C7" w:rsidP="007F6153">
            <w:pPr>
              <w:pStyle w:val="PolicyHeaderFill"/>
              <w:rPr>
                <w:highlight w:val="yellow"/>
              </w:rPr>
            </w:pPr>
            <w:r w:rsidRPr="0090454B">
              <w:rPr>
                <w:highlight w:val="yellow"/>
              </w:rPr>
              <w:t>Title</w:t>
            </w:r>
          </w:p>
        </w:tc>
        <w:tc>
          <w:tcPr>
            <w:tcW w:w="1980" w:type="dxa"/>
            <w:tcMar>
              <w:top w:w="29" w:type="dxa"/>
              <w:left w:w="115" w:type="dxa"/>
              <w:bottom w:w="29" w:type="dxa"/>
              <w:right w:w="115" w:type="dxa"/>
            </w:tcMar>
            <w:vAlign w:val="center"/>
          </w:tcPr>
          <w:p w14:paraId="56E376A3" w14:textId="77777777" w:rsidR="001910C7" w:rsidRPr="0043775C" w:rsidRDefault="001910C7" w:rsidP="007F6153">
            <w:pPr>
              <w:pStyle w:val="PolicyHeaderFill"/>
            </w:pPr>
            <w:r>
              <w:t>MM/DD/YYYY</w:t>
            </w:r>
          </w:p>
        </w:tc>
        <w:tc>
          <w:tcPr>
            <w:tcW w:w="2340" w:type="dxa"/>
            <w:tcMar>
              <w:top w:w="29" w:type="dxa"/>
              <w:left w:w="115" w:type="dxa"/>
              <w:bottom w:w="29" w:type="dxa"/>
              <w:right w:w="115" w:type="dxa"/>
            </w:tcMar>
            <w:vAlign w:val="center"/>
          </w:tcPr>
          <w:p w14:paraId="6F4B3E74" w14:textId="77777777" w:rsidR="001910C7" w:rsidRDefault="001910C7" w:rsidP="007F6153">
            <w:pPr>
              <w:jc w:val="center"/>
            </w:pPr>
          </w:p>
        </w:tc>
      </w:tr>
    </w:tbl>
    <w:p w14:paraId="24E033E1" w14:textId="77777777" w:rsidR="001910C7" w:rsidRPr="00EF734B" w:rsidRDefault="001910C7" w:rsidP="001910C7">
      <w:pPr>
        <w:pStyle w:val="PolicyElementHeader"/>
        <w:rPr>
          <w:bCs/>
          <w:color w:val="00527A"/>
        </w:rPr>
      </w:pPr>
      <w:bookmarkStart w:id="30" w:name="_Toc241985859"/>
      <w:bookmarkStart w:id="31" w:name="_Toc384698829"/>
      <w:bookmarkStart w:id="32" w:name="_Toc3894106"/>
      <w:r w:rsidRPr="00EF734B">
        <w:rPr>
          <w:bCs/>
          <w:color w:val="00527A"/>
        </w:rPr>
        <w:t>Revision History</w:t>
      </w:r>
      <w:bookmarkEnd w:id="30"/>
      <w:bookmarkEnd w:id="31"/>
      <w:bookmarkEnd w:id="32"/>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1910C7" w:rsidRPr="0076502A" w14:paraId="2587EFD9" w14:textId="77777777" w:rsidTr="007F6153">
        <w:trPr>
          <w:trHeight w:val="566"/>
        </w:trPr>
        <w:tc>
          <w:tcPr>
            <w:tcW w:w="624" w:type="pct"/>
            <w:shd w:val="pct10" w:color="auto" w:fill="auto"/>
            <w:vAlign w:val="center"/>
          </w:tcPr>
          <w:p w14:paraId="4832F97B" w14:textId="77777777" w:rsidR="001910C7" w:rsidRPr="00DA209E" w:rsidRDefault="001910C7" w:rsidP="007F6153">
            <w:pPr>
              <w:pStyle w:val="FooterTableHeader"/>
            </w:pPr>
            <w:r w:rsidRPr="00DA209E">
              <w:t>Version</w:t>
            </w:r>
          </w:p>
        </w:tc>
        <w:tc>
          <w:tcPr>
            <w:tcW w:w="1540" w:type="pct"/>
            <w:shd w:val="pct10" w:color="auto" w:fill="auto"/>
            <w:vAlign w:val="center"/>
          </w:tcPr>
          <w:p w14:paraId="6699CD1B" w14:textId="77777777" w:rsidR="001910C7" w:rsidRPr="00DA209E" w:rsidRDefault="001910C7"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355E7474" w14:textId="77777777" w:rsidR="001910C7" w:rsidRPr="00DA209E" w:rsidRDefault="001910C7"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03A65259" w14:textId="77777777" w:rsidR="001910C7" w:rsidRPr="00DA209E" w:rsidRDefault="001910C7"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1EB1C965" w14:textId="77777777" w:rsidR="001910C7" w:rsidRPr="00DA209E" w:rsidRDefault="001910C7" w:rsidP="007F6153">
            <w:pPr>
              <w:pStyle w:val="FooterTableHeader"/>
            </w:pPr>
            <w:r>
              <w:t>Reviewer/Approver</w:t>
            </w:r>
            <w:r w:rsidRPr="00DA209E">
              <w:br/>
              <w:t>Name</w:t>
            </w:r>
          </w:p>
        </w:tc>
      </w:tr>
      <w:tr w:rsidR="001910C7" w:rsidRPr="0076502A" w14:paraId="0F2CDA48" w14:textId="77777777" w:rsidTr="007F6153">
        <w:trPr>
          <w:trHeight w:val="288"/>
        </w:trPr>
        <w:tc>
          <w:tcPr>
            <w:tcW w:w="624" w:type="pct"/>
            <w:vAlign w:val="center"/>
          </w:tcPr>
          <w:p w14:paraId="6B092E99" w14:textId="77777777" w:rsidR="001910C7" w:rsidRPr="00DA209E" w:rsidRDefault="001910C7" w:rsidP="007F6153">
            <w:pPr>
              <w:pStyle w:val="PolicyHeaderFill"/>
            </w:pPr>
            <w:r w:rsidRPr="00DA209E">
              <w:t>1.0</w:t>
            </w:r>
          </w:p>
        </w:tc>
        <w:tc>
          <w:tcPr>
            <w:tcW w:w="1540" w:type="pct"/>
            <w:vAlign w:val="center"/>
          </w:tcPr>
          <w:p w14:paraId="5A4D8A75" w14:textId="77777777" w:rsidR="001910C7" w:rsidRPr="00DA209E" w:rsidRDefault="001910C7" w:rsidP="007F6153">
            <w:pPr>
              <w:pStyle w:val="PolicyHeaderFill"/>
            </w:pPr>
            <w:r w:rsidRPr="00DA209E">
              <w:t>Initial Version</w:t>
            </w:r>
          </w:p>
        </w:tc>
        <w:tc>
          <w:tcPr>
            <w:tcW w:w="817" w:type="pct"/>
            <w:tcMar>
              <w:top w:w="29" w:type="dxa"/>
              <w:left w:w="115" w:type="dxa"/>
              <w:bottom w:w="29" w:type="dxa"/>
              <w:right w:w="115" w:type="dxa"/>
            </w:tcMar>
            <w:vAlign w:val="center"/>
          </w:tcPr>
          <w:p w14:paraId="6BC5937A" w14:textId="6194004D" w:rsidR="001910C7" w:rsidRPr="00DA209E" w:rsidRDefault="0090454B" w:rsidP="007F6153">
            <w:pPr>
              <w:pStyle w:val="PolicyHeaderFill"/>
            </w:pPr>
            <w:r>
              <w:t>10/05/2019</w:t>
            </w:r>
          </w:p>
        </w:tc>
        <w:tc>
          <w:tcPr>
            <w:tcW w:w="817" w:type="pct"/>
            <w:tcMar>
              <w:top w:w="29" w:type="dxa"/>
              <w:left w:w="115" w:type="dxa"/>
              <w:bottom w:w="29" w:type="dxa"/>
              <w:right w:w="115" w:type="dxa"/>
            </w:tcMar>
            <w:vAlign w:val="center"/>
          </w:tcPr>
          <w:p w14:paraId="15B79B85" w14:textId="77777777" w:rsidR="001910C7" w:rsidRPr="00DA209E" w:rsidRDefault="001910C7" w:rsidP="007F6153">
            <w:pPr>
              <w:pStyle w:val="PolicyHeaderFill"/>
            </w:pPr>
            <w:r>
              <w:t>MM/DD/YYYY</w:t>
            </w:r>
          </w:p>
        </w:tc>
        <w:tc>
          <w:tcPr>
            <w:tcW w:w="1202" w:type="pct"/>
            <w:tcMar>
              <w:top w:w="29" w:type="dxa"/>
              <w:left w:w="115" w:type="dxa"/>
              <w:bottom w:w="29" w:type="dxa"/>
              <w:right w:w="115" w:type="dxa"/>
            </w:tcMar>
            <w:vAlign w:val="center"/>
          </w:tcPr>
          <w:p w14:paraId="3FD5FBE2" w14:textId="77777777" w:rsidR="001910C7" w:rsidRPr="0076502A" w:rsidRDefault="001910C7" w:rsidP="007F6153">
            <w:pPr>
              <w:pStyle w:val="PolicyHeaderFill"/>
            </w:pPr>
          </w:p>
        </w:tc>
      </w:tr>
      <w:tr w:rsidR="001910C7" w:rsidRPr="0076502A" w14:paraId="695B8BAD" w14:textId="77777777" w:rsidTr="007F6153">
        <w:trPr>
          <w:trHeight w:val="288"/>
        </w:trPr>
        <w:tc>
          <w:tcPr>
            <w:tcW w:w="624" w:type="pct"/>
            <w:vAlign w:val="center"/>
          </w:tcPr>
          <w:p w14:paraId="46BEB314" w14:textId="77777777" w:rsidR="001910C7" w:rsidRPr="0076502A" w:rsidRDefault="001910C7" w:rsidP="007F6153">
            <w:pPr>
              <w:pStyle w:val="FooterTableHeader"/>
              <w:rPr>
                <w:rFonts w:ascii="Times New Roman" w:hAnsi="Times New Roman"/>
                <w:sz w:val="22"/>
                <w:szCs w:val="22"/>
              </w:rPr>
            </w:pPr>
          </w:p>
        </w:tc>
        <w:tc>
          <w:tcPr>
            <w:tcW w:w="1540" w:type="pct"/>
            <w:vAlign w:val="center"/>
          </w:tcPr>
          <w:p w14:paraId="1CE8E594" w14:textId="77777777" w:rsidR="001910C7" w:rsidRPr="0076502A" w:rsidRDefault="001910C7"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2DBC140B" w14:textId="77777777" w:rsidR="001910C7" w:rsidRPr="0076502A" w:rsidRDefault="001910C7"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2359A318" w14:textId="77777777" w:rsidR="001910C7" w:rsidRPr="003C1B8C" w:rsidRDefault="001910C7" w:rsidP="007F6153">
            <w:pPr>
              <w:pStyle w:val="PolicyHeaderFill"/>
            </w:pPr>
          </w:p>
        </w:tc>
        <w:tc>
          <w:tcPr>
            <w:tcW w:w="1202" w:type="pct"/>
            <w:tcMar>
              <w:top w:w="29" w:type="dxa"/>
              <w:left w:w="115" w:type="dxa"/>
              <w:bottom w:w="29" w:type="dxa"/>
              <w:right w:w="115" w:type="dxa"/>
            </w:tcMar>
            <w:vAlign w:val="center"/>
          </w:tcPr>
          <w:p w14:paraId="40D292EE" w14:textId="77777777" w:rsidR="001910C7" w:rsidRPr="0076502A" w:rsidRDefault="001910C7" w:rsidP="007F6153">
            <w:pPr>
              <w:pStyle w:val="FooterTableHeader"/>
              <w:rPr>
                <w:rFonts w:ascii="Times New Roman" w:hAnsi="Times New Roman"/>
                <w:sz w:val="22"/>
                <w:szCs w:val="22"/>
              </w:rPr>
            </w:pPr>
          </w:p>
        </w:tc>
      </w:tr>
    </w:tbl>
    <w:p w14:paraId="780A562B" w14:textId="77777777" w:rsidR="002B50C6" w:rsidRDefault="002B50C6"/>
    <w:sectPr w:rsidR="002B50C6"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5ADC3" w14:textId="77777777" w:rsidR="00A65FF3" w:rsidRDefault="00A65FF3">
      <w:r>
        <w:separator/>
      </w:r>
    </w:p>
    <w:p w14:paraId="1687E5B0" w14:textId="77777777" w:rsidR="00A65FF3" w:rsidRDefault="00A65FF3"/>
  </w:endnote>
  <w:endnote w:type="continuationSeparator" w:id="0">
    <w:p w14:paraId="265CF73D" w14:textId="77777777" w:rsidR="00A65FF3" w:rsidRDefault="00A65FF3">
      <w:r>
        <w:continuationSeparator/>
      </w:r>
    </w:p>
    <w:p w14:paraId="5785B5DA" w14:textId="77777777" w:rsidR="00A65FF3" w:rsidRDefault="00A65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EBA9B" w14:textId="77777777" w:rsidR="00C819F4" w:rsidRDefault="00C81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0A073" w14:textId="6B4E2609" w:rsidR="003C1B8C" w:rsidRPr="00575A04" w:rsidRDefault="00C819F4" w:rsidP="00575A04">
    <w:pPr>
      <w:pStyle w:val="Footer"/>
    </w:pPr>
    <w:proofErr w:type="spellStart"/>
    <w:r>
      <w:t>CompanyX</w:t>
    </w:r>
    <w:proofErr w:type="spellEnd"/>
    <w:r w:rsidR="00772975">
      <w:t xml:space="preserve"> Security Policy</w:t>
    </w:r>
    <w:r w:rsidR="003C1B8C" w:rsidRPr="00575A04">
      <w:tab/>
    </w:r>
    <w:r w:rsidR="0090454B">
      <w:t>Classification: INTERNAL</w:t>
    </w:r>
    <w:r w:rsidR="003C1B8C" w:rsidRPr="00575A04">
      <w:tab/>
    </w:r>
    <w:r w:rsidR="003C1B8C">
      <w:t xml:space="preserve">  </w:t>
    </w:r>
    <w:r w:rsidR="003C1B8C" w:rsidRPr="00575A04">
      <w:t xml:space="preserve">Page </w:t>
    </w:r>
    <w:r w:rsidR="001E2408">
      <w:rPr>
        <w:noProof/>
      </w:rPr>
      <w:fldChar w:fldCharType="begin"/>
    </w:r>
    <w:r w:rsidR="001E2408">
      <w:rPr>
        <w:noProof/>
      </w:rPr>
      <w:instrText xml:space="preserve"> PAGE </w:instrText>
    </w:r>
    <w:r w:rsidR="001E2408">
      <w:rPr>
        <w:noProof/>
      </w:rPr>
      <w:fldChar w:fldCharType="separate"/>
    </w:r>
    <w:r w:rsidR="00B22690">
      <w:rPr>
        <w:noProof/>
      </w:rPr>
      <w:t>1</w:t>
    </w:r>
    <w:r w:rsidR="001E2408">
      <w:rPr>
        <w:noProof/>
      </w:rPr>
      <w:fldChar w:fldCharType="end"/>
    </w:r>
  </w:p>
  <w:p w14:paraId="7A382175" w14:textId="77777777"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81876" w14:textId="77777777" w:rsidR="00C819F4" w:rsidRDefault="00C81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2EC04" w14:textId="77777777" w:rsidR="00A65FF3" w:rsidRDefault="00A65FF3">
      <w:r>
        <w:separator/>
      </w:r>
    </w:p>
    <w:p w14:paraId="3905415A" w14:textId="77777777" w:rsidR="00A65FF3" w:rsidRDefault="00A65FF3"/>
  </w:footnote>
  <w:footnote w:type="continuationSeparator" w:id="0">
    <w:p w14:paraId="7F0FBD68" w14:textId="77777777" w:rsidR="00A65FF3" w:rsidRDefault="00A65FF3">
      <w:r>
        <w:continuationSeparator/>
      </w:r>
    </w:p>
    <w:p w14:paraId="19E240EF" w14:textId="77777777" w:rsidR="00A65FF3" w:rsidRDefault="00A65F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2B85C" w14:textId="77777777" w:rsidR="00C819F4" w:rsidRDefault="00C819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90454B" w:rsidRPr="00ED75F8" w14:paraId="20D240C7" w14:textId="77777777" w:rsidTr="00ED7DC0">
      <w:trPr>
        <w:trHeight w:val="576"/>
        <w:jc w:val="center"/>
      </w:trPr>
      <w:tc>
        <w:tcPr>
          <w:tcW w:w="7375" w:type="dxa"/>
          <w:vAlign w:val="center"/>
        </w:tcPr>
        <w:p w14:paraId="21311E4F" w14:textId="7D997D41" w:rsidR="0090454B" w:rsidRPr="0090454B" w:rsidRDefault="00C819F4" w:rsidP="0090454B">
          <w:pPr>
            <w:jc w:val="center"/>
            <w:rPr>
              <w:rFonts w:ascii="Calibri" w:hAnsi="Calibri"/>
              <w:szCs w:val="22"/>
            </w:rPr>
          </w:pPr>
          <w:r>
            <w:rPr>
              <w:rFonts w:ascii="Calibri" w:hAnsi="Calibri"/>
              <w:szCs w:val="22"/>
            </w:rPr>
            <w:t>(Company Logo or Name)</w:t>
          </w:r>
        </w:p>
      </w:tc>
      <w:tc>
        <w:tcPr>
          <w:tcW w:w="1440" w:type="dxa"/>
          <w:vAlign w:val="center"/>
        </w:tcPr>
        <w:p w14:paraId="74648514" w14:textId="77777777" w:rsidR="0090454B" w:rsidRPr="0090454B" w:rsidRDefault="0090454B" w:rsidP="0090454B">
          <w:pPr>
            <w:jc w:val="center"/>
            <w:rPr>
              <w:rFonts w:ascii="Calibri" w:hAnsi="Calibri"/>
              <w:szCs w:val="22"/>
            </w:rPr>
          </w:pPr>
          <w:r w:rsidRPr="0090454B">
            <w:rPr>
              <w:rFonts w:ascii="Calibri" w:hAnsi="Calibri"/>
              <w:b/>
              <w:szCs w:val="22"/>
            </w:rPr>
            <w:t>Document #</w:t>
          </w:r>
        </w:p>
      </w:tc>
      <w:tc>
        <w:tcPr>
          <w:tcW w:w="1795" w:type="dxa"/>
          <w:vAlign w:val="center"/>
        </w:tcPr>
        <w:p w14:paraId="4F523BF0" w14:textId="206F9D2A" w:rsidR="0090454B" w:rsidRPr="0090454B" w:rsidRDefault="0090454B" w:rsidP="0090454B">
          <w:pPr>
            <w:jc w:val="center"/>
            <w:rPr>
              <w:rStyle w:val="IntenseEmphasis"/>
              <w:rFonts w:ascii="Cambria" w:hAnsi="Cambria"/>
              <w:szCs w:val="22"/>
            </w:rPr>
          </w:pPr>
          <w:r w:rsidRPr="0090454B">
            <w:rPr>
              <w:rStyle w:val="IntenseEmphasis"/>
              <w:rFonts w:ascii="Cambria" w:hAnsi="Cambria"/>
              <w:szCs w:val="22"/>
            </w:rPr>
            <w:t>IT-PL-</w:t>
          </w:r>
          <w:r w:rsidRPr="0090454B">
            <w:rPr>
              <w:rStyle w:val="IntenseEmphasis"/>
              <w:rFonts w:ascii="Cambria" w:hAnsi="Cambria"/>
              <w:szCs w:val="22"/>
              <w:highlight w:val="yellow"/>
            </w:rPr>
            <w:t>XX</w:t>
          </w:r>
        </w:p>
      </w:tc>
    </w:tr>
    <w:tr w:rsidR="0090454B" w:rsidRPr="00ED75F8" w14:paraId="770E15C3" w14:textId="77777777" w:rsidTr="00ED7DC0">
      <w:trPr>
        <w:trHeight w:val="1008"/>
        <w:jc w:val="center"/>
      </w:trPr>
      <w:tc>
        <w:tcPr>
          <w:tcW w:w="10610" w:type="dxa"/>
          <w:gridSpan w:val="3"/>
        </w:tcPr>
        <w:p w14:paraId="3D0BDCEC" w14:textId="77777777" w:rsidR="0090454B" w:rsidRPr="0090454B" w:rsidRDefault="0090454B" w:rsidP="0090454B">
          <w:pPr>
            <w:jc w:val="center"/>
            <w:rPr>
              <w:rFonts w:ascii="Calibri" w:hAnsi="Calibri"/>
              <w:i/>
              <w:sz w:val="28"/>
              <w:szCs w:val="22"/>
            </w:rPr>
          </w:pPr>
        </w:p>
        <w:p w14:paraId="0B272048" w14:textId="55C914CB" w:rsidR="0090454B" w:rsidRPr="00A12E79" w:rsidRDefault="0090454B" w:rsidP="0090454B">
          <w:pPr>
            <w:pStyle w:val="Title"/>
          </w:pPr>
          <w:r>
            <w:t xml:space="preserve">Physical Security </w:t>
          </w:r>
          <w:r w:rsidRPr="00A12E79">
            <w:t>Policy</w:t>
          </w:r>
        </w:p>
      </w:tc>
    </w:tr>
  </w:tbl>
  <w:p w14:paraId="36F3FC37" w14:textId="77777777" w:rsidR="0090454B" w:rsidRPr="0090454B" w:rsidRDefault="0090454B" w:rsidP="00904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4B14A" w14:textId="77777777" w:rsidR="00C819F4" w:rsidRDefault="00C81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0533E"/>
    <w:rsid w:val="00011129"/>
    <w:rsid w:val="0003608C"/>
    <w:rsid w:val="00041042"/>
    <w:rsid w:val="00051520"/>
    <w:rsid w:val="00074BA0"/>
    <w:rsid w:val="00087738"/>
    <w:rsid w:val="000A6314"/>
    <w:rsid w:val="000C06AA"/>
    <w:rsid w:val="000C19F8"/>
    <w:rsid w:val="001072C4"/>
    <w:rsid w:val="00107EC2"/>
    <w:rsid w:val="001116EE"/>
    <w:rsid w:val="00143AFF"/>
    <w:rsid w:val="0016248C"/>
    <w:rsid w:val="0016703E"/>
    <w:rsid w:val="001910C7"/>
    <w:rsid w:val="001B3246"/>
    <w:rsid w:val="001B556F"/>
    <w:rsid w:val="001C4B70"/>
    <w:rsid w:val="001E2408"/>
    <w:rsid w:val="001E29F7"/>
    <w:rsid w:val="001E5FFA"/>
    <w:rsid w:val="001F1048"/>
    <w:rsid w:val="00222770"/>
    <w:rsid w:val="00244229"/>
    <w:rsid w:val="00255B11"/>
    <w:rsid w:val="0025728D"/>
    <w:rsid w:val="00273E31"/>
    <w:rsid w:val="00274547"/>
    <w:rsid w:val="00291101"/>
    <w:rsid w:val="0029313E"/>
    <w:rsid w:val="002A1334"/>
    <w:rsid w:val="002A1663"/>
    <w:rsid w:val="002A7256"/>
    <w:rsid w:val="002B50C6"/>
    <w:rsid w:val="002D705B"/>
    <w:rsid w:val="00307C3B"/>
    <w:rsid w:val="00314309"/>
    <w:rsid w:val="003162F7"/>
    <w:rsid w:val="003345C8"/>
    <w:rsid w:val="003505DE"/>
    <w:rsid w:val="00364588"/>
    <w:rsid w:val="00385F82"/>
    <w:rsid w:val="00397D8F"/>
    <w:rsid w:val="003B089F"/>
    <w:rsid w:val="003C1B8C"/>
    <w:rsid w:val="003D14BE"/>
    <w:rsid w:val="003F09FA"/>
    <w:rsid w:val="003F7D8A"/>
    <w:rsid w:val="00400FC8"/>
    <w:rsid w:val="0041539A"/>
    <w:rsid w:val="004254C1"/>
    <w:rsid w:val="00451671"/>
    <w:rsid w:val="00481967"/>
    <w:rsid w:val="00491984"/>
    <w:rsid w:val="004D2353"/>
    <w:rsid w:val="004D37EB"/>
    <w:rsid w:val="004E2BEC"/>
    <w:rsid w:val="004E3134"/>
    <w:rsid w:val="004F7469"/>
    <w:rsid w:val="0051524F"/>
    <w:rsid w:val="00555CFC"/>
    <w:rsid w:val="00565990"/>
    <w:rsid w:val="00565B97"/>
    <w:rsid w:val="00571AE6"/>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C099D"/>
    <w:rsid w:val="006F1EF4"/>
    <w:rsid w:val="006F33E6"/>
    <w:rsid w:val="007129D9"/>
    <w:rsid w:val="00772975"/>
    <w:rsid w:val="0077342D"/>
    <w:rsid w:val="00775AB4"/>
    <w:rsid w:val="007844D5"/>
    <w:rsid w:val="007D37A8"/>
    <w:rsid w:val="007F61A2"/>
    <w:rsid w:val="008063B7"/>
    <w:rsid w:val="00816505"/>
    <w:rsid w:val="008314F4"/>
    <w:rsid w:val="00837B45"/>
    <w:rsid w:val="0085160B"/>
    <w:rsid w:val="00853487"/>
    <w:rsid w:val="00857A02"/>
    <w:rsid w:val="0086465F"/>
    <w:rsid w:val="00897169"/>
    <w:rsid w:val="008E325A"/>
    <w:rsid w:val="0090454B"/>
    <w:rsid w:val="00923C76"/>
    <w:rsid w:val="00924538"/>
    <w:rsid w:val="009246D3"/>
    <w:rsid w:val="009315D5"/>
    <w:rsid w:val="0093202E"/>
    <w:rsid w:val="0094371A"/>
    <w:rsid w:val="00955117"/>
    <w:rsid w:val="00975083"/>
    <w:rsid w:val="009A4764"/>
    <w:rsid w:val="009A6CDE"/>
    <w:rsid w:val="009C0C85"/>
    <w:rsid w:val="009D2C64"/>
    <w:rsid w:val="009F1103"/>
    <w:rsid w:val="00A32B57"/>
    <w:rsid w:val="00A33801"/>
    <w:rsid w:val="00A4341D"/>
    <w:rsid w:val="00A437C9"/>
    <w:rsid w:val="00A455F4"/>
    <w:rsid w:val="00A65FF3"/>
    <w:rsid w:val="00A726A1"/>
    <w:rsid w:val="00AB5967"/>
    <w:rsid w:val="00AC0F82"/>
    <w:rsid w:val="00AD5BE0"/>
    <w:rsid w:val="00AF34CA"/>
    <w:rsid w:val="00AF5689"/>
    <w:rsid w:val="00B22690"/>
    <w:rsid w:val="00B36AF7"/>
    <w:rsid w:val="00B40F74"/>
    <w:rsid w:val="00B427DB"/>
    <w:rsid w:val="00B53867"/>
    <w:rsid w:val="00BA21BA"/>
    <w:rsid w:val="00BA7551"/>
    <w:rsid w:val="00BB7929"/>
    <w:rsid w:val="00BC6F34"/>
    <w:rsid w:val="00BF1A5F"/>
    <w:rsid w:val="00C51809"/>
    <w:rsid w:val="00C51C73"/>
    <w:rsid w:val="00C6262C"/>
    <w:rsid w:val="00C64EAF"/>
    <w:rsid w:val="00C76D3B"/>
    <w:rsid w:val="00C80DA4"/>
    <w:rsid w:val="00C819F4"/>
    <w:rsid w:val="00C925BF"/>
    <w:rsid w:val="00CA01E1"/>
    <w:rsid w:val="00CD236D"/>
    <w:rsid w:val="00CE3B58"/>
    <w:rsid w:val="00D13DA3"/>
    <w:rsid w:val="00D35111"/>
    <w:rsid w:val="00D83CD8"/>
    <w:rsid w:val="00D86ADC"/>
    <w:rsid w:val="00D86AF2"/>
    <w:rsid w:val="00DA01C2"/>
    <w:rsid w:val="00DA209E"/>
    <w:rsid w:val="00DB1065"/>
    <w:rsid w:val="00DC3FEF"/>
    <w:rsid w:val="00DF667F"/>
    <w:rsid w:val="00E1776B"/>
    <w:rsid w:val="00E259D4"/>
    <w:rsid w:val="00E364EF"/>
    <w:rsid w:val="00E408FB"/>
    <w:rsid w:val="00E474F5"/>
    <w:rsid w:val="00E81331"/>
    <w:rsid w:val="00EA5856"/>
    <w:rsid w:val="00EC5773"/>
    <w:rsid w:val="00EC5DB4"/>
    <w:rsid w:val="00EE773B"/>
    <w:rsid w:val="00EF734B"/>
    <w:rsid w:val="00F07EAE"/>
    <w:rsid w:val="00F4252A"/>
    <w:rsid w:val="00F51BD1"/>
    <w:rsid w:val="00F906B3"/>
    <w:rsid w:val="00FA6EA5"/>
    <w:rsid w:val="00FB129D"/>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EC253"/>
  <w15:docId w15:val="{B7F39021-DC34-448B-978F-79E4BCA9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90454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90454B"/>
    <w:rPr>
      <w:b/>
      <w:i/>
      <w:iCs/>
      <w:color w:val="B5464E"/>
    </w:rPr>
  </w:style>
  <w:style w:type="paragraph" w:styleId="Title">
    <w:name w:val="Title"/>
    <w:basedOn w:val="Normal"/>
    <w:next w:val="Normal"/>
    <w:link w:val="TitleChar"/>
    <w:qFormat/>
    <w:rsid w:val="0090454B"/>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90454B"/>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9C8A0-EDD5-DD40-9775-069C20EF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9212</CharactersWithSpaces>
  <SharedDoc>false</SharedDoc>
  <HLinks>
    <vt:vector size="90" baseType="variant">
      <vt:variant>
        <vt:i4>1966133</vt:i4>
      </vt:variant>
      <vt:variant>
        <vt:i4>86</vt:i4>
      </vt:variant>
      <vt:variant>
        <vt:i4>0</vt:i4>
      </vt:variant>
      <vt:variant>
        <vt:i4>5</vt:i4>
      </vt:variant>
      <vt:variant>
        <vt:lpwstr/>
      </vt:variant>
      <vt:variant>
        <vt:lpwstr>_Toc384702247</vt:lpwstr>
      </vt:variant>
      <vt:variant>
        <vt:i4>1966133</vt:i4>
      </vt:variant>
      <vt:variant>
        <vt:i4>80</vt:i4>
      </vt:variant>
      <vt:variant>
        <vt:i4>0</vt:i4>
      </vt:variant>
      <vt:variant>
        <vt:i4>5</vt:i4>
      </vt:variant>
      <vt:variant>
        <vt:lpwstr/>
      </vt:variant>
      <vt:variant>
        <vt:lpwstr>_Toc384702246</vt:lpwstr>
      </vt:variant>
      <vt:variant>
        <vt:i4>1966133</vt:i4>
      </vt:variant>
      <vt:variant>
        <vt:i4>74</vt:i4>
      </vt:variant>
      <vt:variant>
        <vt:i4>0</vt:i4>
      </vt:variant>
      <vt:variant>
        <vt:i4>5</vt:i4>
      </vt:variant>
      <vt:variant>
        <vt:lpwstr/>
      </vt:variant>
      <vt:variant>
        <vt:lpwstr>_Toc384702245</vt:lpwstr>
      </vt:variant>
      <vt:variant>
        <vt:i4>1966133</vt:i4>
      </vt:variant>
      <vt:variant>
        <vt:i4>68</vt:i4>
      </vt:variant>
      <vt:variant>
        <vt:i4>0</vt:i4>
      </vt:variant>
      <vt:variant>
        <vt:i4>5</vt:i4>
      </vt:variant>
      <vt:variant>
        <vt:lpwstr/>
      </vt:variant>
      <vt:variant>
        <vt:lpwstr>_Toc384702244</vt:lpwstr>
      </vt:variant>
      <vt:variant>
        <vt:i4>1966133</vt:i4>
      </vt:variant>
      <vt:variant>
        <vt:i4>62</vt:i4>
      </vt:variant>
      <vt:variant>
        <vt:i4>0</vt:i4>
      </vt:variant>
      <vt:variant>
        <vt:i4>5</vt:i4>
      </vt:variant>
      <vt:variant>
        <vt:lpwstr/>
      </vt:variant>
      <vt:variant>
        <vt:lpwstr>_Toc384702243</vt:lpwstr>
      </vt:variant>
      <vt:variant>
        <vt:i4>1966133</vt:i4>
      </vt:variant>
      <vt:variant>
        <vt:i4>56</vt:i4>
      </vt:variant>
      <vt:variant>
        <vt:i4>0</vt:i4>
      </vt:variant>
      <vt:variant>
        <vt:i4>5</vt:i4>
      </vt:variant>
      <vt:variant>
        <vt:lpwstr/>
      </vt:variant>
      <vt:variant>
        <vt:lpwstr>_Toc384702242</vt:lpwstr>
      </vt:variant>
      <vt:variant>
        <vt:i4>1966133</vt:i4>
      </vt:variant>
      <vt:variant>
        <vt:i4>50</vt:i4>
      </vt:variant>
      <vt:variant>
        <vt:i4>0</vt:i4>
      </vt:variant>
      <vt:variant>
        <vt:i4>5</vt:i4>
      </vt:variant>
      <vt:variant>
        <vt:lpwstr/>
      </vt:variant>
      <vt:variant>
        <vt:lpwstr>_Toc384702241</vt:lpwstr>
      </vt:variant>
      <vt:variant>
        <vt:i4>1966133</vt:i4>
      </vt:variant>
      <vt:variant>
        <vt:i4>44</vt:i4>
      </vt:variant>
      <vt:variant>
        <vt:i4>0</vt:i4>
      </vt:variant>
      <vt:variant>
        <vt:i4>5</vt:i4>
      </vt:variant>
      <vt:variant>
        <vt:lpwstr/>
      </vt:variant>
      <vt:variant>
        <vt:lpwstr>_Toc384702240</vt:lpwstr>
      </vt:variant>
      <vt:variant>
        <vt:i4>1638453</vt:i4>
      </vt:variant>
      <vt:variant>
        <vt:i4>38</vt:i4>
      </vt:variant>
      <vt:variant>
        <vt:i4>0</vt:i4>
      </vt:variant>
      <vt:variant>
        <vt:i4>5</vt:i4>
      </vt:variant>
      <vt:variant>
        <vt:lpwstr/>
      </vt:variant>
      <vt:variant>
        <vt:lpwstr>_Toc384702239</vt:lpwstr>
      </vt:variant>
      <vt:variant>
        <vt:i4>1638453</vt:i4>
      </vt:variant>
      <vt:variant>
        <vt:i4>32</vt:i4>
      </vt:variant>
      <vt:variant>
        <vt:i4>0</vt:i4>
      </vt:variant>
      <vt:variant>
        <vt:i4>5</vt:i4>
      </vt:variant>
      <vt:variant>
        <vt:lpwstr/>
      </vt:variant>
      <vt:variant>
        <vt:lpwstr>_Toc384702238</vt:lpwstr>
      </vt:variant>
      <vt:variant>
        <vt:i4>1638453</vt:i4>
      </vt:variant>
      <vt:variant>
        <vt:i4>26</vt:i4>
      </vt:variant>
      <vt:variant>
        <vt:i4>0</vt:i4>
      </vt:variant>
      <vt:variant>
        <vt:i4>5</vt:i4>
      </vt:variant>
      <vt:variant>
        <vt:lpwstr/>
      </vt:variant>
      <vt:variant>
        <vt:lpwstr>_Toc384702237</vt:lpwstr>
      </vt:variant>
      <vt:variant>
        <vt:i4>1638453</vt:i4>
      </vt:variant>
      <vt:variant>
        <vt:i4>20</vt:i4>
      </vt:variant>
      <vt:variant>
        <vt:i4>0</vt:i4>
      </vt:variant>
      <vt:variant>
        <vt:i4>5</vt:i4>
      </vt:variant>
      <vt:variant>
        <vt:lpwstr/>
      </vt:variant>
      <vt:variant>
        <vt:lpwstr>_Toc384702236</vt:lpwstr>
      </vt:variant>
      <vt:variant>
        <vt:i4>1638453</vt:i4>
      </vt:variant>
      <vt:variant>
        <vt:i4>14</vt:i4>
      </vt:variant>
      <vt:variant>
        <vt:i4>0</vt:i4>
      </vt:variant>
      <vt:variant>
        <vt:i4>5</vt:i4>
      </vt:variant>
      <vt:variant>
        <vt:lpwstr/>
      </vt:variant>
      <vt:variant>
        <vt:lpwstr>_Toc384702235</vt:lpwstr>
      </vt:variant>
      <vt:variant>
        <vt:i4>1638453</vt:i4>
      </vt:variant>
      <vt:variant>
        <vt:i4>8</vt:i4>
      </vt:variant>
      <vt:variant>
        <vt:i4>0</vt:i4>
      </vt:variant>
      <vt:variant>
        <vt:i4>5</vt:i4>
      </vt:variant>
      <vt:variant>
        <vt:lpwstr/>
      </vt:variant>
      <vt:variant>
        <vt:lpwstr>_Toc384702234</vt:lpwstr>
      </vt:variant>
      <vt:variant>
        <vt:i4>1638453</vt:i4>
      </vt:variant>
      <vt:variant>
        <vt:i4>2</vt:i4>
      </vt:variant>
      <vt:variant>
        <vt:i4>0</vt:i4>
      </vt:variant>
      <vt:variant>
        <vt:i4>5</vt:i4>
      </vt:variant>
      <vt:variant>
        <vt:lpwstr/>
      </vt:variant>
      <vt:variant>
        <vt:lpwstr>_Toc384702233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2019-10-11T02:43:00Z</dcterms:created>
  <dcterms:modified xsi:type="dcterms:W3CDTF">2020-12-15T23:17:00Z</dcterms:modified>
</cp:coreProperties>
</file>