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F3864"/>
          <w:sz w:val="48"/>
          <w:szCs w:val="48"/>
        </w:rPr>
        <w:t xml:space="preserve">STACKS ENDOWMENT GRANT</w:t>
      </w:r>
    </w:p>
    <w:p>
      <w:pPr>
        <w:pBdr>
          <w:bottom w:val="single" w:color="2E75B6" w:sz="6" w:space="1"/>
        </w:pBdr>
        <w:spacing w:after="120" w:before="0"/>
        <w:jc w:val="center"/>
      </w:pPr>
      <w:r>
        <w:rPr>
          <w:rFonts w:ascii="Arial" w:cs="Arial" w:eastAsia="Arial" w:hAnsi="Arial"/>
          <w:b/>
          <w:bCs/>
          <w:color w:val="2E75B6"/>
          <w:sz w:val="36"/>
          <w:szCs w:val="36"/>
        </w:rPr>
        <w:t xml:space="preserve">Product Requirements Document</w:t>
      </w:r>
    </w:p>
    <w:p>
      <w:pPr>
        <w:spacing w:after="80" w:before="80"/>
      </w:pPr>
      <w:r>
        <w:t xml:space="preserve"/>
      </w:r>
    </w:p>
    <w:p>
      <w:pPr>
        <w:spacing w:after="120" w:before="0"/>
        <w:jc w:val="center"/>
      </w:pPr>
      <w:r>
        <w:rPr>
          <w:rFonts w:ascii="Arial" w:cs="Arial" w:eastAsia="Arial" w:hAnsi="Arial"/>
          <w:b/>
          <w:bCs/>
          <w:color w:val="1F3864"/>
          <w:sz w:val="52"/>
          <w:szCs w:val="52"/>
        </w:rPr>
        <w:t xml:space="preserve">Autonomous Credit-Risk Underwriter for Bitcoin DeFi</w:t>
      </w:r>
    </w:p>
    <w:p>
      <w:pPr>
        <w:spacing w:after="360" w:before="0"/>
        <w:jc w:val="center"/>
      </w:pPr>
      <w:r>
        <w:rPr>
          <w:rFonts w:ascii="Arial" w:cs="Arial" w:eastAsia="Arial" w:hAnsi="Arial"/>
          <w:i/>
          <w:iCs/>
          <w:color w:val="555555"/>
          <w:sz w:val="26"/>
          <w:szCs w:val="26"/>
        </w:rPr>
        <w:t xml:space="preserve">AI-powered on-chain credit scoring to unlock capital efficiency on Stacks lending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PRD — Bitcoin DeFi Credit-Risk Underwriter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Grant Track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Stacks Endowment — Getting Started Program (Q2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 Decentralised Lending / Bitcoin-Native Finance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Henry Agukwe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grant milestone cadence</w:t>
            </w:r>
          </w:p>
        </w:tc>
      </w:tr>
    </w:tbl>
    <w:p>
      <w:pPr>
        <w:spacing w:after="720" w:before="0"/>
      </w:pPr>
      <w:r>
        <w:t xml:space="preserve"/>
      </w:r>
    </w:p>
    <w:p>
      <w:pPr>
        <w:pStyle w:val="Heading1"/>
        <w:pBdr>
          <w:bottom w:val="single" w:color="2E75B6" w:sz="12" w:space="4"/>
        </w:pBdr>
        <w:spacing w:after="0" w:before="280"/>
      </w:pPr>
      <w:r>
        <w:rPr>
          <w:rFonts w:ascii="Arial" w:cs="Arial" w:eastAsia="Arial" w:hAnsi="Arial"/>
          <w:b/>
          <w:bCs/>
          <w:color w:val="1F3864"/>
          <w:sz w:val="32"/>
          <w:szCs w:val="32"/>
        </w:rPr>
        <w:t xml:space="preserve">1. Executive Summary</w:t>
      </w:r>
    </w:p>
    <w:p>
      <w:pPr>
        <w:pBdr>
          <w:bottom w:val="single" w:color="2E75B6" w:sz="12" w:space="1"/>
        </w:pBdr>
        <w:spacing w:after="160" w:before="0"/>
      </w:pPr>
      <w:r>
        <w:t xml:space="preserve"/>
      </w:r>
    </w:p>
    <w:p>
      <w:pPr>
        <w:spacing w:after="80" w:before="80"/>
      </w:pPr>
      <w:r>
        <w:rPr>
          <w:rFonts w:ascii="Arial" w:cs="Arial" w:eastAsia="Arial" w:hAnsi="Arial"/>
          <w:color w:val="1A1A1A"/>
          <w:sz w:val="20"/>
          <w:szCs w:val="20"/>
        </w:rPr>
        <w:t xml:space="preserve">The Autonomous Credit-Risk Underwriter is an AI-native financial primitive for the Stacks Bitcoin Layer 2 ecosystem. It resolves a structural capital inefficiency in Stacks-based lending: today, protocols such as Zest Protocol require heavy over-collateralisation because no on-chain credit profiling system exists. This forces Bitcoin holders to lock up more collateral than necessary, depressing productive deployment of sBTC and reducing overall DeFi TVL.</w:t>
      </w:r>
    </w:p>
    <w:p>
      <w:pPr>
        <w:spacing w:after="80" w:before="80"/>
      </w:pPr>
      <w:r>
        <w:rPr>
          <w:rFonts w:ascii="Arial" w:cs="Arial" w:eastAsia="Arial" w:hAnsi="Arial"/>
          <w:color w:val="1A1A1A"/>
          <w:sz w:val="20"/>
          <w:szCs w:val="20"/>
        </w:rPr>
        <w:t xml:space="preserve">This project deploys a machine learning model that parses a borrower's historical Stacks wallet behaviour — transaction frequency, Stacking participation, and stablecoin usage — to generate an autonomous trust score. That score is surfaced through a Next.js frontend connected to a Clarity escrow contract stub on testnet, demonstrating a credible path to under-collateralised micro-lending on Bitcoin.</w:t>
      </w:r>
    </w:p>
    <w:p>
      <w:pPr>
        <w:spacing w:after="80" w:before="80"/>
      </w:pPr>
      <w:r>
        <w:rPr>
          <w:rFonts w:ascii="Arial" w:cs="Arial" w:eastAsia="Arial" w:hAnsi="Arial"/>
          <w:color w:val="1A1A1A"/>
          <w:sz w:val="20"/>
          <w:szCs w:val="20"/>
        </w:rPr>
        <w:t xml:space="preserve">The project maps directly to the Stacks 2026 roadmap priorities of healthy DeFi, deep liquidity, and AI-agent-managed portfolios, and addresses a gap no existing Stacks protocol currently fills.</w:t>
      </w:r>
    </w:p>
    <w:p>
      <w:pPr>
        <w:pStyle w:val="Heading1"/>
        <w:pBdr>
          <w:bottom w:val="single" w:color="2E75B6" w:sz="12" w:space="4"/>
        </w:pBdr>
        <w:spacing w:after="0" w:before="280"/>
      </w:pPr>
      <w:r>
        <w:rPr>
          <w:rFonts w:ascii="Arial" w:cs="Arial" w:eastAsia="Arial" w:hAnsi="Arial"/>
          <w:b/>
          <w:bCs/>
          <w:color w:val="1F3864"/>
          <w:sz w:val="32"/>
          <w:szCs w:val="32"/>
        </w:rPr>
        <w:t xml:space="preserve">2. Problem Statement</w:t>
      </w:r>
    </w:p>
    <w:p>
      <w:pPr>
        <w:pBdr>
          <w:bottom w:val="single" w:color="2E75B6" w:sz="12" w:space="1"/>
        </w:pBdr>
        <w:spacing w:after="160" w:before="0"/>
      </w:pPr>
      <w:r>
        <w:t xml:space="preserve"/>
      </w:r>
    </w:p>
    <w:p>
      <w:pPr>
        <w:pStyle w:val="Heading2"/>
        <w:spacing w:after="80" w:before="200"/>
      </w:pPr>
      <w:r>
        <w:rPr>
          <w:rFonts w:ascii="Arial" w:cs="Arial" w:eastAsia="Arial" w:hAnsi="Arial"/>
          <w:b/>
          <w:bCs/>
          <w:color w:val="2E75B6"/>
          <w:sz w:val="26"/>
          <w:szCs w:val="26"/>
        </w:rPr>
        <w:t xml:space="preserve">2.1 Market Gap</w:t>
      </w:r>
    </w:p>
    <w:p>
      <w:pPr>
        <w:spacing w:after="80" w:before="80"/>
      </w:pPr>
      <w:r>
        <w:rPr>
          <w:rFonts w:ascii="Arial" w:cs="Arial" w:eastAsia="Arial" w:hAnsi="Arial"/>
          <w:color w:val="1A1A1A"/>
          <w:sz w:val="20"/>
          <w:szCs w:val="20"/>
        </w:rPr>
        <w:t xml:space="preserve">Bitcoin DeFi on Stacks is structurally constrained by the absence of native credit infrastructure. Current lending protocols operate on a fully collateralised model: borrowers must lock sBTC or STX worth more than the loan value. This:</w:t>
      </w:r>
    </w:p>
    <w:p>
      <w:pPr>
        <w:pStyle w:val="ListParagraph"/>
        <w:numPr>
          <w:ilvl w:val="0"/>
          <w:numId w:val="2"/>
        </w:numPr>
        <w:spacing w:after="40" w:before="40"/>
      </w:pPr>
      <w:r>
        <w:rPr>
          <w:rFonts w:ascii="Arial" w:cs="Arial" w:eastAsia="Arial" w:hAnsi="Arial"/>
          <w:b w:val="false"/>
          <w:bCs w:val="false"/>
          <w:color w:val="1A1A1A"/>
          <w:sz w:val="20"/>
          <w:szCs w:val="20"/>
        </w:rPr>
        <w:t xml:space="preserve">Excludes users who lack sufficient collateral but have strong repayment histories</w:t>
      </w:r>
    </w:p>
    <w:p>
      <w:pPr>
        <w:pStyle w:val="ListParagraph"/>
        <w:numPr>
          <w:ilvl w:val="0"/>
          <w:numId w:val="2"/>
        </w:numPr>
        <w:spacing w:after="40" w:before="40"/>
      </w:pPr>
      <w:r>
        <w:rPr>
          <w:rFonts w:ascii="Arial" w:cs="Arial" w:eastAsia="Arial" w:hAnsi="Arial"/>
          <w:b w:val="false"/>
          <w:bCs w:val="false"/>
          <w:color w:val="1A1A1A"/>
          <w:sz w:val="20"/>
          <w:szCs w:val="20"/>
        </w:rPr>
        <w:t xml:space="preserve">Locks capital inefficiently, reducing the velocity of sBTC across the ecosystem</w:t>
      </w:r>
    </w:p>
    <w:p>
      <w:pPr>
        <w:pStyle w:val="ListParagraph"/>
        <w:numPr>
          <w:ilvl w:val="0"/>
          <w:numId w:val="2"/>
        </w:numPr>
        <w:spacing w:after="40" w:before="40"/>
      </w:pPr>
      <w:r>
        <w:rPr>
          <w:rFonts w:ascii="Arial" w:cs="Arial" w:eastAsia="Arial" w:hAnsi="Arial"/>
          <w:b w:val="false"/>
          <w:bCs w:val="false"/>
          <w:color w:val="1A1A1A"/>
          <w:sz w:val="20"/>
          <w:szCs w:val="20"/>
        </w:rPr>
        <w:t xml:space="preserve">Limits loan size, making micro-lending economically unviable at current collateral ratios</w:t>
      </w:r>
    </w:p>
    <w:p>
      <w:pPr>
        <w:pStyle w:val="Heading2"/>
        <w:spacing w:after="80" w:before="200"/>
      </w:pPr>
      <w:r>
        <w:rPr>
          <w:rFonts w:ascii="Arial" w:cs="Arial" w:eastAsia="Arial" w:hAnsi="Arial"/>
          <w:b/>
          <w:bCs/>
          <w:color w:val="2E75B6"/>
          <w:sz w:val="26"/>
          <w:szCs w:val="26"/>
        </w:rPr>
        <w:t xml:space="preserve">2.2 Root Cause</w:t>
      </w:r>
    </w:p>
    <w:p>
      <w:pPr>
        <w:spacing w:after="80" w:before="80"/>
      </w:pPr>
      <w:r>
        <w:rPr>
          <w:rFonts w:ascii="Arial" w:cs="Arial" w:eastAsia="Arial" w:hAnsi="Arial"/>
          <w:color w:val="1A1A1A"/>
          <w:sz w:val="20"/>
          <w:szCs w:val="20"/>
        </w:rPr>
        <w:t xml:space="preserve">No protocol on Stacks today ingests on-chain wallet behaviour to produce a creditworthiness signal. The data exists — every Stacks address has a public, auditable history — but no tooling aggregates and scores it in a lending-relevant format.</w:t>
      </w:r>
    </w:p>
    <w:p>
      <w:pPr>
        <w:pStyle w:val="Heading2"/>
        <w:spacing w:after="80" w:before="200"/>
      </w:pPr>
      <w:r>
        <w:rPr>
          <w:rFonts w:ascii="Arial" w:cs="Arial" w:eastAsia="Arial" w:hAnsi="Arial"/>
          <w:b/>
          <w:bCs/>
          <w:color w:val="2E75B6"/>
          <w:sz w:val="26"/>
          <w:szCs w:val="26"/>
        </w:rPr>
        <w:t xml:space="preserve">2.3 Opportunity</w:t>
      </w:r>
    </w:p>
    <w:p>
      <w:pPr>
        <w:spacing w:after="80" w:before="80"/>
      </w:pPr>
      <w:r>
        <w:rPr>
          <w:rFonts w:ascii="Arial" w:cs="Arial" w:eastAsia="Arial" w:hAnsi="Arial"/>
          <w:color w:val="1A1A1A"/>
          <w:sz w:val="20"/>
          <w:szCs w:val="20"/>
        </w:rPr>
        <w:t xml:space="preserve">A lightweight ML model trained on wallet-derived features can produce a probabilistic trust score that lending protocols could use to reduce required collateral ratios for high-scoring borrowers, directly increasing DeFi capital efficiency on Stacks.</w:t>
      </w:r>
    </w:p>
    <w:p>
      <w:pPr>
        <w:pStyle w:val="Heading1"/>
        <w:pBdr>
          <w:bottom w:val="single" w:color="2E75B6" w:sz="12" w:space="4"/>
        </w:pBdr>
        <w:spacing w:after="0" w:before="280"/>
      </w:pPr>
      <w:r>
        <w:rPr>
          <w:rFonts w:ascii="Arial" w:cs="Arial" w:eastAsia="Arial" w:hAnsi="Arial"/>
          <w:b/>
          <w:bCs/>
          <w:color w:val="1F3864"/>
          <w:sz w:val="32"/>
          <w:szCs w:val="32"/>
        </w:rPr>
        <w:t xml:space="preserve">3. Goals and Non-Goals</w:t>
      </w:r>
    </w:p>
    <w:p>
      <w:pPr>
        <w:pBdr>
          <w:bottom w:val="single" w:color="2E75B6" w:sz="12" w:space="1"/>
        </w:pBdr>
        <w:spacing w:after="160" w:before="0"/>
      </w:pPr>
      <w:r>
        <w:t xml:space="preserve"/>
      </w:r>
    </w:p>
    <w:p>
      <w:pPr>
        <w:pStyle w:val="Heading2"/>
        <w:spacing w:after="80" w:before="200"/>
      </w:pPr>
      <w:r>
        <w:rPr>
          <w:rFonts w:ascii="Arial" w:cs="Arial" w:eastAsia="Arial" w:hAnsi="Arial"/>
          <w:b/>
          <w:bCs/>
          <w:color w:val="2E75B6"/>
          <w:sz w:val="26"/>
          <w:szCs w:val="26"/>
        </w:rPr>
        <w:t xml:space="preserve">3.1 Goals</w:t>
      </w:r>
    </w:p>
    <w:p>
      <w:pPr>
        <w:pStyle w:val="ListParagraph"/>
        <w:numPr>
          <w:ilvl w:val="0"/>
          <w:numId w:val="2"/>
        </w:numPr>
        <w:spacing w:after="40" w:before="40"/>
      </w:pPr>
      <w:r>
        <w:rPr>
          <w:rFonts w:ascii="Arial" w:cs="Arial" w:eastAsia="Arial" w:hAnsi="Arial"/>
          <w:b w:val="false"/>
          <w:bCs w:val="false"/>
          <w:color w:val="1A1A1A"/>
          <w:sz w:val="20"/>
          <w:szCs w:val="20"/>
        </w:rPr>
        <w:t xml:space="preserve">Build a data pipeline aggregating on-chain Stacks wallet metrics via the Stacks Extended API</w:t>
      </w:r>
    </w:p>
    <w:p>
      <w:pPr>
        <w:pStyle w:val="ListParagraph"/>
        <w:numPr>
          <w:ilvl w:val="0"/>
          <w:numId w:val="2"/>
        </w:numPr>
        <w:spacing w:after="40" w:before="40"/>
      </w:pPr>
      <w:r>
        <w:rPr>
          <w:rFonts w:ascii="Arial" w:cs="Arial" w:eastAsia="Arial" w:hAnsi="Arial"/>
          <w:b w:val="false"/>
          <w:bCs w:val="false"/>
          <w:color w:val="1A1A1A"/>
          <w:sz w:val="20"/>
          <w:szCs w:val="20"/>
        </w:rPr>
        <w:t xml:space="preserve">Train a Random Forest classifier producing a credit trust score (0 to 100) from wallet features</w:t>
      </w:r>
    </w:p>
    <w:p>
      <w:pPr>
        <w:pStyle w:val="ListParagraph"/>
        <w:numPr>
          <w:ilvl w:val="0"/>
          <w:numId w:val="2"/>
        </w:numPr>
        <w:spacing w:after="40" w:before="40"/>
      </w:pPr>
      <w:r>
        <w:rPr>
          <w:rFonts w:ascii="Arial" w:cs="Arial" w:eastAsia="Arial" w:hAnsi="Arial"/>
          <w:b w:val="false"/>
          <w:bCs w:val="false"/>
          <w:color w:val="1A1A1A"/>
          <w:sz w:val="20"/>
          <w:szCs w:val="20"/>
        </w:rPr>
        <w:t xml:space="preserve">Deploy a Clarity 5 escrow contract stub on Stacks testnet reading the score as an input parameter</w:t>
      </w:r>
    </w:p>
    <w:p>
      <w:pPr>
        <w:pStyle w:val="ListParagraph"/>
        <w:numPr>
          <w:ilvl w:val="0"/>
          <w:numId w:val="2"/>
        </w:numPr>
        <w:spacing w:after="40" w:before="40"/>
      </w:pPr>
      <w:r>
        <w:rPr>
          <w:rFonts w:ascii="Arial" w:cs="Arial" w:eastAsia="Arial" w:hAnsi="Arial"/>
          <w:b w:val="false"/>
          <w:bCs w:val="false"/>
          <w:color w:val="1A1A1A"/>
          <w:sz w:val="20"/>
          <w:szCs w:val="20"/>
        </w:rPr>
        <w:t xml:space="preserve">Deliver a Next.js frontend allowing a user to connect a wallet and receive their trust score</w:t>
      </w:r>
    </w:p>
    <w:p>
      <w:pPr>
        <w:pStyle w:val="ListParagraph"/>
        <w:numPr>
          <w:ilvl w:val="0"/>
          <w:numId w:val="2"/>
        </w:numPr>
        <w:spacing w:after="40" w:before="40"/>
      </w:pPr>
      <w:r>
        <w:rPr>
          <w:rFonts w:ascii="Arial" w:cs="Arial" w:eastAsia="Arial" w:hAnsi="Arial"/>
          <w:b w:val="false"/>
          <w:bCs w:val="false"/>
          <w:color w:val="1A1A1A"/>
          <w:sz w:val="20"/>
          <w:szCs w:val="20"/>
        </w:rPr>
        <w:t xml:space="preserve">Publish all code open-source on GitHub with documentation and a recorded demo</w:t>
      </w:r>
    </w:p>
    <w:p>
      <w:pPr>
        <w:pStyle w:val="Heading2"/>
        <w:spacing w:after="80" w:before="200"/>
      </w:pPr>
      <w:r>
        <w:rPr>
          <w:rFonts w:ascii="Arial" w:cs="Arial" w:eastAsia="Arial" w:hAnsi="Arial"/>
          <w:b/>
          <w:bCs/>
          <w:color w:val="2E75B6"/>
          <w:sz w:val="26"/>
          <w:szCs w:val="26"/>
        </w:rPr>
        <w:t xml:space="preserve">3.2 Non-Goals</w:t>
      </w:r>
    </w:p>
    <w:p>
      <w:pPr>
        <w:pStyle w:val="ListParagraph"/>
        <w:numPr>
          <w:ilvl w:val="0"/>
          <w:numId w:val="2"/>
        </w:numPr>
        <w:spacing w:after="40" w:before="40"/>
      </w:pPr>
      <w:r>
        <w:rPr>
          <w:rFonts w:ascii="Arial" w:cs="Arial" w:eastAsia="Arial" w:hAnsi="Arial"/>
          <w:b w:val="false"/>
          <w:bCs w:val="false"/>
          <w:color w:val="1A1A1A"/>
          <w:sz w:val="20"/>
          <w:szCs w:val="20"/>
        </w:rPr>
        <w:t xml:space="preserve">Mainnet loan origination or real capital deployment — testnet only in this grant period</w:t>
      </w:r>
    </w:p>
    <w:p>
      <w:pPr>
        <w:pStyle w:val="ListParagraph"/>
        <w:numPr>
          <w:ilvl w:val="0"/>
          <w:numId w:val="2"/>
        </w:numPr>
        <w:spacing w:after="40" w:before="40"/>
      </w:pPr>
      <w:r>
        <w:rPr>
          <w:rFonts w:ascii="Arial" w:cs="Arial" w:eastAsia="Arial" w:hAnsi="Arial"/>
          <w:b w:val="false"/>
          <w:bCs w:val="false"/>
          <w:color w:val="1A1A1A"/>
          <w:sz w:val="20"/>
          <w:szCs w:val="20"/>
        </w:rPr>
        <w:t xml:space="preserve">Off-chain identity or KYC integration — purely on-chain signals</w:t>
      </w:r>
    </w:p>
    <w:p>
      <w:pPr>
        <w:pStyle w:val="ListParagraph"/>
        <w:numPr>
          <w:ilvl w:val="0"/>
          <w:numId w:val="2"/>
        </w:numPr>
        <w:spacing w:after="40" w:before="40"/>
      </w:pPr>
      <w:r>
        <w:rPr>
          <w:rFonts w:ascii="Arial" w:cs="Arial" w:eastAsia="Arial" w:hAnsi="Arial"/>
          <w:b w:val="false"/>
          <w:bCs w:val="false"/>
          <w:color w:val="1A1A1A"/>
          <w:sz w:val="20"/>
          <w:szCs w:val="20"/>
        </w:rPr>
        <w:t xml:space="preserve">Support for non-Stacks chains or sBTC bridge interactions</w:t>
      </w:r>
    </w:p>
    <w:p>
      <w:pPr>
        <w:pStyle w:val="ListParagraph"/>
        <w:numPr>
          <w:ilvl w:val="0"/>
          <w:numId w:val="2"/>
        </w:numPr>
        <w:spacing w:after="40" w:before="40"/>
      </w:pPr>
      <w:r>
        <w:rPr>
          <w:rFonts w:ascii="Arial" w:cs="Arial" w:eastAsia="Arial" w:hAnsi="Arial"/>
          <w:b w:val="false"/>
          <w:bCs w:val="false"/>
          <w:color w:val="1A1A1A"/>
          <w:sz w:val="20"/>
          <w:szCs w:val="20"/>
        </w:rPr>
        <w:t xml:space="preserve">A production-grade lending protocol — this is a proof-of-concept scoring primitive</w:t>
      </w:r>
    </w:p>
    <w:p>
      <w:pPr>
        <w:pStyle w:val="Heading1"/>
        <w:pBdr>
          <w:bottom w:val="single" w:color="2E75B6" w:sz="12" w:space="4"/>
        </w:pBdr>
        <w:spacing w:after="0" w:before="280"/>
      </w:pPr>
      <w:r>
        <w:rPr>
          <w:rFonts w:ascii="Arial" w:cs="Arial" w:eastAsia="Arial" w:hAnsi="Arial"/>
          <w:b/>
          <w:bCs/>
          <w:color w:val="1F3864"/>
          <w:sz w:val="32"/>
          <w:szCs w:val="32"/>
        </w:rPr>
        <w:t xml:space="preserve">4. Target Users</w:t>
      </w:r>
    </w:p>
    <w:p>
      <w:pPr>
        <w:pBdr>
          <w:bottom w:val="single" w:color="2E75B6" w:sz="12" w:space="1"/>
        </w:pBdr>
        <w:spacing w:after="160" w:before="0"/>
      </w:pPr>
      <w:r>
        <w:t xml:space="preserve"/>
      </w:r>
    </w:p>
    <w:p>
      <w:pPr>
        <w:spacing w:after="80" w:before="80"/>
      </w:pPr>
      <w:r>
        <w:rPr>
          <w:rFonts w:ascii="Arial" w:cs="Arial" w:eastAsia="Arial" w:hAnsi="Arial"/>
          <w:color w:val="1A1A1A"/>
          <w:sz w:val="20"/>
          <w:szCs w:val="20"/>
        </w:rPr>
        <w:t xml:space="preserve">Primary: Stacks-native DeFi protocols (Zest Protocol, Granite) seeking to introduce differentiated collateral requirements based on borrower on-chain history.</w:t>
      </w:r>
    </w:p>
    <w:p>
      <w:pPr>
        <w:spacing w:after="80" w:before="80"/>
      </w:pPr>
      <w:r>
        <w:rPr>
          <w:rFonts w:ascii="Arial" w:cs="Arial" w:eastAsia="Arial" w:hAnsi="Arial"/>
          <w:color w:val="1A1A1A"/>
          <w:sz w:val="20"/>
          <w:szCs w:val="20"/>
        </w:rPr>
        <w:t xml:space="preserve">Secondary: Bitcoin holders on Stacks with active transaction histories who want access to more capital-efficient borrowing terms.</w:t>
      </w:r>
    </w:p>
    <w:p>
      <w:pPr>
        <w:spacing w:after="80" w:before="80"/>
      </w:pPr>
      <w:r>
        <w:rPr>
          <w:rFonts w:ascii="Arial" w:cs="Arial" w:eastAsia="Arial" w:hAnsi="Arial"/>
          <w:color w:val="1A1A1A"/>
          <w:sz w:val="20"/>
          <w:szCs w:val="20"/>
        </w:rPr>
        <w:t xml:space="preserve">Tertiary: Stacks grant reviewers and ecosystem contributors evaluating the feasibility of on-chain credit infrastructure on Bitcoin.</w:t>
      </w:r>
    </w:p>
    <w:p>
      <w:pPr>
        <w:pStyle w:val="Heading1"/>
        <w:pBdr>
          <w:bottom w:val="single" w:color="2E75B6" w:sz="12" w:space="4"/>
        </w:pBdr>
        <w:spacing w:after="0" w:before="280"/>
      </w:pPr>
      <w:r>
        <w:rPr>
          <w:rFonts w:ascii="Arial" w:cs="Arial" w:eastAsia="Arial" w:hAnsi="Arial"/>
          <w:b/>
          <w:bCs/>
          <w:color w:val="1F3864"/>
          <w:sz w:val="32"/>
          <w:szCs w:val="32"/>
        </w:rPr>
        <w:t xml:space="preserve">5. Technical Architecture</w:t>
      </w:r>
    </w:p>
    <w:p>
      <w:pPr>
        <w:pBdr>
          <w:bottom w:val="single" w:color="2E75B6" w:sz="12" w:space="1"/>
        </w:pBdr>
        <w:spacing w:after="160" w:before="0"/>
      </w:pPr>
      <w:r>
        <w:t xml:space="preserve"/>
      </w:r>
    </w:p>
    <w:p>
      <w:pPr>
        <w:pStyle w:val="Heading2"/>
        <w:spacing w:after="80" w:before="200"/>
      </w:pPr>
      <w:r>
        <w:rPr>
          <w:rFonts w:ascii="Arial" w:cs="Arial" w:eastAsia="Arial" w:hAnsi="Arial"/>
          <w:b/>
          <w:bCs/>
          <w:color w:val="2E75B6"/>
          <w:sz w:val="26"/>
          <w:szCs w:val="26"/>
        </w:rPr>
        <w:t xml:space="preserve">5.1 System Overview</w:t>
      </w:r>
    </w:p>
    <w:p>
      <w:pPr>
        <w:spacing w:after="80" w:before="80"/>
      </w:pPr>
      <w:r>
        <w:rPr>
          <w:rFonts w:ascii="Arial" w:cs="Arial" w:eastAsia="Arial" w:hAnsi="Arial"/>
          <w:color w:val="1A1A1A"/>
          <w:sz w:val="20"/>
          <w:szCs w:val="20"/>
        </w:rPr>
        <w:t xml:space="preserve">The system comprises three layers: a data pipeline (Python), an ML scoring engine (scikit-learn), and a presentation layer (Next.js + Clarity). Each layer is independently testable and deployable.</w:t>
      </w:r>
    </w:p>
    <w:p>
      <w:pPr>
        <w:pStyle w:val="Heading2"/>
        <w:spacing w:after="80" w:before="200"/>
      </w:pPr>
      <w:r>
        <w:rPr>
          <w:rFonts w:ascii="Arial" w:cs="Arial" w:eastAsia="Arial" w:hAnsi="Arial"/>
          <w:b/>
          <w:bCs/>
          <w:color w:val="2E75B6"/>
          <w:sz w:val="26"/>
          <w:szCs w:val="26"/>
        </w:rPr>
        <w:t xml:space="preserve">5.2 Data Pipeline — API Contract</w:t>
      </w:r>
    </w:p>
    <w:p>
      <w:pPr>
        <w:spacing w:after="80" w:before="80"/>
      </w:pPr>
      <w:r>
        <w:rPr>
          <w:rFonts w:ascii="Arial" w:cs="Arial" w:eastAsia="Arial" w:hAnsi="Arial"/>
          <w:color w:val="1A1A1A"/>
          <w:sz w:val="20"/>
          <w:szCs w:val="20"/>
        </w:rPr>
        <w:t xml:space="preserve">The pipeline queries the following Stacks Extended API endpoints to construct feature vectors per wallet address: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Data Retrieved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ML Feature 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/extended/v1/address/{addr}/transactions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tx history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frequency, tx volume, wallet 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/extended/v1/address/{addr}/stacking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Stacking history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Long-term STX locking as trust signal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/extended/v1/tokens/ft/transfers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USDCx transfer events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Stablecoin usage as creditworthiness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Zest Protocol contract reads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Loan origination and repayment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Ground-truth default labels for model training</w:t>
            </w:r>
          </w:p>
        </w:tc>
      </w:tr>
    </w:tbl>
    <w:p>
      <w:pPr>
        <w:spacing w:after="80" w:before="80"/>
      </w:pPr>
      <w:r>
        <w:t xml:space="preserve"/>
      </w:r>
    </w:p>
    <w:p>
      <w:pPr>
        <w:pStyle w:val="Heading2"/>
        <w:spacing w:after="80" w:before="200"/>
      </w:pPr>
      <w:r>
        <w:rPr>
          <w:rFonts w:ascii="Arial" w:cs="Arial" w:eastAsia="Arial" w:hAnsi="Arial"/>
          <w:b/>
          <w:bCs/>
          <w:color w:val="2E75B6"/>
          <w:sz w:val="26"/>
          <w:szCs w:val="26"/>
        </w:rPr>
        <w:t xml:space="preserve">5.3 Feature Engineering</w:t>
      </w:r>
    </w:p>
    <w:p>
      <w:pPr>
        <w:spacing w:after="80" w:before="80"/>
      </w:pPr>
      <w:r>
        <w:rPr>
          <w:rFonts w:ascii="Arial" w:cs="Arial" w:eastAsia="Arial" w:hAnsi="Arial"/>
          <w:color w:val="1A1A1A"/>
          <w:sz w:val="20"/>
          <w:szCs w:val="20"/>
        </w:rPr>
        <w:t xml:space="preserve">Each wallet address is encoded as a feature vector with the following dimensions used for model training:</w:t>
      </w:r>
    </w:p>
    <w:p>
      <w:pPr>
        <w:pStyle w:val="ListParagraph"/>
        <w:numPr>
          <w:ilvl w:val="0"/>
          <w:numId w:val="2"/>
        </w:numPr>
        <w:spacing w:after="40" w:before="40"/>
      </w:pPr>
      <w:r>
        <w:rPr>
          <w:rFonts w:ascii="Arial" w:cs="Arial" w:eastAsia="Arial" w:hAnsi="Arial"/>
          <w:b w:val="false"/>
          <w:bCs w:val="false"/>
          <w:color w:val="1A1A1A"/>
          <w:sz w:val="20"/>
          <w:szCs w:val="20"/>
        </w:rPr>
        <w:t xml:space="preserve">tx_count_90d — transaction count in the last 90 days</w:t>
      </w:r>
    </w:p>
    <w:p>
      <w:pPr>
        <w:pStyle w:val="ListParagraph"/>
        <w:numPr>
          <w:ilvl w:val="0"/>
          <w:numId w:val="2"/>
        </w:numPr>
        <w:spacing w:after="40" w:before="40"/>
      </w:pPr>
      <w:r>
        <w:rPr>
          <w:rFonts w:ascii="Arial" w:cs="Arial" w:eastAsia="Arial" w:hAnsi="Arial"/>
          <w:b w:val="false"/>
          <w:bCs w:val="false"/>
          <w:color w:val="1A1A1A"/>
          <w:sz w:val="20"/>
          <w:szCs w:val="20"/>
        </w:rPr>
        <w:t xml:space="preserve">avg_tx_value_stx — mean STX value per transaction</w:t>
      </w:r>
    </w:p>
    <w:p>
      <w:pPr>
        <w:pStyle w:val="ListParagraph"/>
        <w:numPr>
          <w:ilvl w:val="0"/>
          <w:numId w:val="2"/>
        </w:numPr>
        <w:spacing w:after="40" w:before="40"/>
      </w:pPr>
      <w:r>
        <w:rPr>
          <w:rFonts w:ascii="Arial" w:cs="Arial" w:eastAsia="Arial" w:hAnsi="Arial"/>
          <w:b w:val="false"/>
          <w:bCs w:val="false"/>
          <w:color w:val="1A1A1A"/>
          <w:sz w:val="20"/>
          <w:szCs w:val="20"/>
        </w:rPr>
        <w:t xml:space="preserve">stacking_cycles — number of completed Stacking cycles</w:t>
      </w:r>
    </w:p>
    <w:p>
      <w:pPr>
        <w:pStyle w:val="ListParagraph"/>
        <w:numPr>
          <w:ilvl w:val="0"/>
          <w:numId w:val="2"/>
        </w:numPr>
        <w:spacing w:after="40" w:before="40"/>
      </w:pPr>
      <w:r>
        <w:rPr>
          <w:rFonts w:ascii="Arial" w:cs="Arial" w:eastAsia="Arial" w:hAnsi="Arial"/>
          <w:b w:val="false"/>
          <w:bCs w:val="false"/>
          <w:color w:val="1A1A1A"/>
          <w:sz w:val="20"/>
          <w:szCs w:val="20"/>
        </w:rPr>
        <w:t xml:space="preserve">stacking_streak — consecutive cycles without interruption</w:t>
      </w:r>
    </w:p>
    <w:p>
      <w:pPr>
        <w:pStyle w:val="ListParagraph"/>
        <w:numPr>
          <w:ilvl w:val="0"/>
          <w:numId w:val="2"/>
        </w:numPr>
        <w:spacing w:after="40" w:before="40"/>
      </w:pPr>
      <w:r>
        <w:rPr>
          <w:rFonts w:ascii="Arial" w:cs="Arial" w:eastAsia="Arial" w:hAnsi="Arial"/>
          <w:b w:val="false"/>
          <w:bCs w:val="false"/>
          <w:color w:val="1A1A1A"/>
          <w:sz w:val="20"/>
          <w:szCs w:val="20"/>
        </w:rPr>
        <w:t xml:space="preserve">usdcx_interactions — count of USDCx send/receive events</w:t>
      </w:r>
    </w:p>
    <w:p>
      <w:pPr>
        <w:pStyle w:val="ListParagraph"/>
        <w:numPr>
          <w:ilvl w:val="0"/>
          <w:numId w:val="2"/>
        </w:numPr>
        <w:spacing w:after="40" w:before="40"/>
      </w:pPr>
      <w:r>
        <w:rPr>
          <w:rFonts w:ascii="Arial" w:cs="Arial" w:eastAsia="Arial" w:hAnsi="Arial"/>
          <w:b w:val="false"/>
          <w:bCs w:val="false"/>
          <w:color w:val="1A1A1A"/>
          <w:sz w:val="20"/>
          <w:szCs w:val="20"/>
        </w:rPr>
        <w:t xml:space="preserve">wallet_age_days — days since first on-chain transaction</w:t>
      </w:r>
    </w:p>
    <w:p>
      <w:pPr>
        <w:pStyle w:val="ListParagraph"/>
        <w:numPr>
          <w:ilvl w:val="0"/>
          <w:numId w:val="2"/>
        </w:numPr>
        <w:spacing w:after="40" w:before="40"/>
      </w:pPr>
      <w:r>
        <w:rPr>
          <w:rFonts w:ascii="Arial" w:cs="Arial" w:eastAsia="Arial" w:hAnsi="Arial"/>
          <w:b w:val="false"/>
          <w:bCs w:val="false"/>
          <w:color w:val="1A1A1A"/>
          <w:sz w:val="20"/>
          <w:szCs w:val="20"/>
        </w:rPr>
        <w:t xml:space="preserve">defi_protocol_count — distinct DeFi contract addresses interacted with</w:t>
      </w:r>
    </w:p>
    <w:p>
      <w:pPr>
        <w:pStyle w:val="Heading2"/>
        <w:spacing w:after="80" w:before="200"/>
      </w:pPr>
      <w:r>
        <w:rPr>
          <w:rFonts w:ascii="Arial" w:cs="Arial" w:eastAsia="Arial" w:hAnsi="Arial"/>
          <w:b/>
          <w:bCs/>
          <w:color w:val="2E75B6"/>
          <w:sz w:val="26"/>
          <w:szCs w:val="26"/>
        </w:rPr>
        <w:t xml:space="preserve">5.4 ML Model Specification</w:t>
      </w:r>
    </w:p>
    <w:p>
      <w:pPr>
        <w:spacing w:after="80" w:before="80"/>
      </w:pPr>
      <w:r>
        <w:rPr>
          <w:rFonts w:ascii="Arial" w:cs="Arial" w:eastAsia="Arial" w:hAnsi="Arial"/>
          <w:color w:val="1A1A1A"/>
          <w:sz w:val="20"/>
          <w:szCs w:val="20"/>
        </w:rPr>
        <w:t xml:space="preserve">A Random Forest classifier (scikit-learn) is trained on a labelled dataset of simulated wallet profiles annotated with synthetic default/no-default labels. Configuration: max_depth=6, n_estimators=100, 5-fold cross-validation. The model outputs a probability score normalised to a 0-100 trust score. Model artefacts are versioned and stored in the repo.</w:t>
      </w:r>
    </w:p>
    <w:p>
      <w:pPr>
        <w:pStyle w:val="Heading2"/>
        <w:spacing w:after="80" w:before="200"/>
      </w:pPr>
      <w:r>
        <w:rPr>
          <w:rFonts w:ascii="Arial" w:cs="Arial" w:eastAsia="Arial" w:hAnsi="Arial"/>
          <w:b/>
          <w:bCs/>
          <w:color w:val="2E75B6"/>
          <w:sz w:val="26"/>
          <w:szCs w:val="26"/>
        </w:rPr>
        <w:t xml:space="preserve">5.5 Clarity Smart Contract</w:t>
      </w:r>
    </w:p>
    <w:p>
      <w:pPr>
        <w:spacing w:after="80" w:before="80"/>
      </w:pPr>
      <w:r>
        <w:rPr>
          <w:rFonts w:ascii="Arial" w:cs="Arial" w:eastAsia="Arial" w:hAnsi="Arial"/>
          <w:color w:val="1A1A1A"/>
          <w:sz w:val="20"/>
          <w:szCs w:val="20"/>
        </w:rPr>
        <w:t xml:space="preserve">A Clarity 5 escrow contract deployed on Stacks testnet exposes a public function (initiate-loan) accepting a trust-score parameter and enforcing tiered collateral ratios: scores below 40 require 150% collateral, scores 40-70 require 120%, and scores above 70 require 100%. This demonstrates the scoring primitive's utility without full loan lifecycle logic.</w:t>
      </w:r>
    </w:p>
    <w:p>
      <w:pPr>
        <w:pStyle w:val="Heading2"/>
        <w:spacing w:after="80" w:before="200"/>
      </w:pPr>
      <w:r>
        <w:rPr>
          <w:rFonts w:ascii="Arial" w:cs="Arial" w:eastAsia="Arial" w:hAnsi="Arial"/>
          <w:b/>
          <w:bCs/>
          <w:color w:val="2E75B6"/>
          <w:sz w:val="26"/>
          <w:szCs w:val="26"/>
        </w:rPr>
        <w:t xml:space="preserve">5.6 Frontend Application</w:t>
      </w:r>
    </w:p>
    <w:p>
      <w:pPr>
        <w:spacing w:after="80" w:before="80"/>
      </w:pPr>
      <w:r>
        <w:rPr>
          <w:rFonts w:ascii="Arial" w:cs="Arial" w:eastAsia="Arial" w:hAnsi="Arial"/>
          <w:color w:val="1A1A1A"/>
          <w:sz w:val="20"/>
          <w:szCs w:val="20"/>
        </w:rPr>
        <w:t xml:space="preserve">A Next.js 14 application with Tailwind CSS. Users connect via Leather wallet (Stacks.js integration). On connection, the app calls the FastAPI scoring service, receives the trust score, and renders the score alongside a breakdown of contributing wallet features and a simulated loan offer based on the collateral tier.</w:t>
      </w:r>
    </w:p>
    <w:p>
      <w:pPr>
        <w:pStyle w:val="Heading3"/>
        <w:spacing w:after="60" w:before="160"/>
      </w:pPr>
      <w:r>
        <w:rPr>
          <w:rFonts w:ascii="Arial" w:cs="Arial" w:eastAsia="Arial" w:hAnsi="Arial"/>
          <w:b/>
          <w:bCs/>
          <w:color w:val="1F3864"/>
          <w:sz w:val="24"/>
          <w:szCs w:val="24"/>
        </w:rPr>
        <w:t xml:space="preserve">Full Tech Stack</w:t>
      </w:r>
    </w:p>
    <w:p>
      <w:pPr>
        <w:pStyle w:val="ListParagraph"/>
        <w:numPr>
          <w:ilvl w:val="0"/>
          <w:numId w:val="2"/>
        </w:numPr>
        <w:spacing w:after="40" w:before="40"/>
      </w:pPr>
      <w:r>
        <w:rPr>
          <w:rFonts w:ascii="Arial" w:cs="Arial" w:eastAsia="Arial" w:hAnsi="Arial"/>
          <w:b w:val="false"/>
          <w:bCs w:val="false"/>
          <w:color w:val="1A1A1A"/>
          <w:sz w:val="20"/>
          <w:szCs w:val="20"/>
        </w:rPr>
        <w:t xml:space="preserve">Data pipeline: Python 3.11, pandas, requests, scikit-learn</w:t>
      </w:r>
    </w:p>
    <w:p>
      <w:pPr>
        <w:pStyle w:val="ListParagraph"/>
        <w:numPr>
          <w:ilvl w:val="0"/>
          <w:numId w:val="2"/>
        </w:numPr>
        <w:spacing w:after="40" w:before="40"/>
      </w:pPr>
      <w:r>
        <w:rPr>
          <w:rFonts w:ascii="Arial" w:cs="Arial" w:eastAsia="Arial" w:hAnsi="Arial"/>
          <w:b w:val="false"/>
          <w:bCs w:val="false"/>
          <w:color w:val="1A1A1A"/>
          <w:sz w:val="20"/>
          <w:szCs w:val="20"/>
        </w:rPr>
        <w:t xml:space="preserve">Model serving: FastAPI — lightweight REST endpoint returning the trust score as JSON</w:t>
      </w:r>
    </w:p>
    <w:p>
      <w:pPr>
        <w:pStyle w:val="ListParagraph"/>
        <w:numPr>
          <w:ilvl w:val="0"/>
          <w:numId w:val="2"/>
        </w:numPr>
        <w:spacing w:after="40" w:before="40"/>
      </w:pPr>
      <w:r>
        <w:rPr>
          <w:rFonts w:ascii="Arial" w:cs="Arial" w:eastAsia="Arial" w:hAnsi="Arial"/>
          <w:b w:val="false"/>
          <w:bCs w:val="false"/>
          <w:color w:val="1A1A1A"/>
          <w:sz w:val="20"/>
          <w:szCs w:val="20"/>
        </w:rPr>
        <w:t xml:space="preserve">Smart contract: Clarity 5, deployed via Clarinet CLI on Stacks testnet</w:t>
      </w:r>
    </w:p>
    <w:p>
      <w:pPr>
        <w:pStyle w:val="ListParagraph"/>
        <w:numPr>
          <w:ilvl w:val="0"/>
          <w:numId w:val="2"/>
        </w:numPr>
        <w:spacing w:after="40" w:before="40"/>
      </w:pPr>
      <w:r>
        <w:rPr>
          <w:rFonts w:ascii="Arial" w:cs="Arial" w:eastAsia="Arial" w:hAnsi="Arial"/>
          <w:b w:val="false"/>
          <w:bCs w:val="false"/>
          <w:color w:val="1A1A1A"/>
          <w:sz w:val="20"/>
          <w:szCs w:val="20"/>
        </w:rPr>
        <w:t xml:space="preserve">Frontend: Next.js 14, TypeScript, Tailwind CSS, Stacks.js</w:t>
      </w:r>
    </w:p>
    <w:p>
      <w:pPr>
        <w:pStyle w:val="ListParagraph"/>
        <w:numPr>
          <w:ilvl w:val="0"/>
          <w:numId w:val="2"/>
        </w:numPr>
        <w:spacing w:after="40" w:before="40"/>
      </w:pPr>
      <w:r>
        <w:rPr>
          <w:rFonts w:ascii="Arial" w:cs="Arial" w:eastAsia="Arial" w:hAnsi="Arial"/>
          <w:b w:val="false"/>
          <w:bCs w:val="false"/>
          <w:color w:val="1A1A1A"/>
          <w:sz w:val="20"/>
          <w:szCs w:val="20"/>
        </w:rPr>
        <w:t xml:space="preserve">Deployment: Vercel (frontend), Railway or Render (FastAPI scoring service)</w:t>
      </w:r>
    </w:p>
    <w:p>
      <w:pPr>
        <w:pStyle w:val="ListParagraph"/>
        <w:numPr>
          <w:ilvl w:val="0"/>
          <w:numId w:val="2"/>
        </w:numPr>
        <w:spacing w:after="40" w:before="40"/>
      </w:pPr>
      <w:r>
        <w:rPr>
          <w:rFonts w:ascii="Arial" w:cs="Arial" w:eastAsia="Arial" w:hAnsi="Arial"/>
          <w:b w:val="false"/>
          <w:bCs w:val="false"/>
          <w:color w:val="1A1A1A"/>
          <w:sz w:val="20"/>
          <w:szCs w:val="20"/>
        </w:rPr>
        <w:t xml:space="preserve">Version control and open-source: GitHub (MIT licence)</w:t>
      </w:r>
    </w:p>
    <w:p>
      <w:pPr>
        <w:pStyle w:val="Heading1"/>
        <w:pBdr>
          <w:bottom w:val="single" w:color="2E75B6" w:sz="12" w:space="4"/>
        </w:pBdr>
        <w:spacing w:after="0" w:before="280"/>
      </w:pPr>
      <w:r>
        <w:rPr>
          <w:rFonts w:ascii="Arial" w:cs="Arial" w:eastAsia="Arial" w:hAnsi="Arial"/>
          <w:b/>
          <w:bCs/>
          <w:color w:val="1F3864"/>
          <w:sz w:val="32"/>
          <w:szCs w:val="32"/>
        </w:rPr>
        <w:t xml:space="preserve">6. Milestones and Timeline</w:t>
      </w:r>
    </w:p>
    <w:p>
      <w:pPr>
        <w:pBdr>
          <w:bottom w:val="single" w:color="2E75B6" w:sz="12"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Weeks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Tranche Trigger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 – 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parsing scripts aggregating wallet metrics (tx history, USDCx interactions, Stacking participation) via Stacks Extended API; exported labelled dataset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Dataset on GitHub repo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 – 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Trained Random Forest model producing a 0-100 trust score for simulated wallets; documented methodology and evaluation report showing AUC-ROC &gt;= 0.72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 tranche: live model demo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9 – 12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Next.js frontend with Leather wallet integration showing trust score and simulated loan offer; dummy Clarity escrow contract on Stacks testnet; README and demo video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Final tranche: live testnet URL</w:t>
            </w:r>
          </w:p>
        </w:tc>
      </w:tr>
    </w:tbl>
    <w:p>
      <w:pPr>
        <w:spacing w:after="80" w:before="120"/>
      </w:pPr>
      <w:r>
        <w:t xml:space="preserve"/>
      </w:r>
    </w:p>
    <w:p>
      <w:pPr>
        <w:spacing w:after="80" w:before="80"/>
      </w:pPr>
      <w:r>
        <w:rPr>
          <w:rFonts w:ascii="Arial" w:cs="Arial" w:eastAsia="Arial" w:hAnsi="Arial"/>
          <w:color w:val="1A1A1A"/>
          <w:sz w:val="20"/>
          <w:szCs w:val="20"/>
        </w:rPr>
        <w:t xml:space="preserve">Budget allocation ($5,000 STX equivalent): data pipeline and API integration 30% — ML model training, tooling, and compute 25% — Clarity contract development 20% — frontend build and deployment 15% — documentation and demo production 10%.</w:t>
      </w:r>
    </w:p>
    <w:p>
      <w:pPr>
        <w:pStyle w:val="Heading1"/>
        <w:pBdr>
          <w:bottom w:val="single" w:color="2E75B6" w:sz="12" w:space="4"/>
        </w:pBdr>
        <w:spacing w:after="0" w:before="280"/>
      </w:pPr>
      <w:r>
        <w:rPr>
          <w:rFonts w:ascii="Arial" w:cs="Arial" w:eastAsia="Arial" w:hAnsi="Arial"/>
          <w:b/>
          <w:bCs/>
          <w:color w:val="1F3864"/>
          <w:sz w:val="32"/>
          <w:szCs w:val="32"/>
        </w:rPr>
        <w:t xml:space="preserve">7. Success Metrics</w:t>
      </w:r>
    </w:p>
    <w:p>
      <w:pPr>
        <w:pBdr>
          <w:bottom w:val="single" w:color="2E75B6" w:sz="12"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Model accuracy (AUC-ROC)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 0.72 on held-out test set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scikit-learn classification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Dataset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&gt;= 500 labelled wallet records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row count in GitHub repo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Score query latency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 3 seconds end-to-end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Browser network tab on testnet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Clarity contract deployed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Live on Stacks testnet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Testnet explorer transaction link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Frontend demo URL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Publicly accessible by Week 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Vercel or Netlify deployment</w:t>
            </w:r>
          </w:p>
        </w:tc>
      </w:tr>
    </w:tbl>
    <w:p>
      <w:pPr>
        <w:pStyle w:val="Heading1"/>
        <w:pBdr>
          <w:bottom w:val="single" w:color="2E75B6" w:sz="12" w:space="4"/>
        </w:pBdr>
        <w:spacing w:after="0" w:before="280"/>
      </w:pPr>
      <w:r>
        <w:rPr>
          <w:rFonts w:ascii="Arial" w:cs="Arial" w:eastAsia="Arial" w:hAnsi="Arial"/>
          <w:b/>
          <w:bCs/>
          <w:color w:val="1F3864"/>
          <w:sz w:val="32"/>
          <w:szCs w:val="32"/>
        </w:rPr>
        <w:t xml:space="preserve">8. Strategic Grant Alignment</w:t>
      </w:r>
    </w:p>
    <w:p>
      <w:pPr>
        <w:pBdr>
          <w:bottom w:val="single" w:color="2E75B6" w:sz="12" w:space="1"/>
        </w:pBdr>
        <w:spacing w:after="160" w:before="0"/>
      </w:pPr>
      <w:r>
        <w:t xml:space="preserve"/>
      </w:r>
    </w:p>
    <w:p>
      <w:pPr>
        <w:pStyle w:val="Heading2"/>
        <w:spacing w:after="80" w:before="200"/>
      </w:pPr>
      <w:r>
        <w:rPr>
          <w:rFonts w:ascii="Arial" w:cs="Arial" w:eastAsia="Arial" w:hAnsi="Arial"/>
          <w:b/>
          <w:bCs/>
          <w:color w:val="2E75B6"/>
          <w:sz w:val="26"/>
          <w:szCs w:val="26"/>
        </w:rPr>
        <w:t xml:space="preserve">8.1 Stacks 2026 Roadmap Fit</w:t>
      </w:r>
    </w:p>
    <w:p>
      <w:pPr>
        <w:spacing w:after="80" w:before="80"/>
      </w:pPr>
      <w:r>
        <w:rPr>
          <w:rFonts w:ascii="Arial" w:cs="Arial" w:eastAsia="Arial" w:hAnsi="Arial"/>
          <w:color w:val="1A1A1A"/>
          <w:sz w:val="20"/>
          <w:szCs w:val="20"/>
        </w:rPr>
        <w:t xml:space="preserve">This project directly advances three of the six 2026 roadmap success criteria:</w:t>
      </w:r>
    </w:p>
    <w:p>
      <w:pPr>
        <w:pStyle w:val="ListParagraph"/>
        <w:numPr>
          <w:ilvl w:val="0"/>
          <w:numId w:val="2"/>
        </w:numPr>
        <w:spacing w:after="40" w:before="40"/>
      </w:pPr>
      <w:r>
        <w:rPr>
          <w:rFonts w:ascii="Arial" w:cs="Arial" w:eastAsia="Arial" w:hAnsi="Arial"/>
          <w:b w:val="false"/>
          <w:bCs w:val="false"/>
          <w:color w:val="1A1A1A"/>
          <w:sz w:val="20"/>
          <w:szCs w:val="20"/>
        </w:rPr>
        <w:t xml:space="preserve">Healthy DeFi: introduces credit infrastructure that does not exist on Stacks today</w:t>
      </w:r>
    </w:p>
    <w:p>
      <w:pPr>
        <w:pStyle w:val="ListParagraph"/>
        <w:numPr>
          <w:ilvl w:val="0"/>
          <w:numId w:val="2"/>
        </w:numPr>
        <w:spacing w:after="40" w:before="40"/>
      </w:pPr>
      <w:r>
        <w:rPr>
          <w:rFonts w:ascii="Arial" w:cs="Arial" w:eastAsia="Arial" w:hAnsi="Arial"/>
          <w:b w:val="false"/>
          <w:bCs w:val="false"/>
          <w:color w:val="1A1A1A"/>
          <w:sz w:val="20"/>
          <w:szCs w:val="20"/>
        </w:rPr>
        <w:t xml:space="preserve">Deep liquidity: enables under-collateralised lending, increasing capital velocity across sBTC markets</w:t>
      </w:r>
    </w:p>
    <w:p>
      <w:pPr>
        <w:pStyle w:val="ListParagraph"/>
        <w:numPr>
          <w:ilvl w:val="0"/>
          <w:numId w:val="2"/>
        </w:numPr>
        <w:spacing w:after="40" w:before="40"/>
      </w:pPr>
      <w:r>
        <w:rPr>
          <w:rFonts w:ascii="Arial" w:cs="Arial" w:eastAsia="Arial" w:hAnsi="Arial"/>
          <w:b w:val="false"/>
          <w:bCs w:val="false"/>
          <w:color w:val="1A1A1A"/>
          <w:sz w:val="20"/>
          <w:szCs w:val="20"/>
        </w:rPr>
        <w:t xml:space="preserve">AI-agent-managed portfolios: the scoring engine is the foundational primitive for agentic lending decisions</w:t>
      </w:r>
    </w:p>
    <w:p>
      <w:pPr>
        <w:pStyle w:val="Heading2"/>
        <w:spacing w:after="80" w:before="200"/>
      </w:pPr>
      <w:r>
        <w:rPr>
          <w:rFonts w:ascii="Arial" w:cs="Arial" w:eastAsia="Arial" w:hAnsi="Arial"/>
          <w:b/>
          <w:bCs/>
          <w:color w:val="2E75B6"/>
          <w:sz w:val="26"/>
          <w:szCs w:val="26"/>
        </w:rPr>
        <w:t xml:space="preserve">8.2 Getting Started Track Fit</w:t>
      </w:r>
    </w:p>
    <w:p>
      <w:pPr>
        <w:spacing w:after="80" w:before="80"/>
      </w:pPr>
      <w:r>
        <w:rPr>
          <w:rFonts w:ascii="Arial" w:cs="Arial" w:eastAsia="Arial" w:hAnsi="Arial"/>
          <w:color w:val="1A1A1A"/>
          <w:sz w:val="20"/>
          <w:szCs w:val="20"/>
        </w:rPr>
        <w:t xml:space="preserve">The project is scoped appropriately for a solo pre-PMF builder. The ML model uses a well-understood architecture (Random Forest), the API surface is public and documented, the Clarity contract is a stub rather than a production system, and the Next.js frontend uses existing skills. The Week 6 trained model is a concrete, demonstrable mid-point deliverable that satisfies the 50% tranche trigger without ambiguity.</w:t>
      </w:r>
    </w:p>
    <w:p>
      <w:pPr>
        <w:pStyle w:val="Heading2"/>
        <w:spacing w:after="80" w:before="200"/>
      </w:pPr>
      <w:r>
        <w:rPr>
          <w:rFonts w:ascii="Arial" w:cs="Arial" w:eastAsia="Arial" w:hAnsi="Arial"/>
          <w:b/>
          <w:bCs/>
          <w:color w:val="2E75B6"/>
          <w:sz w:val="26"/>
          <w:szCs w:val="26"/>
        </w:rPr>
        <w:t xml:space="preserve">8.3 Ecosystem Differentiation</w:t>
      </w:r>
    </w:p>
    <w:p>
      <w:pPr>
        <w:spacing w:after="80" w:before="80"/>
      </w:pPr>
      <w:r>
        <w:rPr>
          <w:rFonts w:ascii="Arial" w:cs="Arial" w:eastAsia="Arial" w:hAnsi="Arial"/>
          <w:color w:val="1A1A1A"/>
          <w:sz w:val="20"/>
          <w:szCs w:val="20"/>
        </w:rPr>
        <w:t xml:space="preserve">No existing Stacks protocol offers on-chain credit scoring. Zest Protocol, Granite, and Arkadiko all operate on fixed collateral ratios. This project is additive, not competitive, and positions as infrastructure that any Stacks lending protocol could integrate post-grant, including Zest V2 (scheduled to ship in 2026).</w:t>
      </w:r>
    </w:p>
    <w:p>
      <w:pPr>
        <w:pStyle w:val="Heading1"/>
        <w:pBdr>
          <w:bottom w:val="single" w:color="2E75B6" w:sz="12" w:space="4"/>
        </w:pBdr>
        <w:spacing w:after="0" w:before="280"/>
      </w:pPr>
      <w:r>
        <w:rPr>
          <w:rFonts w:ascii="Arial" w:cs="Arial" w:eastAsia="Arial" w:hAnsi="Arial"/>
          <w:b/>
          <w:bCs/>
          <w:color w:val="1F3864"/>
          <w:sz w:val="32"/>
          <w:szCs w:val="32"/>
        </w:rPr>
        <w:t xml:space="preserve">9. Risk Register</w:t>
      </w:r>
    </w:p>
    <w:p>
      <w:pPr>
        <w:pBdr>
          <w:bottom w:val="single" w:color="2E75B6" w:sz="12"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4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Insufficient labelled default data from Zest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Synthesise defaults using Monte Carlo simulation on tx pattern distributions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Model overfits on small dataset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5-fold cross-validation; cap max_depth at 6 to prevent overfitting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Stacks API rate limiting during bulk pulls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Low</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Cache responses locally; paginate with 200ms delay between requests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Clarity escrow integration scope creep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Scope to read-only contract calls in MVP; full escrow logic is post-grant</w:t>
            </w:r>
          </w:p>
        </w:tc>
      </w:tr>
    </w:tbl>
    <w:p>
      <w:pPr>
        <w:pStyle w:val="Heading1"/>
        <w:pBdr>
          <w:bottom w:val="single" w:color="2E75B6" w:sz="12" w:space="4"/>
        </w:pBdr>
        <w:spacing w:after="0" w:before="280"/>
      </w:pPr>
      <w:r>
        <w:rPr>
          <w:rFonts w:ascii="Arial" w:cs="Arial" w:eastAsia="Arial" w:hAnsi="Arial"/>
          <w:b/>
          <w:bCs/>
          <w:color w:val="1F3864"/>
          <w:sz w:val="32"/>
          <w:szCs w:val="32"/>
        </w:rPr>
        <w:t xml:space="preserve">10. Open Questions</w:t>
      </w:r>
    </w:p>
    <w:p>
      <w:pPr>
        <w:pBdr>
          <w:bottom w:val="single" w:color="2E75B6" w:sz="12" w:space="1"/>
        </w:pBdr>
        <w:spacing w:after="160" w:before="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Will Zest Protocol provide historical loan data or API access to support ground-truth label generation?</w:t>
      </w:r>
    </w:p>
    <w:p>
      <w:pPr>
        <w:pStyle w:val="ListParagraph"/>
        <w:numPr>
          <w:ilvl w:val="0"/>
          <w:numId w:val="2"/>
        </w:numPr>
        <w:spacing w:after="40" w:before="40"/>
      </w:pPr>
      <w:r>
        <w:rPr>
          <w:rFonts w:ascii="Arial" w:cs="Arial" w:eastAsia="Arial" w:hAnsi="Arial"/>
          <w:b w:val="false"/>
          <w:bCs w:val="false"/>
          <w:color w:val="1A1A1A"/>
          <w:sz w:val="20"/>
          <w:szCs w:val="20"/>
        </w:rPr>
        <w:t xml:space="preserve">Should the trust score be stored on-chain as a Clarity mapping or served off-chain via API only in MVP?</w:t>
      </w:r>
    </w:p>
    <w:p>
      <w:pPr>
        <w:pStyle w:val="ListParagraph"/>
        <w:numPr>
          <w:ilvl w:val="0"/>
          <w:numId w:val="2"/>
        </w:numPr>
        <w:spacing w:after="40" w:before="40"/>
      </w:pPr>
      <w:r>
        <w:rPr>
          <w:rFonts w:ascii="Arial" w:cs="Arial" w:eastAsia="Arial" w:hAnsi="Arial"/>
          <w:b w:val="false"/>
          <w:bCs w:val="false"/>
          <w:color w:val="1A1A1A"/>
          <w:sz w:val="20"/>
          <w:szCs w:val="20"/>
        </w:rPr>
        <w:t xml:space="preserve">What minimum dataset size is sufficient for a meaningful AUC-ROC at the Getting Started proof-of-concept standard?</w:t>
      </w:r>
    </w:p>
    <w:p>
      <w:pPr>
        <w:pStyle w:val="ListParagraph"/>
        <w:numPr>
          <w:ilvl w:val="0"/>
          <w:numId w:val="2"/>
        </w:numPr>
        <w:spacing w:after="40" w:before="40"/>
      </w:pPr>
      <w:r>
        <w:rPr>
          <w:rFonts w:ascii="Arial" w:cs="Arial" w:eastAsia="Arial" w:hAnsi="Arial"/>
          <w:b w:val="false"/>
          <w:bCs w:val="false"/>
          <w:color w:val="1A1A1A"/>
          <w:sz w:val="20"/>
          <w:szCs w:val="20"/>
        </w:rPr>
        <w:t xml:space="preserve">Post-grant: is there a path to integrating with Zest V2 as a native collateral tier input parameter?</w:t>
      </w:r>
    </w:p>
    <w:p>
      <w:pPr>
        <w:spacing w:after="0" w:before="360"/>
      </w:pPr>
      <w:r>
        <w:t xml:space="preserve"/>
      </w:r>
    </w:p>
    <w:p>
      <w:pPr>
        <w:pStyle w:val="Heading1"/>
        <w:pBdr>
          <w:bottom w:val="single" w:color="2E75B6" w:sz="12" w:space="4"/>
        </w:pBdr>
        <w:spacing w:after="0" w:before="280"/>
      </w:pPr>
      <w:r>
        <w:rPr>
          <w:rFonts w:ascii="Arial" w:cs="Arial" w:eastAsia="Arial" w:hAnsi="Arial"/>
          <w:b/>
          <w:bCs/>
          <w:color w:val="1F3864"/>
          <w:sz w:val="32"/>
          <w:szCs w:val="32"/>
        </w:rPr>
        <w:t xml:space="preserve">Sign-off</w:t>
      </w:r>
    </w:p>
    <w:p>
      <w:pPr>
        <w:pBdr>
          <w:bottom w:val="single" w:color="2E75B6" w:sz="12"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Builder / Author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Grant Reviewer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bl>
    <w:p>
      <w:pPr>
        <w:spacing w:after="80" w:before="80"/>
      </w:pPr>
      <w:r>
        <w:t xml:space="preserve"/>
      </w:r>
    </w:p>
    <w:p>
      <w:pPr>
        <w:spacing w:after="80" w:before="160"/>
        <w:jc w:val="center"/>
      </w:pPr>
      <w:r>
        <w:rPr>
          <w:rFonts w:ascii="Arial" w:cs="Arial" w:eastAsia="Arial" w:hAnsi="Arial"/>
          <w:b/>
          <w:bCs/>
          <w:i/>
          <w:iCs/>
          <w:color w:val="2E75B6"/>
          <w:sz w:val="22"/>
          <w:szCs w:val="22"/>
        </w:rPr>
        <w:t xml:space="preserve">Security isn't a checkbox; it's a culture.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Version 1.0</w:t>
    </w:r>
    <w:r>
      <w:rPr>
        <w:rFonts w:ascii="Arial" w:cs="Arial" w:eastAsia="Arial" w:hAnsi="Arial"/>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spacing w:after="40" w:before="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2026-06-22T12:02:00.892Z</dcterms:created>
  <dcterms:modified xsi:type="dcterms:W3CDTF">2026-06-22T12:02:00.892Z</dcterms:modified>
</cp:coreProperties>
</file>

<file path=docProps/custom.xml><?xml version="1.0" encoding="utf-8"?>
<Properties xmlns="http://schemas.openxmlformats.org/officeDocument/2006/custom-properties" xmlns:vt="http://schemas.openxmlformats.org/officeDocument/2006/docPropsVTypes"/>
</file>