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LinkedIn Data Story</w:t>
      </w:r>
    </w:p>
    <w:p>
      <w:r>
        <w:rPr>
          <w:color w:val="5A6673"/>
          <w:sz w:val="26"/>
        </w:rPr>
        <w:t>Youth unemployment recovery stalled across most subregions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3312"/>
            <w:shd w:fill="EAF4F8"/>
          </w:tcPr>
          <w:p>
            <w:pPr>
              <w:jc w:val="center"/>
            </w:pPr>
            <w:r>
              <w:rPr>
                <w:b/>
                <w:color w:val="173F5F"/>
                <w:sz w:val="38"/>
              </w:rPr>
              <w:t>12.4%</w:t>
            </w:r>
            <w:r>
              <w:rPr>
                <w:sz w:val="17"/>
              </w:rPr>
              <w:br/>
              <w:t>global youth unemployment rate, 2025</w:t>
            </w:r>
          </w:p>
        </w:tc>
        <w:tc>
          <w:tcPr>
            <w:tcW w:type="dxa" w:w="3312"/>
            <w:shd w:fill="EAF4F8"/>
          </w:tcPr>
          <w:p>
            <w:pPr>
              <w:jc w:val="center"/>
            </w:pPr>
            <w:r>
              <w:rPr>
                <w:b/>
                <w:color w:val="173F5F"/>
                <w:sz w:val="38"/>
              </w:rPr>
              <w:t>≈67M</w:t>
            </w:r>
            <w:r>
              <w:rPr>
                <w:sz w:val="17"/>
              </w:rPr>
              <w:br/>
              <w:t>unemployed youth worldwide</w:t>
            </w:r>
          </w:p>
        </w:tc>
        <w:tc>
          <w:tcPr>
            <w:tcW w:type="dxa" w:w="3312"/>
            <w:shd w:fill="EAF4F8"/>
          </w:tcPr>
          <w:p>
            <w:pPr>
              <w:jc w:val="center"/>
            </w:pPr>
            <w:r>
              <w:rPr>
                <w:b/>
                <w:color w:val="173F5F"/>
                <w:sz w:val="38"/>
              </w:rPr>
              <w:t>8 of 11</w:t>
            </w:r>
            <w:r>
              <w:rPr>
                <w:sz w:val="17"/>
              </w:rPr>
              <w:br/>
              <w:t>subregions worsened or did not improve</w:t>
            </w:r>
          </w:p>
        </w:tc>
      </w:tr>
    </w:tbl>
    <w:p>
      <w:pPr>
        <w:pStyle w:val="Heading1"/>
      </w:pPr>
      <w:r>
        <w:t>Recommended post</w:t>
      </w:r>
    </w:p>
    <w:p>
      <w:r>
        <w:t>Youth unemployment is back near its pre-pandemic global rate. The recovery, however, has stalled across most subregions.</w:t>
      </w:r>
    </w:p>
    <w:p>
      <w:r>
        <w:t>The ILO estimates the global youth unemployment rate at 12.4% in 2025, compared with 12.3% in 2023. That small global movement hides a much more uneven regional picture:</w:t>
      </w:r>
    </w:p>
    <w:p>
      <w:pPr>
        <w:pStyle w:val="ListBullet"/>
      </w:pPr>
      <w:r>
        <w:t>6 of 11 subregions recorded an increase</w:t>
      </w:r>
    </w:p>
    <w:p>
      <w:pPr>
        <w:pStyle w:val="ListBullet"/>
      </w:pPr>
      <w:r>
        <w:t>2 showed no change</w:t>
      </w:r>
    </w:p>
    <w:p>
      <w:pPr>
        <w:pStyle w:val="ListBullet"/>
      </w:pPr>
      <w:r>
        <w:t>3 recorded a decrease</w:t>
      </w:r>
    </w:p>
    <w:p>
      <w:r>
        <w:t>Northern Africa (+1.8 percentage points) and Northern America (+1.6 pp) saw the largest increases. Eastern Europe (−1.6 pp) and Latin America and the Caribbean (−1.4 pp) moved in the opposite direction.</w:t>
      </w:r>
    </w:p>
    <w:p>
      <w:r>
        <w:t>The practical lesson: a stable global average does not mean a broad-based recovery. Regional direction and the quality of available work matter alongside the headline rate. A low unemployment rate can still coexist with inactivity, informality or insecure work.</w:t>
      </w:r>
    </w:p>
    <w:p>
      <w:r>
        <w:t>I rebuilt the analysis as a reviewable Excel evidence layer and a Power BI report with desktop and phone layouts. The source is the ILO’s Global Employment Trends for Youth 2026.</w:t>
      </w:r>
    </w:p>
    <w:p>
      <w:r>
        <w:t>Which labour-market measure would you pair with unemployment to judge whether young people are genuinely gaining ground?</w:t>
      </w:r>
    </w:p>
    <w:p>
      <w:r>
        <w:t>#DataAnalytics #PowerBI #YouthEmployment #LabourMarket #DataStorytelling</w:t>
      </w:r>
    </w:p>
    <w:p>
      <w:pPr>
        <w:pStyle w:val="Heading1"/>
      </w:pPr>
      <w:r>
        <w:t>Alternative opening hooks</w:t>
      </w:r>
    </w:p>
    <w:p>
      <w:pPr>
        <w:pStyle w:val="ListNumber"/>
      </w:pPr>
      <w:r>
        <w:t>The global youth unemployment rate barely moved. The regional map did.</w:t>
      </w:r>
    </w:p>
    <w:p>
      <w:pPr>
        <w:pStyle w:val="ListNumber"/>
      </w:pPr>
      <w:r>
        <w:t>A stable average can conceal a stalled recovery: 8 of 11 subregions worsened or failed to improve between 2023 and 2025.</w:t>
      </w:r>
    </w:p>
    <w:p>
      <w:pPr>
        <w:pStyle w:val="ListNumber"/>
      </w:pPr>
      <w:r>
        <w:t>About 67 million young people were unemployed in 2025—and the direction of travel differed sharply by region.</w:t>
      </w:r>
    </w:p>
    <w:p>
      <w:pPr>
        <w:pStyle w:val="Heading1"/>
      </w:pPr>
      <w:r>
        <w:t>Evidence and wording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4968"/>
            <w:shd w:fill="173F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173F5F"/>
          </w:tcPr>
          <w:p>
            <w:r>
              <w:rPr>
                <w:b/>
                <w:color w:val="FFFFFF"/>
              </w:rPr>
              <w:t>Approved wording</w:t>
            </w:r>
          </w:p>
        </w:tc>
      </w:tr>
      <w:tr>
        <w:tc>
          <w:tcPr>
            <w:tcW w:type="dxa" w:w="2448"/>
          </w:tcPr>
          <w:p>
            <w:r>
              <w:t>Metric</w:t>
            </w:r>
          </w:p>
        </w:tc>
        <w:tc>
          <w:tcPr>
            <w:tcW w:type="dxa" w:w="6912"/>
          </w:tcPr>
          <w:p>
            <w:r>
              <w:t>Unemployed youth as a share of the youth labour force; ages 15–24.</w:t>
            </w:r>
          </w:p>
        </w:tc>
      </w:tr>
      <w:tr>
        <w:tc>
          <w:tcPr>
            <w:tcW w:type="dxa" w:w="2448"/>
          </w:tcPr>
          <w:p>
            <w:r>
              <w:t>Comparison</w:t>
            </w:r>
          </w:p>
        </w:tc>
        <w:tc>
          <w:tcPr>
            <w:tcW w:type="dxa" w:w="6912"/>
          </w:tcPr>
          <w:p>
            <w:r>
              <w:t>Use the ILO-reported percentage-point changes from Figure 1.3; do not recompute them from rounded annual rates.</w:t>
            </w:r>
          </w:p>
        </w:tc>
      </w:tr>
      <w:tr>
        <w:tc>
          <w:tcPr>
            <w:tcW w:type="dxa" w:w="2448"/>
          </w:tcPr>
          <w:p>
            <w:r>
              <w:t>Core claim</w:t>
            </w:r>
          </w:p>
        </w:tc>
        <w:tc>
          <w:tcPr>
            <w:tcW w:type="dxa" w:w="6912"/>
          </w:tcPr>
          <w:p>
            <w:r>
              <w:t>Youth unemployment worsened or failed to improve in 8 of 11 subregions between 2023 and 2025.</w:t>
            </w:r>
          </w:p>
        </w:tc>
      </w:tr>
      <w:tr>
        <w:tc>
          <w:tcPr>
            <w:tcW w:type="dxa" w:w="2448"/>
          </w:tcPr>
          <w:p>
            <w:r>
              <w:t>Causality</w:t>
            </w:r>
          </w:p>
        </w:tc>
        <w:tc>
          <w:tcPr>
            <w:tcW w:type="dxa" w:w="6912"/>
          </w:tcPr>
          <w:p>
            <w:r>
              <w:t>Do not attribute the changes to AI or any single factor; the source does not provide a causal design.</w:t>
            </w:r>
          </w:p>
        </w:tc>
      </w:tr>
      <w:tr>
        <w:tc>
          <w:tcPr>
            <w:tcW w:type="dxa" w:w="2448"/>
          </w:tcPr>
          <w:p>
            <w:r>
              <w:t>Scope</w:t>
            </w:r>
          </w:p>
        </w:tc>
        <w:tc>
          <w:tcPr>
            <w:tcW w:type="dxa" w:w="6912"/>
          </w:tcPr>
          <w:p>
            <w:r>
              <w:t>Use 2016–2025 estimates only. The public analysis excludes 2026–2027 projections.</w:t>
            </w:r>
          </w:p>
        </w:tc>
      </w:tr>
    </w:tbl>
    <w:p>
      <w:pPr>
        <w:pStyle w:val="Heading2"/>
      </w:pPr>
      <w:r>
        <w:t>Source</w:t>
      </w:r>
    </w:p>
    <w:p>
      <w:r>
        <w:rPr>
          <w:i/>
        </w:rPr>
        <w:t xml:space="preserve">International Labour Organization, </w:t>
      </w:r>
      <w:r>
        <w:t>Global Employment Trends for Youth 2026: Back to the future</w:t>
      </w:r>
      <w:r>
        <w:t xml:space="preserve"> — Table A.1 and Figure 1.3 (corrected accessible PDF dated 31 August 2026).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3"/>
        <w:sz w:val="16"/>
      </w:rPr>
      <w:t>Prepared for LinkedIn · Evidence checked against the ILO source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F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