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color w:val="000000"/>
          <w:u w:val="none"/>
        </w:rPr>
        <w:t>Youth unemployment LinkedIn post</w:t>
      </w:r>
    </w:p>
    <w:p>
      <w:r>
        <w:rPr>
          <w:color w:val="5A6673"/>
          <w:sz w:val="26"/>
        </w:rPr>
        <w:t>Youth unemployment recovery stalled across most subregions</w:t>
      </w:r>
    </w:p>
    <w:tbl>
      <w:tblPr>
        <w:tblW w:type="auto" w:w="0"/>
        <w:tblLayout w:type="fixed"/>
        <w:tblLook w:firstColumn="1" w:firstRow="1" w:lastColumn="0" w:lastRow="0" w:noHBand="0" w:noVBand="1" w:val="04A0"/>
      </w:tblPr>
      <w:tblGrid>
        <w:gridCol w:w="3096"/>
        <w:gridCol w:w="3096"/>
        <w:gridCol w:w="3096"/>
      </w:tblGrid>
      <w:tr>
        <w:tc>
          <w:tcPr>
            <w:tcW w:type="dxa" w:w="3312"/>
            <w:shd w:fill="EAF4F8"/>
          </w:tcPr>
          <w:p>
            <w:pPr>
              <w:jc w:val="center"/>
            </w:pPr>
            <w:r>
              <w:rPr>
                <w:b/>
                <w:color w:val="173F5F"/>
                <w:sz w:val="38"/>
              </w:rPr>
              <w:t>12.4%</w:t>
            </w:r>
            <w:r>
              <w:rPr>
                <w:sz w:val="17"/>
              </w:rPr>
              <w:br/>
              <w:t>global youth unemployment rate, 2025</w:t>
            </w:r>
          </w:p>
        </w:tc>
        <w:tc>
          <w:tcPr>
            <w:tcW w:type="dxa" w:w="3312"/>
            <w:shd w:fill="EAF4F8"/>
          </w:tcPr>
          <w:p>
            <w:pPr>
              <w:jc w:val="center"/>
            </w:pPr>
            <w:r>
              <w:rPr>
                <w:b/>
                <w:color w:val="173F5F"/>
                <w:sz w:val="38"/>
              </w:rPr>
              <w:t>≈67M</w:t>
            </w:r>
            <w:r>
              <w:rPr>
                <w:sz w:val="17"/>
              </w:rPr>
              <w:br/>
              <w:t>unemployed youth worldwide</w:t>
            </w:r>
          </w:p>
        </w:tc>
        <w:tc>
          <w:tcPr>
            <w:tcW w:type="dxa" w:w="3312"/>
            <w:shd w:fill="EAF4F8"/>
          </w:tcPr>
          <w:p>
            <w:pPr>
              <w:jc w:val="center"/>
            </w:pPr>
            <w:r>
              <w:rPr>
                <w:b/>
                <w:color w:val="173F5F"/>
                <w:sz w:val="38"/>
              </w:rPr>
              <w:t>8 of 11</w:t>
            </w:r>
            <w:r>
              <w:rPr>
                <w:sz w:val="17"/>
              </w:rPr>
              <w:br/>
              <w:t>subregions with non-negative reported change</w:t>
            </w:r>
          </w:p>
        </w:tc>
      </w:tr>
    </w:tbl>
    <w:p>
      <w:pPr>
        <w:pStyle w:val="Heading1"/>
      </w:pPr>
      <w:r>
        <w:t>Recommended post</w:t>
      </w:r>
    </w:p>
    <w:p>
      <w:r>
        <w:t>Global youth unemployment barely moved. In 8 of 11 subregions, the reported change showed no improvement.</w:t>
      </w:r>
    </w:p>
    <w:p>
      <w:r>
        <w:t>The ILO estimates the global youth unemployment rate at 12.4% in 2025, compared with 12.3% in 2023. Approximately 67 million young people were unemployed in 2025. The rate covers ages 15–24 and measures unemployment as a share of the youth labour force, not all young people. The regional changes tell a different story:</w:t>
      </w:r>
    </w:p>
    <w:p>
      <w:pPr>
        <w:pStyle w:val="ListBullet"/>
      </w:pPr>
      <w:r>
        <w:t>6 of 11 subregions recorded an increase</w:t>
      </w:r>
    </w:p>
    <w:p>
      <w:pPr>
        <w:pStyle w:val="ListBullet"/>
      </w:pPr>
      <w:r>
        <w:t>2 had a reported rounded zero change</w:t>
      </w:r>
    </w:p>
    <w:p>
      <w:pPr>
        <w:pStyle w:val="ListBullet"/>
      </w:pPr>
      <w:r>
        <w:t>3 recorded a decrease</w:t>
      </w:r>
    </w:p>
    <w:p>
      <w:r>
        <w:t>Northern Africa (+1.8 percentage points) and Northern America (+1.6 pp) saw the largest increases. Eastern Europe (−1.6 pp) and Latin America and the Caribbean (−1.4 pp) moved in the opposite direction.</w:t>
      </w:r>
    </w:p>
    <w:p>
      <w:r>
        <w:t>The two printed zeros do not establish exact stability or statistical significance. These are the ILO-reported changes in percentage points, not differences recalculated from rounded annual rates.</w:t>
      </w:r>
    </w:p>
    <w:p>
      <w:r>
        <w:t>Before treating the global rate as evidence of a broad recovery, check regional direction and complementary measures such as NEET (young people not in employment, education or training), informality and job quality. A low unemployment rate can coexist with inactivity or insecure work. This analysis describes reported changes; it does not identify their causes.</w:t>
      </w:r>
    </w:p>
    <w:p>
      <w:r>
        <w:t>Which complementary measure would most improve your assessment of youth labour-market conditions?</w:t>
      </w:r>
    </w:p>
    <w:p>
      <w:r>
        <w:t>#DataAnalytics #PowerBI #YouthEmployment</w:t>
      </w:r>
    </w:p>
    <w:p>
      <w:pPr>
        <w:pStyle w:val="Heading1"/>
      </w:pPr>
      <w:r>
        <w:t>Opening hook options</w:t>
      </w:r>
    </w:p>
    <w:p>
      <w:pPr>
        <w:pStyle w:val="ListNumber"/>
      </w:pPr>
      <w:r>
        <w:t>Global youth unemployment barely moved. In 8 of 11 subregions, the reported change showed no improvement.</w:t>
      </w:r>
    </w:p>
    <w:p>
      <w:pPr>
        <w:pStyle w:val="ListNumber"/>
      </w:pPr>
      <w:r>
        <w:t>Six subregions worsened, two had rounded zero changes and three improved. The global average alone misses that regional contrast.</w:t>
      </w:r>
    </w:p>
    <w:p>
      <w:pPr>
        <w:pStyle w:val="ListNumber"/>
      </w:pPr>
      <w:r>
        <w:t>Approximately 67 million young people were unemployed in 2025. To judge recovery, we also need to examine regional direction.</w:t>
      </w:r>
    </w:p>
    <w:p>
      <w:pPr>
        <w:pStyle w:val="Heading1"/>
        <w:pageBreakBefore/>
      </w:pPr>
      <w:r>
        <w:t>Evidence notes</w:t>
      </w:r>
    </w:p>
    <w:tbl>
      <w:tblPr>
        <w:tblStyle w:val="TableGrid"/>
        <w:tblW w:type="auto" w:w="0"/>
        <w:tblLook w:firstColumn="1" w:firstRow="1" w:lastColumn="0" w:lastRow="0" w:noHBand="0" w:noVBand="1" w:val="04A0"/>
      </w:tblPr>
      <w:tblGrid>
        <w:gridCol w:w="2448"/>
        <w:gridCol w:w="6912"/>
      </w:tblGrid>
      <w:tr>
        <w:trPr>
          <w:tblHeader w:val="true"/>
        </w:trPr>
        <w:tc>
          <w:tcPr>
            <w:tcW w:type="dxa" w:w="4968"/>
            <w:shd w:fill="173F5F"/>
          </w:tcPr>
          <w:p>
            <w:r>
              <w:rPr>
                <w:b/>
                <w:color w:val="FFFFFF"/>
              </w:rPr>
              <w:t>Item</w:t>
            </w:r>
          </w:p>
        </w:tc>
        <w:tc>
          <w:tcPr>
            <w:tcW w:type="dxa" w:w="4968"/>
            <w:shd w:fill="173F5F"/>
          </w:tcPr>
          <w:p>
            <w:r>
              <w:rPr>
                <w:b/>
                <w:color w:val="FFFFFF"/>
              </w:rPr>
              <w:t>Wording constraint</w:t>
            </w:r>
          </w:p>
        </w:tc>
      </w:tr>
      <w:tr>
        <w:tc>
          <w:tcPr>
            <w:tcW w:type="dxa" w:w="2448"/>
          </w:tcPr>
          <w:p>
            <w:r>
              <w:t>Metric</w:t>
            </w:r>
          </w:p>
        </w:tc>
        <w:tc>
          <w:tcPr>
            <w:tcW w:type="dxa" w:w="6912"/>
          </w:tcPr>
          <w:p>
            <w:r>
              <w:t>Unemployed youth as a share of the youth labour force; ages 15–24.</w:t>
            </w:r>
          </w:p>
        </w:tc>
      </w:tr>
      <w:tr>
        <w:tc>
          <w:tcPr>
            <w:tcW w:type="dxa" w:w="2448"/>
          </w:tcPr>
          <w:p>
            <w:r>
              <w:t>Comparison</w:t>
            </w:r>
          </w:p>
        </w:tc>
        <w:tc>
          <w:tcPr>
            <w:tcW w:type="dxa" w:w="6912"/>
          </w:tcPr>
          <w:p>
            <w:r>
              <w:t>Use the ILO-reported percentage-point changes from Figure 1.3; do not recompute them from rounded annual rates.</w:t>
            </w:r>
          </w:p>
        </w:tc>
      </w:tr>
      <w:tr>
        <w:tc>
          <w:tcPr>
            <w:tcW w:type="dxa" w:w="2448"/>
          </w:tcPr>
          <w:p>
            <w:r>
              <w:t>Core claim</w:t>
            </w:r>
          </w:p>
        </w:tc>
        <w:tc>
          <w:tcPr>
            <w:tcW w:type="dxa" w:w="6912"/>
          </w:tcPr>
          <w:p>
            <w:r>
              <w:t>Six positive and two rounded-zero changes give 8 of 11 subregions. World is excluded. A printed zero is not proof of exact stability.</w:t>
            </w:r>
          </w:p>
        </w:tc>
      </w:tr>
      <w:tr>
        <w:tc>
          <w:tcPr>
            <w:tcW w:type="dxa" w:w="2448"/>
          </w:tcPr>
          <w:p>
            <w:r>
              <w:t>Causality</w:t>
            </w:r>
          </w:p>
        </w:tc>
        <w:tc>
          <w:tcPr>
            <w:tcW w:type="dxa" w:w="6912"/>
          </w:tcPr>
          <w:p>
            <w:r>
              <w:t>Do not attribute the changes to AI or any single factor; the source does not provide a causal design.</w:t>
            </w:r>
          </w:p>
        </w:tc>
      </w:tr>
      <w:tr>
        <w:tc>
          <w:tcPr>
            <w:tcW w:type="dxa" w:w="2448"/>
          </w:tcPr>
          <w:p>
            <w:r>
              <w:t>Scope</w:t>
            </w:r>
          </w:p>
        </w:tc>
        <w:tc>
          <w:tcPr>
            <w:tcW w:type="dxa" w:w="6912"/>
          </w:tcPr>
          <w:p>
            <w:r>
              <w:t>Use 2016–2025 estimates only. The public analysis excludes 2026–2027 projections.</w:t>
            </w:r>
          </w:p>
        </w:tc>
      </w:tr>
    </w:tbl>
    <w:p>
      <w:pPr>
        <w:pStyle w:val="Heading2"/>
      </w:pPr>
      <w:r>
        <w:t>Source</w:t>
      </w:r>
    </w:p>
    <w:p>
      <w:r>
        <w:rPr>
          <w:i/>
        </w:rPr>
        <w:t xml:space="preserve">International Labour Organization, </w:t>
      </w:r>
      <w:r>
        <w:t>Global Employment Trends for Youth 2026: Back to the future</w:t>
      </w:r>
      <w:r>
        <w:t xml:space="preserve"> — Table A.1 and Figure 1.3 (corrected accessible PDF dated 31 August 2026).</w:t>
      </w:r>
    </w:p>
    <w:p>
      <w:pPr>
        <w:pStyle w:val="Heading2"/>
      </w:pPr>
      <w:r>
        <w:t>Attribution and adaptation</w:t>
      </w:r>
    </w:p>
    <w:p>
      <w:r>
        <w:t>ILO, Global employment trends for youth 2026: Back to the future, Geneva: International Labour Office, 2026. © ILO. Corrected accessible edition dated 31 August 2026. CC BY 4.0. Selected data were transcribed and presented in independent tables, charts and analytical prose.</w:t>
      </w:r>
      <w:r>
        <w:t xml:space="preserve"> Licence: https://creativecommons.org/licenses/by/4.0/.</w:t>
      </w:r>
    </w:p>
    <w:p>
      <w:r>
        <w:t>This is an adaptation of a copyrighted work of the International Labour Organization (ILO). This adaptation has not been prepared, reviewed or endorsed by the ILO and should not be considered an official ILO adaptation. The ILO disclaims all responsibility for its content and accuracy. Responsibility rests solely with the author(s) of the adaptation.</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673"/>
        <w:sz w:val="16"/>
      </w:rPr>
      <w:t>Prepared for LinkedIn · Evidence checked against the ILO source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F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86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173F5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Youth unemployment LinkedIn post</dc:title>
  <dc:subject>Regional youth unemployment changes from 2023 to 2025</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