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remise-1-the-debate"/>
    <w:p>
      <w:pPr>
        <w:pStyle w:val="Heading1"/>
      </w:pPr>
      <w:r>
        <w:t xml:space="preserve">Premise 1: The Debate</w:t>
      </w:r>
    </w:p>
    <w:p>
      <w:pPr>
        <w:pStyle w:val="FirstParagraph"/>
      </w:pPr>
      <w:r>
        <w:rPr>
          <w:iCs/>
          <w:i/>
        </w:rPr>
        <w:t xml:space="preserve">Whatever begins to exist has a cause or explanation. Can that line survive the people who know how to attack it?</w:t>
      </w:r>
    </w:p>
    <w:p>
      <w:pPr>
        <w:pStyle w:val="BlockText"/>
      </w:pPr>
      <w:r>
        <w:rPr>
          <w:bCs/>
          <w:b/>
        </w:rPr>
        <w:t xml:space="preserve">The premise in question.</w:t>
      </w:r>
      <w:r>
        <w:t xml:space="preserve"> </w:t>
      </w:r>
      <w:r>
        <w:t xml:space="preserve">“</w:t>
      </w:r>
      <w:r>
        <w:t xml:space="preserve">Whatever begins to exist has a cause or explanation for its existence.</w:t>
      </w:r>
      <w:r>
        <w:t xml:space="preserve">”</w:t>
      </w:r>
      <w:r>
        <w:t xml:space="preserve"> </w:t>
      </w:r>
      <w:r>
        <w:t xml:space="preserve">It is the first line of the kalam cosmological argument. The survey, Whatever Begins to Exist Has a Cause or Explanation, states the terms, the history, nine supports, and each objection at full strength. This article assumes it.</w:t>
      </w:r>
    </w:p>
    <w:p>
      <w:r>
        <w:pict>
          <v:rect style="width:0;height:1.5pt" o:hralign="center" o:hrstd="t" o:hr="t"/>
        </w:pict>
      </w:r>
    </w:p>
    <w:p>
      <w:pPr>
        <w:pStyle w:val="FirstParagraph"/>
      </w:pPr>
      <w:r>
        <w:t xml:space="preserve">Why is the sky blue? Why is the word</w:t>
      </w:r>
      <w:r>
        <w:t xml:space="preserve"> </w:t>
      </w:r>
      <w:r>
        <w:t xml:space="preserve">“</w:t>
      </w:r>
      <w:r>
        <w:t xml:space="preserve">blue</w:t>
      </w:r>
      <w:r>
        <w:t xml:space="preserve">”</w:t>
      </w:r>
      <w:r>
        <w:t xml:space="preserve"> </w:t>
      </w:r>
      <w:r>
        <w:t xml:space="preserve">spelled B-L-U-E? Why do its letters, numbered by their place in the alphabet, add up to 40? Why is the numeral 4 drawn the way it is? These are the questions of an extremely naive Principle of Sufficient Reason, which demands an explanation for every contingent fact whatsoever. The claim that whatever begins to exist has a cause or explanation is far smaller. It does not say everything has a cause or explanation, only that whatever</w:t>
      </w:r>
      <w:r>
        <w:t xml:space="preserve"> </w:t>
      </w:r>
      <w:r>
        <w:rPr>
          <w:iCs/>
          <w:i/>
        </w:rPr>
        <w:t xml:space="preserve">begins</w:t>
      </w:r>
      <w:r>
        <w:t xml:space="preserve"> </w:t>
      </w:r>
      <w:r>
        <w:t xml:space="preserve">does. Some things have no cause because they could not have begun: the number seven, the rule that nothing is both red and not red. One being is uncaused by definition, the God of Christian monotheism. So asking</w:t>
      </w:r>
      <w:r>
        <w:t xml:space="preserve"> </w:t>
      </w:r>
      <w:r>
        <w:t xml:space="preserve">“</w:t>
      </w:r>
      <w:r>
        <w:t xml:space="preserve">then what caused God?</w:t>
      </w:r>
      <w:r>
        <w:t xml:space="preserve">”</w:t>
      </w:r>
      <w:r>
        <w:t xml:space="preserve"> </w:t>
      </w:r>
      <w:r>
        <w:t xml:space="preserve">is like asking in which year the number seven was born. And the skeptic who grants only that the universe</w:t>
      </w:r>
      <w:r>
        <w:t xml:space="preserve"> </w:t>
      </w:r>
      <w:r>
        <w:rPr>
          <w:iCs/>
          <w:i/>
        </w:rPr>
        <w:t xml:space="preserve">might</w:t>
      </w:r>
      <w:r>
        <w:t xml:space="preserve"> </w:t>
      </w:r>
      <w:r>
        <w:t xml:space="preserve">have an explanation has granted enough. That modest premise, once granted, can be used the way Rasmussen uses it (Argument 9): as the first step of a modal cosmological argument.</w:t>
      </w:r>
    </w:p>
    <w:p>
      <w:pPr>
        <w:pStyle w:val="BodyText"/>
      </w:pPr>
      <w:r>
        <w:t xml:space="preserve">Denial costs something because denial is a thesis. To deny premise 1 is to assert that something, somewhere, began to exist with no explanation at all, under no restriction on what may begin or when. A package that turns up on your porch with no sender, no truck, and no label is the household version. Whoever says such packages arrive owes an account of why porches are not buried in them. Skeptics seldom put it so baldly. They come at the premise from three directions, and the positions do not agree with one another. Some attack its</w:t>
      </w:r>
      <w:r>
        <w:t xml:space="preserve"> </w:t>
      </w:r>
      <w:r>
        <w:rPr>
          <w:iCs/>
          <w:i/>
        </w:rPr>
        <w:t xml:space="preserve">language</w:t>
      </w:r>
      <w:r>
        <w:t xml:space="preserve"> </w:t>
      </w:r>
      <w:r>
        <w:t xml:space="preserve">(Carnap, Grünbaum). Some attack its</w:t>
      </w:r>
      <w:r>
        <w:t xml:space="preserve"> </w:t>
      </w:r>
      <w:r>
        <w:rPr>
          <w:iCs/>
          <w:i/>
        </w:rPr>
        <w:t xml:space="preserve">reach</w:t>
      </w:r>
      <w:r>
        <w:t xml:space="preserve">, arguing that a rule learned inside the universe cannot govern the universe (Mackie, Oppy, Kant). And some attack its</w:t>
      </w:r>
      <w:r>
        <w:t xml:space="preserve"> </w:t>
      </w:r>
      <w:r>
        <w:rPr>
          <w:iCs/>
          <w:i/>
        </w:rPr>
        <w:t xml:space="preserve">foundations</w:t>
      </w:r>
      <w:r>
        <w:t xml:space="preserve">, arguing either that the evidence for it proves too much (Morriston) or that there is nothing in fundamental physics for it to be about (Russell, Norton, Linford). A skeptic who borrows every objection borrows from rivals. What follows takes the objections in that order.</w:t>
      </w:r>
    </w:p>
    <w:p>
      <w:r>
        <w:pict>
          <v:rect style="width:0;height:1.5pt" o:hralign="center" o:hrstd="t" o:hr="t"/>
        </w:pict>
      </w:r>
    </w:p>
    <w:bookmarkStart w:id="20" w:name="hume-we-can-imagine-it"/>
    <w:p>
      <w:pPr>
        <w:pStyle w:val="Heading2"/>
      </w:pPr>
      <w:r>
        <w:t xml:space="preserve">Hume: we can imagine it</w:t>
      </w:r>
    </w:p>
    <w:p>
      <w:pPr>
        <w:pStyle w:val="FirstParagraph"/>
      </w:pPr>
      <w:r>
        <w:t xml:space="preserve">Hume’s objection has a stronger form than Hume gave it. An uncaused rabbit is hard to picture. A beginningless universe is easy, because physicists draw one. Hawking’s no-boundary universe is rounded off like the top of a globe, where nothing lies north of the North Pole. Carroll and Chen’s universe runs time outward in both directions from a low-entropy midpoint. Penrose strings together aeons, each ending where the next begins. None of them needs anything to pop into being. The beginningless universe grants that whatever begins has a cause and denies that anything need begin.</w:t>
      </w:r>
    </w:p>
    <w:p>
      <w:pPr>
        <w:pStyle w:val="BodyText"/>
      </w:pPr>
      <w:r>
        <w:t xml:space="preserve">Both forms rest on one step, from</w:t>
      </w:r>
      <w:r>
        <w:t xml:space="preserve"> </w:t>
      </w:r>
      <w:r>
        <w:rPr>
          <w:iCs/>
          <w:i/>
        </w:rPr>
        <w:t xml:space="preserve">can be conceived</w:t>
      </w:r>
      <w:r>
        <w:t xml:space="preserve"> </w:t>
      </w:r>
      <w:r>
        <w:t xml:space="preserve">to</w:t>
      </w:r>
      <w:r>
        <w:t xml:space="preserve"> </w:t>
      </w:r>
      <w:r>
        <w:rPr>
          <w:iCs/>
          <w:i/>
        </w:rPr>
        <w:t xml:space="preserve">can be</w:t>
      </w:r>
      <w:r>
        <w:t xml:space="preserve">. A third form drops the step and says premise 1 is only a habit of experience, and habits of experience do not carry over to the first moment.</w:t>
      </w:r>
    </w:p>
    <w:p>
      <w:pPr>
        <w:pStyle w:val="BodyText"/>
      </w:pPr>
      <w:r>
        <w:t xml:space="preserve">Elizabeth Anscombe, a Cambridge philosopher and one of the sharpest readers Hume has had, takes the step apart. When I picture a rabbit appearing without a cause, I picture a rabbit appearing, out of a conjuror’s hat perhaps. The picture is silent about the cause. It does not depict the cause’s absence (Anscombe 1974). A physicist’s diagram of a universe with no earliest moment is silent in the same way. It shows no earliest moment. It says nothing about why that universe exists and not nothing, or whether it exists unexplained.</w:t>
      </w:r>
    </w:p>
    <w:p>
      <w:pPr>
        <w:pStyle w:val="BodyText"/>
      </w:pPr>
      <w:r>
        <w:t xml:space="preserve">Conceivability also fails where it is most needed, at the edges of what we understand. Every mathematician can picture Goldbach’s conjecture, that every even number above two is the sum of two primes, holding for every number. Every mathematician can also picture a counterexample waiting at some enormous number. One of those pictures describes an impossibility, because a claim like this is either necessarily true or necessarily false, and no one knows which. A skeptic who trusts the step from conceivable to possible must trust it there too, and it hands him two incompatible possibilities.</w:t>
      </w:r>
    </w:p>
    <w:p>
      <w:pPr>
        <w:pStyle w:val="BodyText"/>
      </w:pPr>
      <w:r>
        <w:t xml:space="preserve">The same step works for the apologist. A necessary being, one that could not have failed to exist and so exists in every way things might have gone, is conceivable. If the conceivable is possible, such a being is possible, and by the last step of Argument 9 a possible necessary being exists. Alvin Plantinga, a Christian philosopher, built his modal ontological argument on exactly that first premise, that a maximally great being is possible (Plantinga 1974). Hume’s tool in the skeptic’s hands opens the door the skeptic wanted shut.</w:t>
      </w:r>
    </w:p>
    <w:p>
      <w:pPr>
        <w:pStyle w:val="BodyText"/>
      </w:pPr>
      <w:r>
        <w:t xml:space="preserve">The skeptic’s counter-reply runs the doubt backward. If conceivability is poor evidence of possibility, inconceivability is poor evidence of impossibility, and Argument 1 amounts to a report that no one can picture being coming from non-being. Argument 1 says more than that. Its second line says what a beginning with no source is: a thing that is, with nothing at all, no cause, ground, or reason, to make the difference between its being and its not being. The skeptic is invited to say what that description lacks that a real beginning would have. The question concerns what a beginning is, and it would stand for a reader with no imagination at all. The other supports never mention picturing. Arguments 2 and 3 ask what Nothing could do, 4 asks about selectivity, 5 about knowledge, 6 to 8 about evidence, and 9 about logic.</w:t>
      </w:r>
    </w:p>
    <w:p>
      <w:pPr>
        <w:pStyle w:val="BodyText"/>
      </w:pPr>
      <w:r>
        <w:t xml:space="preserve">The generalization form meets the same parity. Confidence that perceptions are caused by their objects is a generalization from experience. So is trust in memory, and the belief that the future will resemble the past. Thomas Reid, the Scottish philosopher of common sense, observed that every faculty we trust has the same credentials as the principle we doubt, and none can be vouched for without using it (Reid 1785). Singling out premise 1 for suspicion takes a principled line between the beliefs we trust and the ones we do not. Michael Della Rocca, a Yale rationalist who defends the PSR in its fullest form and is no friend of the kalam, argues that every such line is arbitrary (Della Rocca 2010). The skeptic can accept the parity: premise 1 stands where perception stands, trusted and unproved. The defender can accept it too. Nobody calls perception irrational because it cannot be proved without circularity. The kalam never needed premise 1 derived from something more basic. It needed a premise a reasonable person may believe and has no good reason to give up.</w:t>
      </w:r>
    </w:p>
    <w:p>
      <w:pPr>
        <w:pStyle w:val="BodyText"/>
      </w:pPr>
      <w:r>
        <w:rPr>
          <w:iCs/>
          <w:i/>
        </w:rPr>
        <w:t xml:space="preserve">Verdict.</w:t>
      </w:r>
      <w:r>
        <w:t xml:space="preserve"> </w:t>
      </w:r>
      <w:r>
        <w:t xml:space="preserve">The skeptic who rests on conceivability holds a standard that gives contradictory answers at the edges of knowledge and, applied evenly, proves a necessary being possible, and therefore actual. The skeptic who rests on habit holds that premise 1 is as secure as perception, which is as secure as any belief gets.</w:t>
      </w:r>
    </w:p>
    <w:p>
      <w:r>
        <w:pict>
          <v:rect style="width:0;height:1.5pt" o:hralign="center" o:hrstd="t" o:hr="t"/>
        </w:pict>
      </w:r>
    </w:p>
    <w:bookmarkEnd w:id="20"/>
    <w:bookmarkStart w:id="21" w:name="Xe827649d85af1ac6b3296e9e310f36e2a293b79"/>
    <w:p>
      <w:pPr>
        <w:pStyle w:val="Heading2"/>
      </w:pPr>
      <w:r>
        <w:t xml:space="preserve">Carnap and Wittgenstein:</w:t>
      </w:r>
      <w:r>
        <w:t xml:space="preserve"> </w:t>
      </w:r>
      <w:r>
        <w:t xml:space="preserve">“</w:t>
      </w:r>
      <w:r>
        <w:t xml:space="preserve">nothing</w:t>
      </w:r>
      <w:r>
        <w:t xml:space="preserve">”</w:t>
      </w:r>
      <w:r>
        <w:t xml:space="preserve"> </w:t>
      </w:r>
      <w:r>
        <w:t xml:space="preserve">is not a name</w:t>
      </w:r>
    </w:p>
    <w:p>
      <w:pPr>
        <w:pStyle w:val="FirstParagraph"/>
      </w:pPr>
      <w:r>
        <w:t xml:space="preserve">Rudolf Carnap, a German-born philosopher of the Vienna Circle, led the school of logical positivism, which held that a statement means something only if logic or experience can check it. He charged that the supports have no subject. A sentence with Nothing as its grammatical subject is a sentence about a thing, and there is no such thing. Arguments 2 to 4 are built from sentences of this kind: Nothing has no potential; Nothing cannot prefer universes to purses. If the sentences are empty, so are the arguments. Behind Carnap stands Ludwig Wittgenstein, the Austrian-born philosopher whose</w:t>
      </w:r>
      <w:r>
        <w:t xml:space="preserve"> </w:t>
      </w:r>
      <w:r>
        <w:rPr>
          <w:iCs/>
          <w:i/>
        </w:rPr>
        <w:t xml:space="preserve">Tractatus</w:t>
      </w:r>
      <w:r>
        <w:t xml:space="preserve"> </w:t>
      </w:r>
      <w:r>
        <w:t xml:space="preserve">(1921) the Vienna Circle read line by line. It gave the charge its second half: the propositions of logic say nothing about which world exists, so no road leads from the structure of our sentences to what could exist. The later Wittgenstein softened the point. In</w:t>
      </w:r>
      <w:r>
        <w:t xml:space="preserve"> </w:t>
      </w:r>
      <w:r>
        <w:rPr>
          <w:iCs/>
          <w:i/>
        </w:rPr>
        <w:t xml:space="preserve">On Certainty</w:t>
      </w:r>
      <w:r>
        <w:t xml:space="preserve"> </w:t>
      </w:r>
      <w:r>
        <w:t xml:space="preserve">he treats our deepest convictions as hinges, propositions that frame inquiry without being tested by it, and premise 1 might be offered as one. A hinge secures the premise against refutation and gives the apologist nothing. It says what we cannot doubt while we go about our work. It says nothing of what happened at the first moment. It is Kant’s regulative principle under another name.</w:t>
      </w:r>
    </w:p>
    <w:p>
      <w:pPr>
        <w:pStyle w:val="BodyText"/>
      </w:pPr>
      <w:r>
        <w:t xml:space="preserve">The defender’s first reply is a translation. Premise 1 does not need</w:t>
      </w:r>
      <w:r>
        <w:t xml:space="preserve"> </w:t>
      </w:r>
      <w:r>
        <w:t xml:space="preserve">“</w:t>
      </w:r>
      <w:r>
        <w:t xml:space="preserve">nothing</w:t>
      </w:r>
      <w:r>
        <w:t xml:space="preserve">”</w:t>
      </w:r>
      <w:r>
        <w:t xml:space="preserve"> </w:t>
      </w:r>
      <w:r>
        <w:t xml:space="preserve">for a noun. For anything whatsoever, if it begins to exist, then something causes or explains it. No word in that sentence names a void. The reductio survives the same treatment: if premise 1 is false, something begins and nothing explains it, so nothing restricts which somethings begin. The quantifiers state the argument and</w:t>
      </w:r>
      <w:r>
        <w:t xml:space="preserve"> </w:t>
      </w:r>
      <w:r>
        <w:t xml:space="preserve">“</w:t>
      </w:r>
      <w:r>
        <w:t xml:space="preserve">nothing</w:t>
      </w:r>
      <w:r>
        <w:t xml:space="preserve">”</w:t>
      </w:r>
      <w:r>
        <w:t xml:space="preserve"> </w:t>
      </w:r>
      <w:r>
        <w:t xml:space="preserve">is shorthand. The shorthand can go. Argument 2 translates just as easily: a thing that does not exist has no capacities, including the capacity to become.</w:t>
      </w:r>
    </w:p>
    <w:p>
      <w:pPr>
        <w:pStyle w:val="BodyText"/>
      </w:pPr>
      <w:r>
        <w:t xml:space="preserve">The second reply concerns the Wittgensteinian half. That logic cannot reach metaphysical possibility is true, and the premise already agrees. It was never offered as a theorem of formal logic. If the objection means more, that there is no knowledge of what could exist at all, it has become the verification principle: only statements checkable by logic or experience have meaning. That principle is neither a truth of logic nor checkable by experience. By its own standard it is meaningless. Carnap spent the late 1930s loosening it. Wittgenstein ended the</w:t>
      </w:r>
      <w:r>
        <w:t xml:space="preserve"> </w:t>
      </w:r>
      <w:r>
        <w:rPr>
          <w:iCs/>
          <w:i/>
        </w:rPr>
        <w:t xml:space="preserve">Tractatus</w:t>
      </w:r>
      <w:r>
        <w:t xml:space="preserve"> </w:t>
      </w:r>
      <w:r>
        <w:t xml:space="preserve">by calling its own sentences a ladder to be thrown away after the climb (Wittgenstein 1922, 6.54), which concedes that they fell under their own test. A ladder you have to kick away is a poor guide to the roof, and maybe it never reached one.</w:t>
      </w:r>
    </w:p>
    <w:p>
      <w:pPr>
        <w:pStyle w:val="BodyText"/>
      </w:pPr>
      <w:r>
        <w:t xml:space="preserve">What else shows what could exist? Understanding the natures of things does. No one runs an experiment to learn that a surface cannot be red and green all over, or that a number cannot be a prime minister. Experiment and understanding also work together. Chemists found by experiment that water is H₂O, and once they found it, no one thought water could have been something else: the experiment revealed a nature, and the nature settled what was possible. The best explanation of a body of evidence is a third road. The skeptic who closes all three must either call metaphysics nonsense, which the verification principle fails to show, or say what makes his own claim, that uncaused beginnings are possible, any more checkable than the defender’s.</w:t>
      </w:r>
    </w:p>
    <w:p>
      <w:pPr>
        <w:pStyle w:val="BodyText"/>
      </w:pPr>
      <w:r>
        <w:t xml:space="preserve">The critic can retreat to a milder claim: our concepts of possibility are trained on cases inside experience and carry no authority at the first moment of everything. That is a respectable position, but it is no longer Carnap’s. It is Kant’s, taken up below.</w:t>
      </w:r>
    </w:p>
    <w:p>
      <w:pPr>
        <w:pStyle w:val="BodyText"/>
      </w:pPr>
      <w:r>
        <w:rPr>
          <w:iCs/>
          <w:i/>
        </w:rPr>
        <w:t xml:space="preserve">Verdict.</w:t>
      </w:r>
      <w:r>
        <w:t xml:space="preserve"> </w:t>
      </w:r>
      <w:r>
        <w:t xml:space="preserve">Carnap’s route ends in silence. A skeptic who holds that talk of an uncaused beginning is nonsense has no denial of premise 1 left to offer, since</w:t>
      </w:r>
      <w:r>
        <w:t xml:space="preserve"> </w:t>
      </w:r>
      <w:r>
        <w:t xml:space="preserve">“</w:t>
      </w:r>
      <w:r>
        <w:t xml:space="preserve">something began and nothing caused it</w:t>
      </w:r>
      <w:r>
        <w:t xml:space="preserve">”</w:t>
      </w:r>
      <w:r>
        <w:t xml:space="preserve"> </w:t>
      </w:r>
      <w:r>
        <w:t xml:space="preserve">is then as empty as its opposite. He loses more than the denial. Every question he would put to the defender about what Nothing could or could not do,</w:t>
      </w:r>
      <w:r>
        <w:t xml:space="preserve"> </w:t>
      </w:r>
      <w:r>
        <w:t xml:space="preserve">“</w:t>
      </w:r>
      <w:r>
        <w:t xml:space="preserve">why not a tiger?</w:t>
      </w:r>
      <w:r>
        <w:t xml:space="preserve">”</w:t>
      </w:r>
      <w:r>
        <w:t xml:space="preserve"> </w:t>
      </w:r>
      <w:r>
        <w:t xml:space="preserve">included, is a sentence about the same void. The discipline Carnap taught is worth keeping. State the premise with quantifiers and let</w:t>
      </w:r>
      <w:r>
        <w:t xml:space="preserve"> </w:t>
      </w:r>
      <w:r>
        <w:t xml:space="preserve">“</w:t>
      </w:r>
      <w:r>
        <w:t xml:space="preserve">nothing</w:t>
      </w:r>
      <w:r>
        <w:t xml:space="preserve">”</w:t>
      </w:r>
      <w:r>
        <w:t xml:space="preserve"> </w:t>
      </w:r>
      <w:r>
        <w:t xml:space="preserve">be a word for the absence of anything.</w:t>
      </w:r>
    </w:p>
    <w:p>
      <w:r>
        <w:pict>
          <v:rect style="width:0;height:1.5pt" o:hralign="center" o:hrstd="t" o:hr="t"/>
        </w:pict>
      </w:r>
    </w:p>
    <w:bookmarkEnd w:id="21"/>
    <w:bookmarkStart w:id="22" w:name="grünbaum-causes-need-a-before"/>
    <w:p>
      <w:pPr>
        <w:pStyle w:val="Heading2"/>
      </w:pPr>
      <w:r>
        <w:t xml:space="preserve">Grünbaum: causes need a before</w:t>
      </w:r>
    </w:p>
    <w:p>
      <w:pPr>
        <w:pStyle w:val="FirstParagraph"/>
      </w:pPr>
      <w:r>
        <w:t xml:space="preserve">Adolf Grünbaum, a Pittsburgh philosopher of physics, brought a charge with the shape of Carnap’s and a different target. Carnap said a question about Nothing misfires because the subject term refers to nothing. Grünbaum said a question about the cause of the universe misfires because the relation does not apply. Causes precede their effects. If time began with the universe, no earlier time exists in which a cause could have acted (Grünbaum 1989).</w:t>
      </w:r>
    </w:p>
    <w:p>
      <w:pPr>
        <w:pStyle w:val="BodyText"/>
      </w:pPr>
      <w:r>
        <w:t xml:space="preserve">The charge exposes how much</w:t>
      </w:r>
      <w:r>
        <w:t xml:space="preserve"> </w:t>
      </w:r>
      <w:r>
        <w:t xml:space="preserve">“</w:t>
      </w:r>
      <w:r>
        <w:t xml:space="preserve">begins to exist</w:t>
      </w:r>
      <w:r>
        <w:t xml:space="preserve">”</w:t>
      </w:r>
      <w:r>
        <w:t xml:space="preserve"> </w:t>
      </w:r>
      <w:r>
        <w:t xml:space="preserve">borrows from the passage of time. A beginning is a change, and a change is something that happens at a time. On a view where all times are equally real and none is privileged, the B-theory, the universe’s</w:t>
      </w:r>
      <w:r>
        <w:t xml:space="preserve"> </w:t>
      </w:r>
      <w:r>
        <w:t xml:space="preserve">“</w:t>
      </w:r>
      <w:r>
        <w:t xml:space="preserve">beginning</w:t>
      </w:r>
      <w:r>
        <w:t xml:space="preserve">”</w:t>
      </w:r>
      <w:r>
        <w:t xml:space="preserve"> </w:t>
      </w:r>
      <w:r>
        <w:t xml:space="preserve">is only its first edge, the way a yardstick begins at the first inch. The charge bites hardest on that view, which is also where premise 2 needs the most care in the companion articles.</w:t>
      </w:r>
    </w:p>
    <w:p>
      <w:pPr>
        <w:pStyle w:val="BodyText"/>
      </w:pPr>
      <w:r>
        <w:t xml:space="preserve">The defender has three replies. First, causes need not come earlier than effects. A heavy ball resting on a cushion causes the dent at the same moment the dent exists. What a cause needs is explanatory priority, not temporal priority, and the ball and the dent show the two come apart. Second, the premise asks for a cause</w:t>
      </w:r>
      <w:r>
        <w:t xml:space="preserve"> </w:t>
      </w:r>
      <w:r>
        <w:rPr>
          <w:iCs/>
          <w:i/>
        </w:rPr>
        <w:t xml:space="preserve">or explanation</w:t>
      </w:r>
      <w:r>
        <w:t xml:space="preserve">, and explanation has never needed a before. The axioms of geometry explain why a triangle’s angles sum to 180 degrees, and the axioms did not get there first on any calendar. Explaining is a matter of what holds because of what, not of what happened when. Whatever the first moment of the universe lacks in time to be caused in, it does not lack in logic to be explained. Third, the demand for a before is a demand about one kind of cause, the kind that is itself an event, one thing happening and then another. A cause that is an agent’s choosing is a different kind of thing, and the relation of causing between an agent and a first moment does not require a gap of time.</w:t>
      </w:r>
    </w:p>
    <w:p>
      <w:pPr>
        <w:pStyle w:val="BodyText"/>
      </w:pPr>
      <w:r>
        <w:t xml:space="preserve">The skeptic’s counter-reply is that every example of simultaneous causation sits inside time, between things that last through a stretch of it. A ball and a cushion share a duration. A cause with no moment of its own, standing in no temporal relation to its effect, is a different animal, and the analogy to cushions does not reach it. The defender grants that. What kind of cause could stand in that relation to the first moment, and whether it could be timeless and still choose, are questions for the conclusion article (Who Made God?).</w:t>
      </w:r>
    </w:p>
    <w:p>
      <w:pPr>
        <w:pStyle w:val="BodyText"/>
      </w:pPr>
      <w:r>
        <w:rPr>
          <w:iCs/>
          <w:i/>
        </w:rPr>
        <w:t xml:space="preserve">Verdict.</w:t>
      </w:r>
      <w:r>
        <w:t xml:space="preserve"> </w:t>
      </w:r>
      <w:r>
        <w:t xml:space="preserve">The skeptic who rests on Grünbaum holds that the universe’s existence needs no account because no earlier time exists. That is a fact about time offered as a fact about explanation. The premise’s own wording,</w:t>
      </w:r>
      <w:r>
        <w:t xml:space="preserve"> </w:t>
      </w:r>
      <w:r>
        <w:t xml:space="preserve">“</w:t>
      </w:r>
      <w:r>
        <w:t xml:space="preserve">cause or explanation,</w:t>
      </w:r>
      <w:r>
        <w:t xml:space="preserve">”</w:t>
      </w:r>
      <w:r>
        <w:t xml:space="preserve"> </w:t>
      </w:r>
      <w:r>
        <w:t xml:space="preserve">keeps the two apart, since a cause needs a before and an explanation does not. He must show that explanation, too, needs an earlier moment, and the axioms and the theorem are against him. The defender, for his part, must say what kind of cause the argument needs, and the answer is strange: a cause with no moment before the first moment, one that is not an event and yet chooses. The conclusion article asks whether that can be made coherent.</w:t>
      </w:r>
    </w:p>
    <w:p>
      <w:r>
        <w:pict>
          <v:rect style="width:0;height:1.5pt" o:hralign="center" o:hrstd="t" o:hr="t"/>
        </w:pict>
      </w:r>
    </w:p>
    <w:bookmarkEnd w:id="22"/>
    <w:bookmarkStart w:id="23" w:name="Xb88fbf718ecac18d86d3e90dce18ab56f07fd0b"/>
    <w:p>
      <w:pPr>
        <w:pStyle w:val="Heading2"/>
      </w:pPr>
      <w:r>
        <w:t xml:space="preserve">Mackie and Oppy: the universe is the exception</w:t>
      </w:r>
    </w:p>
    <w:p>
      <w:pPr>
        <w:pStyle w:val="FirstParagraph"/>
      </w:pPr>
      <w:r>
        <w:t xml:space="preserve">J. L. Mackie, an Australian-born atheist who taught philosophy at Oxford and whose</w:t>
      </w:r>
      <w:r>
        <w:t xml:space="preserve"> </w:t>
      </w:r>
      <w:r>
        <w:rPr>
          <w:iCs/>
          <w:i/>
        </w:rPr>
        <w:t xml:space="preserve">The Miracle of Theism</w:t>
      </w:r>
      <w:r>
        <w:t xml:space="preserve"> </w:t>
      </w:r>
      <w:r>
        <w:t xml:space="preserve">appeared after his death in 1982, asks us to grant that everything inside the universe that begins has an explanation. The universe is not one more item inside the universe. Every beginning we have watched is a rearrangement of something that already existed. The universe’s beginning would be the beginning of the stage on which all rearranging occurs, and a rule learned from the contents may not govern the container (Mackie 1982). Graham Oppy, an Australian atheist philosopher at Monash University, sharpens it into a contest between theories. Every worldview stops explaining somewhere. The theist stops at God, who needs no explanation. The naturalist can stop at the universe’s initial state, which likewise needs none, and the naturalist’s stopping point is one entity fewer and not a person (Oppy 2006).</w:t>
      </w:r>
    </w:p>
    <w:p>
      <w:pPr>
        <w:pStyle w:val="BodyText"/>
      </w:pPr>
      <w:r>
        <w:t xml:space="preserve">The first reply comes from Robert Koons, a logician at the University of Texas, and his default-law argument (8): an exception to a default rule must be named. Water boils at 100°C except in Denver, where the air is thin. A fuller law would not call Denver an exception at all, since boiling point is a function of pressure and Denver is one more input. Either way the critic is asked for the same thing: the variable that takes a different value at the universe’s first moment, and one as checkable as air pressure, not one invented for the occasion the way the ether was. Mackie and Oppy have answered: no before, no outside. But those features make the case for an unexplained beginning worse. A beginning with no before and no outside has nothing around it to restrict what begins, which is the tiger problem (4) at full strength.</w:t>
      </w:r>
    </w:p>
    <w:p>
      <w:pPr>
        <w:pStyle w:val="BodyText"/>
      </w:pPr>
      <w:r>
        <w:t xml:space="preserve">The second reply goes after Oppy’s claim that the two stopping points are equals. They are different kinds of stopping point. The naturalist’s initial state</w:t>
      </w:r>
      <w:r>
        <w:t xml:space="preserve"> </w:t>
      </w:r>
      <w:r>
        <w:rPr>
          <w:iCs/>
          <w:i/>
        </w:rPr>
        <w:t xml:space="preserve">began</w:t>
      </w:r>
      <w:r>
        <w:t xml:space="preserve">, and beginnings are exactly what premise 1 is about. The theist stops at a being that exists by the necessity of its nature and never began. The question</w:t>
      </w:r>
      <w:r>
        <w:t xml:space="preserve"> </w:t>
      </w:r>
      <w:r>
        <w:t xml:space="preserve">“</w:t>
      </w:r>
      <w:r>
        <w:t xml:space="preserve">why then?</w:t>
      </w:r>
      <w:r>
        <w:t xml:space="preserve">”</w:t>
      </w:r>
      <w:r>
        <w:t xml:space="preserve"> </w:t>
      </w:r>
      <w:r>
        <w:t xml:space="preserve">has a grip on something that began, because before it began nothing about it could answer. It has no grip on something that never began, because there was no</w:t>
      </w:r>
      <w:r>
        <w:t xml:space="preserve"> </w:t>
      </w:r>
      <w:r>
        <w:t xml:space="preserve">“</w:t>
      </w:r>
      <w:r>
        <w:t xml:space="preserve">then.</w:t>
      </w:r>
      <w:r>
        <w:t xml:space="preserve">”</w:t>
      </w:r>
      <w:r>
        <w:t xml:space="preserve"> </w:t>
      </w:r>
      <w:r>
        <w:t xml:space="preserve">Premise 1 asks a question that applies to one stopping point and not to the other.</w:t>
      </w:r>
    </w:p>
    <w:p>
      <w:pPr>
        <w:pStyle w:val="BodyText"/>
      </w:pPr>
      <w:r>
        <w:t xml:space="preserve">The critic’s counter-reply is quick: make the initial state necessary as well. If God can exist necessarily, so can the first state of the universe (Oppy 2006). The defender asks whether that is believable for a state with specific features: this much energy, this low an entropy, these values of the constants. Those are the very things that could have been otherwise. Calling the state necessary does not make it look necessary. David Lu’s argument (6) presses the same wedge from another side. If the initial state is merely one that happened, nothing selects it, and the agreement of every independent measurement of the universe’s age is a coincidence on the critic’s view and an expectation on the defender’s.</w:t>
      </w:r>
    </w:p>
    <w:p>
      <w:pPr>
        <w:pStyle w:val="BodyText"/>
      </w:pPr>
      <w:r>
        <w:t xml:space="preserve">Then the critic turns the tables. The theist’s God also freely chose to create</w:t>
      </w:r>
      <w:r>
        <w:t xml:space="preserve"> </w:t>
      </w:r>
      <w:r>
        <w:rPr>
          <w:iCs/>
          <w:i/>
        </w:rPr>
        <w:t xml:space="preserve">this</w:t>
      </w:r>
      <w:r>
        <w:t xml:space="preserve"> </w:t>
      </w:r>
      <w:r>
        <w:t xml:space="preserve">universe. If the choice was necessary, everything collapses into necessity (the van Inwagen objection, below). If it was contingent, God’s choice is itself a brute fact. Alexander Pruss, a Catholic philosopher at Baylor, answers that a free choice explains without necessitating. When you choose coffee over tea, your reasons explain the choice without compelling it. A free agent is exactly the kind of thing that can account for a contingent outcome and leave it contingent. A physical state cannot.</w:t>
      </w:r>
    </w:p>
    <w:p>
      <w:pPr>
        <w:pStyle w:val="BodyText"/>
      </w:pPr>
      <w:r>
        <w:rPr>
          <w:iCs/>
          <w:i/>
        </w:rPr>
        <w:t xml:space="preserve">Verdict.</w:t>
      </w:r>
      <w:r>
        <w:t xml:space="preserve"> </w:t>
      </w:r>
      <w:r>
        <w:t xml:space="preserve">The skeptic on this route must hold that the first state of the universe is necessary, with a contingent-looking energy, entropy, and constants, or that it is brute and nothing selected it. The theist’s stopping point does not carry either cost on its face: a being that never began has no beginning to leave unexplained, and a free choice explains without necessitating. The defender’s advantage rests on a question he must now defend, whether an agent with reasons and a free choice can stop the questions better than a physical state can. If it can, the theist’s stopping place is better and Oppy’s parity fails. If it cannot, the parity charge bites both sides equally. The attributes of the cause belong to the conclusion article.</w:t>
      </w:r>
    </w:p>
    <w:p>
      <w:r>
        <w:pict>
          <v:rect style="width:0;height:1.5pt" o:hralign="center" o:hrstd="t" o:hr="t"/>
        </w:pict>
      </w:r>
    </w:p>
    <w:bookmarkEnd w:id="23"/>
    <w:bookmarkStart w:id="24" w:name="kant-a-rule-learned-from-kettles"/>
    <w:p>
      <w:pPr>
        <w:pStyle w:val="Heading2"/>
      </w:pPr>
      <w:r>
        <w:t xml:space="preserve">Kant: a rule learned from kettles</w:t>
      </w:r>
    </w:p>
    <w:p>
      <w:pPr>
        <w:pStyle w:val="FirstParagraph"/>
      </w:pPr>
      <w:r>
        <w:t xml:space="preserve">Immanuel Kant, the philosopher of Königsberg, agrees with the defender against Hume. Causality is no habit of expectation. It is the frame in which events can be experienced at all, so every event we could meet falls under causal law. That is exactly why the principle cannot be stretched. It governs the world as it appears to us, and the universe as a whole could never appear. Apply the categories to the totality and reason tangles in the contradictions Kant called antinomies, two of which concern exactly this question. The skeptic’s gut feeling has here a rigorous form: a rule learned from kettles, applied to everything.</w:t>
      </w:r>
    </w:p>
    <w:p>
      <w:pPr>
        <w:pStyle w:val="BodyText"/>
      </w:pPr>
      <w:r>
        <w:t xml:space="preserve">Three replies are available. First, Kant’s restriction is not free. It follows only from transcendental idealism, his view that space, time, and causality are forms the mind imposes on appearances and not features of things as they are. Hardly anyone accepts the system whole now. If causation and explanation are real features of things, as the Thomist and the causal-powers theorist hold, nothing explains why a real feature of beginnings should switch off at the largest scale.</w:t>
      </w:r>
    </w:p>
    <w:p>
      <w:pPr>
        <w:pStyle w:val="BodyText"/>
      </w:pPr>
      <w:r>
        <w:t xml:space="preserve">Second, the system cannot state itself without breaking its own rule. To say causality applies only to appearances, Kant must say something about what lies beyond them: that it exists, that it has no causal structure we could know, and that it somehow gives rise to our experience. Friedrich Jacobi, a contemporary critic, put the dilemma well: without the thing-in-itself affecting us he could not get into Kant’s system, and with it he could not stay inside (Jacobi 1787). Alvin Plantinga presses the general version against every Kantian scheme: it cannot be stated without applying to the unknowable the concepts it says do not apply there (Plantinga 1982).</w:t>
      </w:r>
    </w:p>
    <w:p>
      <w:pPr>
        <w:pStyle w:val="BodyText"/>
      </w:pPr>
      <w:r>
        <w:t xml:space="preserve">Third, even granting Kant everything, the objection yields less than it seems. Kant does not say the universe is uncaused. He says theoretical reason cannot decide whether causal principles reach it, and he keeps the search for causes everywhere as a regulative principle, a rule inquiry must follow as though it held without limit. A rule we are bound to follow everywhere, that has never failed anywhere we can check, is the sort of rule it is reasonable to believe holds everywhere.</w:t>
      </w:r>
    </w:p>
    <w:p>
      <w:pPr>
        <w:pStyle w:val="BodyText"/>
      </w:pPr>
      <w:r>
        <w:t xml:space="preserve">The Kantian counter-reply is that this inference is exactly what Kant forbids: from</w:t>
      </w:r>
      <w:r>
        <w:t xml:space="preserve"> </w:t>
      </w:r>
      <w:r>
        <w:t xml:space="preserve">“</w:t>
      </w:r>
      <w:r>
        <w:t xml:space="preserve">we must proceed as if</w:t>
      </w:r>
      <w:r>
        <w:t xml:space="preserve">”</w:t>
      </w:r>
      <w:r>
        <w:t xml:space="preserve"> </w:t>
      </w:r>
      <w:r>
        <w:t xml:space="preserve">to</w:t>
      </w:r>
      <w:r>
        <w:t xml:space="preserve"> </w:t>
      </w:r>
      <w:r>
        <w:t xml:space="preserve">“</w:t>
      </w:r>
      <w:r>
        <w:t xml:space="preserve">it is so.</w:t>
      </w:r>
      <w:r>
        <w:t xml:space="preserve">”</w:t>
      </w:r>
      <w:r>
        <w:t xml:space="preserve"> </w:t>
      </w:r>
      <w:r>
        <w:t xml:space="preserve">Granted. Then the Kantian cannot say the universe began without a cause either. The same wall that stops the defender stops the denier. It also stops the hinge reading of premise 1 drawn from the later Wittgenstein, which secures the premise as a rule of procedure and says nothing about the first moment.</w:t>
      </w:r>
    </w:p>
    <w:p>
      <w:pPr>
        <w:pStyle w:val="BodyText"/>
      </w:pPr>
      <w:r>
        <w:rPr>
          <w:iCs/>
          <w:i/>
        </w:rPr>
        <w:t xml:space="preserve">Verdict.</w:t>
      </w:r>
      <w:r>
        <w:t xml:space="preserve"> </w:t>
      </w:r>
      <w:r>
        <w:t xml:space="preserve">At its strongest, Kant’s objection yields agnosticism about premise 1, and it needs a metaphysics few still hold to get that far. A skeptic who invokes Kant to forbid the apologist’s extension of causality has forbidden his own, and he has also forbidden anyone to carry physics’ laws to the beginning of the universe, which later skeptics do freely.</w:t>
      </w:r>
    </w:p>
    <w:p>
      <w:r>
        <w:pict>
          <v:rect style="width:0;height:1.5pt" o:hralign="center" o:hrstd="t" o:hr="t"/>
        </w:pict>
      </w:r>
    </w:p>
    <w:bookmarkEnd w:id="24"/>
    <w:bookmarkStart w:id="25" w:name="morriston-the-induction-proves-too-much"/>
    <w:p>
      <w:pPr>
        <w:pStyle w:val="Heading2"/>
      </w:pPr>
      <w:r>
        <w:t xml:space="preserve">Morriston: the induction proves too much</w:t>
      </w:r>
    </w:p>
    <w:p>
      <w:pPr>
        <w:pStyle w:val="FirstParagraph"/>
      </w:pPr>
      <w:r>
        <w:t xml:space="preserve">Wesley Morriston is a Christian philosopher at the University of Colorado who presses the kalam from inside the household, and he aims its best-known evidence at its Christian use. Every beginning anyone has watched had a cause. Every one also had something to start from: the table began as wood, the child in its parents’ cells, the star in a collapsing cloud of gas. The observations that support</w:t>
      </w:r>
      <w:r>
        <w:t xml:space="preserve"> </w:t>
      </w:r>
      <w:r>
        <w:t xml:space="preserve">“</w:t>
      </w:r>
      <w:r>
        <w:t xml:space="preserve">whatever begins has a cause</w:t>
      </w:r>
      <w:r>
        <w:t xml:space="preserve">”</w:t>
      </w:r>
      <w:r>
        <w:t xml:space="preserve"> </w:t>
      </w:r>
      <w:r>
        <w:t xml:space="preserve">support</w:t>
      </w:r>
      <w:r>
        <w:t xml:space="preserve"> </w:t>
      </w:r>
      <w:r>
        <w:t xml:space="preserve">“</w:t>
      </w:r>
      <w:r>
        <w:t xml:space="preserve">whatever begins has a material cause</w:t>
      </w:r>
      <w:r>
        <w:t xml:space="preserve">”</w:t>
      </w:r>
      <w:r>
        <w:t xml:space="preserve"> </w:t>
      </w:r>
      <w:r>
        <w:t xml:space="preserve">in the same measure, because they are the same observations. Accept the first generalization and the second comes with it, and the second contradicts creation from nothing (Morriston 2000). He adds that creation from nothing is at least as strange as an uncaused beginning, and that intuitions formed watching things begin inside time owe no verdict on the first moment of time (Morriston 2002).</w:t>
      </w:r>
    </w:p>
    <w:p>
      <w:pPr>
        <w:pStyle w:val="BodyText"/>
      </w:pPr>
      <w:r>
        <w:t xml:space="preserve">The principle has been aimed at creation before. Lucretius, the Roman Epicurean poet, wrote in the first century BC that nothing is ever made out of nothing by divine power (Lucretius,</w:t>
      </w:r>
      <w:r>
        <w:t xml:space="preserve"> </w:t>
      </w:r>
      <w:r>
        <w:rPr>
          <w:iCs/>
          <w:i/>
        </w:rPr>
        <w:t xml:space="preserve">De rerum natura</w:t>
      </w:r>
      <w:r>
        <w:t xml:space="preserve"> </w:t>
      </w:r>
      <w:r>
        <w:t xml:space="preserve">1.150). Epicurean physics used</w:t>
      </w:r>
      <w:r>
        <w:t xml:space="preserve"> </w:t>
      </w:r>
      <w:r>
        <w:rPr>
          <w:iCs/>
          <w:i/>
        </w:rPr>
        <w:t xml:space="preserve">ex nihilo nihil fit</w:t>
      </w:r>
      <w:r>
        <w:t xml:space="preserve"> </w:t>
      </w:r>
      <w:r>
        <w:t xml:space="preserve">to rule out divine creation, which is Morriston’s use at the other end of history.</w:t>
      </w:r>
    </w:p>
    <w:p>
      <w:pPr>
        <w:pStyle w:val="BodyText"/>
      </w:pPr>
      <w:r>
        <w:t xml:space="preserve">The two generalizations differ in logical size.</w:t>
      </w:r>
      <w:r>
        <w:t xml:space="preserve"> </w:t>
      </w:r>
      <w:r>
        <w:t xml:space="preserve">“</w:t>
      </w:r>
      <w:r>
        <w:t xml:space="preserve">Whatever begins has a cause and something to work on</w:t>
      </w:r>
      <w:r>
        <w:t xml:space="preserve">”</w:t>
      </w:r>
      <w:r>
        <w:t xml:space="preserve"> </w:t>
      </w:r>
      <w:r>
        <w:t xml:space="preserve">entails</w:t>
      </w:r>
      <w:r>
        <w:t xml:space="preserve"> </w:t>
      </w:r>
      <w:r>
        <w:t xml:space="preserve">“</w:t>
      </w:r>
      <w:r>
        <w:t xml:space="preserve">whatever begins has a cause.</w:t>
      </w:r>
      <w:r>
        <w:t xml:space="preserve">”</w:t>
      </w:r>
      <w:r>
        <w:t xml:space="preserve"> </w:t>
      </w:r>
      <w:r>
        <w:t xml:space="preserve">The entailment does not run back. Evidence for the larger claim is evidence for the smaller, so the observations cannot favor the material-cause principle over premise 1. At best they tie. If every tool in the shed is a hammer with a red handle, the shed gives you at least as much reason to say every tool is a hammer as to say every tool is a hammer with a red handle, and usually more. A claim that adds a condition can be no better supported than the claim without it.</w:t>
      </w:r>
    </w:p>
    <w:p>
      <w:pPr>
        <w:pStyle w:val="BodyText"/>
      </w:pPr>
      <w:r>
        <w:t xml:space="preserve">Ask what accounts for each regularity. Material precursors have a local account. Every cause in the sample is a finite agent or process working under the local conservation of mass-energy, and such causes rearrange what is already there. The sample would show the pattern whether or not anything else were true. The cause-regularity has no such account. Nothing about finitude explains why finite things never begin uncaused. A regularity explained by a feature of the sample predicts nothing outside the sample, and a regularity with no such explanation has no reason to stop at the sample’s edge. Every swan any European had seen was white until Dutch sailors reached western Australia in 1697.</w:t>
      </w:r>
    </w:p>
    <w:p>
      <w:pPr>
        <w:pStyle w:val="BodyText"/>
      </w:pPr>
      <w:r>
        <w:t xml:space="preserve">Morriston’s rejoinder is that this proves too little. The sample holds finite causes only, so it cannot show that a cause could produce a beginning with no material. The apologist grants that, and the sample is silent in the other direction too. It holds no nonmaterial cause producing random material effects, and no nonmaterial cause producing orderly ones. It holds no nonmaterial causes at all. A sample empty of a class supports no generalization about it, in either direction. The critic can add that the sample is equally empty of universe-beginnings. It is, and that is why premise 1 cannot lean on induction alone.</w:t>
      </w:r>
    </w:p>
    <w:p>
      <w:pPr>
        <w:pStyle w:val="BodyText"/>
      </w:pPr>
      <w:r>
        <w:t xml:space="preserve">Morriston’s second point, that intuitions formed inside time have no standing at the first moment, removes the intuition that something could begin uncaused there as quickly as it removes the intuition that something could not. The skeptic who accepts it has no ground for denying premise 1, only a cleared field.</w:t>
      </w:r>
    </w:p>
    <w:p>
      <w:pPr>
        <w:pStyle w:val="BodyText"/>
      </w:pPr>
      <w:r>
        <w:t xml:space="preserve">The skeptic’s alternative also fares worse by Morriston’s own measure. Creation from nothing lacks a material cause. A beginning with no explanation lacks that, and an agent and a reason besides (Craig 2002). And the skeptic who cites Morriston owes an account of the universe. If every beginning has material to work on, the universe’s matter and energy had a precursor, and a precursor is a cause of the universe’s beginning, which is the conclusion of the kalam. He is arguing against creation from nothing, and his premise is that beginnings are caused.</w:t>
      </w:r>
    </w:p>
    <w:p>
      <w:pPr>
        <w:pStyle w:val="BodyText"/>
      </w:pPr>
      <w:r>
        <w:rPr>
          <w:iCs/>
          <w:i/>
        </w:rPr>
        <w:t xml:space="preserve">Verdict.</w:t>
      </w:r>
      <w:r>
        <w:t xml:space="preserve"> </w:t>
      </w:r>
      <w:r>
        <w:t xml:space="preserve">Induction alone cannot say why</w:t>
      </w:r>
      <w:r>
        <w:t xml:space="preserve"> </w:t>
      </w:r>
      <w:r>
        <w:rPr>
          <w:iCs/>
          <w:i/>
        </w:rPr>
        <w:t xml:space="preserve">cause</w:t>
      </w:r>
      <w:r>
        <w:t xml:space="preserve"> </w:t>
      </w:r>
      <w:r>
        <w:t xml:space="preserve">travels to the first moment while</w:t>
      </w:r>
      <w:r>
        <w:t xml:space="preserve"> </w:t>
      </w:r>
      <w:r>
        <w:rPr>
          <w:iCs/>
          <w:i/>
        </w:rPr>
        <w:t xml:space="preserve">material</w:t>
      </w:r>
      <w:r>
        <w:t xml:space="preserve"> </w:t>
      </w:r>
      <w:r>
        <w:t xml:space="preserve">stays behind. Two supports can. The first principle (1) asks for an actual source of a beginning and says nothing about what the source works on; the Thomist argument (2) makes the same demand from the nature of change. Used against creation from nothing, Morriston’s induction accepts premise 1 along the way. Used against premise 1, it supports premise 1.</w:t>
      </w:r>
    </w:p>
    <w:p>
      <w:r>
        <w:pict>
          <v:rect style="width:0;height:1.5pt" o:hralign="center" o:hrstd="t" o:hr="t"/>
        </w:pict>
      </w:r>
    </w:p>
    <w:bookmarkEnd w:id="25"/>
    <w:bookmarkStart w:id="26" w:name="van-inwagen-the-collapse-of-possibility"/>
    <w:p>
      <w:pPr>
        <w:pStyle w:val="Heading2"/>
      </w:pPr>
      <w:r>
        <w:t xml:space="preserve">van Inwagen: the collapse of possibility</w:t>
      </w:r>
    </w:p>
    <w:p>
      <w:pPr>
        <w:pStyle w:val="FirstParagraph"/>
      </w:pPr>
      <w:r>
        <w:t xml:space="preserve">Peter van Inwagen, a Christian metaphysician at Notre Dame, argues against the full PSR. On the broader</w:t>
      </w:r>
      <w:r>
        <w:t xml:space="preserve"> </w:t>
      </w:r>
      <w:r>
        <w:t xml:space="preserve">“</w:t>
      </w:r>
      <w:r>
        <w:t xml:space="preserve">cause or explanation</w:t>
      </w:r>
      <w:r>
        <w:t xml:space="preserve">”</w:t>
      </w:r>
      <w:r>
        <w:t xml:space="preserve"> </w:t>
      </w:r>
      <w:r>
        <w:t xml:space="preserve">wording his argument touches premise 1 too. Join every contingent truth into one enormous conjunction, the Big Conjunctive Contingent Fact. If every contingent fact has an explanation, so does this one. Not a necessary truth explains it, since necessary truths cannot explain why things are one way rather than another. Not a contingent truth, since any contingent truth is already a conjunct and would end up explaining itself. So either the full PSR is false, or nothing is contingent and everything that happens had to happen (van Inwagen 1983, 202–204). Philosophers call the second result modal collapse, and nobody wants it.</w:t>
      </w:r>
    </w:p>
    <w:p>
      <w:pPr>
        <w:pStyle w:val="BodyText"/>
      </w:pPr>
      <w:r>
        <w:t xml:space="preserve">Pruss answers that an explanation need not necessitate what it explains. A free choice explains an action without making it inevitable, and God’s free choice to create explains the Big Conjunctive Contingent Fact without turning it into a necessity. Others argue that the Big Conjunctive Contingent Fact cannot exist, by reasoning parallel to Cantor’s proof that there is no set of all sets.</w:t>
      </w:r>
    </w:p>
    <w:p>
      <w:pPr>
        <w:pStyle w:val="BodyText"/>
      </w:pPr>
      <w:r>
        <w:t xml:space="preserve">Van Inwagen’s argument needs an explanation of everything contingent whatsoever. Premise 1 asks only for explanation of things that</w:t>
      </w:r>
      <w:r>
        <w:t xml:space="preserve"> </w:t>
      </w:r>
      <w:r>
        <w:rPr>
          <w:iCs/>
          <w:i/>
        </w:rPr>
        <w:t xml:space="preserve">begin</w:t>
      </w:r>
      <w:r>
        <w:t xml:space="preserve">, a far smaller class. It does not require the Big Conjunctive Contingent Fact to have an explanation.</w:t>
      </w:r>
    </w:p>
    <w:p>
      <w:pPr>
        <w:pStyle w:val="BodyText"/>
      </w:pPr>
      <w:r>
        <w:t xml:space="preserve">The critic’s counter-reply is the best one available. A premise that survives by asking for less may be arbitrary. Why should explanation be owed to beginnings and not to the rest? Defenders of the full PSR have an easy answer: it isn’t. Defenders of the narrower premise need a reason for the line.</w:t>
      </w:r>
    </w:p>
    <w:p>
      <w:pPr>
        <w:pStyle w:val="BodyText"/>
      </w:pPr>
      <w:r>
        <w:t xml:space="preserve">The reason is in the content of</w:t>
      </w:r>
      <w:r>
        <w:t xml:space="preserve"> </w:t>
      </w:r>
      <w:r>
        <w:t xml:space="preserve">“</w:t>
      </w:r>
      <w:r>
        <w:t xml:space="preserve">beginning.</w:t>
      </w:r>
      <w:r>
        <w:t xml:space="preserve">”</w:t>
      </w:r>
      <w:r>
        <w:t xml:space="preserve"> </w:t>
      </w:r>
      <w:r>
        <w:t xml:space="preserve">A thing that goes from not existing to existing is the case where the question</w:t>
      </w:r>
      <w:r>
        <w:t xml:space="preserve"> </w:t>
      </w:r>
      <w:r>
        <w:rPr>
          <w:iCs/>
          <w:i/>
        </w:rPr>
        <w:t xml:space="preserve">why then?</w:t>
      </w:r>
      <w:r>
        <w:t xml:space="preserve"> </w:t>
      </w:r>
      <w:r>
        <w:t xml:space="preserve">cannot be answered by the thing’s own nature, because before it began there was no nature to answer with. A thing that has always existed raises a different question, whether it exists necessarily, and the answers to that are less obvious. So the line between beginners and non-beginners falls where the demand for explanation is clearest, and the argument does not draw it for convenience.</w:t>
      </w:r>
    </w:p>
    <w:p>
      <w:pPr>
        <w:pStyle w:val="BodyText"/>
      </w:pPr>
      <w:r>
        <w:t xml:space="preserve">Rasmussen’s argument (9) asks for less still: only the possibility of a cause outside contingent things, with no claim that everything owes an explanation. It never mentions the Big Conjunctive Contingent Fact and gives van Inwagen’s argument nothing to grip. Its premises are about what may be the case: a state of affairs that can begin could have an outside cause. A skeptic who wants to answer it cannot appeal to the collapse of possibility, since the argument asserts only possibility, and must contest the modal logic of its last step instead. That is a narrower fight than van Inwagen’s.</w:t>
      </w:r>
    </w:p>
    <w:p>
      <w:pPr>
        <w:pStyle w:val="BodyText"/>
      </w:pPr>
      <w:r>
        <w:rPr>
          <w:iCs/>
          <w:i/>
        </w:rPr>
        <w:t xml:space="preserve">Verdict.</w:t>
      </w:r>
      <w:r>
        <w:t xml:space="preserve"> </w:t>
      </w:r>
      <w:r>
        <w:t xml:space="preserve">The skeptic who stands on van Inwagen holds that the full PSR fails. The apologist can agree and lose nothing, since premise 1 never needed the full PSR. What the skeptic cannot hold is that the failure of the full PSR reaches beginnings, because the argument that sinks the full PSR depends on a conjunction of every contingent fact, and beginnings are not that.</w:t>
      </w:r>
    </w:p>
    <w:p>
      <w:r>
        <w:pict>
          <v:rect style="width:0;height:1.5pt" o:hralign="center" o:hrstd="t" o:hr="t"/>
        </w:pict>
      </w:r>
    </w:p>
    <w:bookmarkEnd w:id="26"/>
    <w:bookmarkStart w:id="27" w:name="X5e6dd8b87478d18cb50bc424a77ab370f7656da"/>
    <w:p>
      <w:pPr>
        <w:pStyle w:val="Heading2"/>
      </w:pPr>
      <w:r>
        <w:t xml:space="preserve">Russell, Norton, Linford: there is nothing down there to explain with</w:t>
      </w:r>
    </w:p>
    <w:p>
      <w:pPr>
        <w:pStyle w:val="FirstParagraph"/>
      </w:pPr>
      <w:r>
        <w:t xml:space="preserve">Bertrand Russell, the logician, observed in 1913 that the equations of mature physics relate states of a system at different times, symmetrically, the way an equation relates its two sides, and mention no causes. John Norton, a philosopher of physics at the University of Pittsburgh, argued in 2003 that the habit of causal talk belongs to everyday life and has no place in fundamental theory: causal talk is folk science, a serviceable approximation like centrifugal force on a merry-go-round (Norton 2003). Daniel Linford, a philosopher of physics, brings it to the kalam.</w:t>
      </w:r>
    </w:p>
    <w:p>
      <w:pPr>
        <w:pStyle w:val="BodyText"/>
      </w:pPr>
      <w:r>
        <w:t xml:space="preserve">Linford’s naturalist has a non-causal answer to why the glove box never fills itself with paraphernalia. The dynamical laws together with statistical mechanics make such arrivals so improbable that no one expects one, and no causal principle is needed to keep the world orderly (Linford 2025). An earlier paper adds that if the direction of time reduces to the direction of entropy increase, causation reduces with it, and things can begin without causes (Linford 2020). The reductio concludes that something must restrict what begins. Linford supplies a restriction that is not a cause.</w:t>
      </w:r>
    </w:p>
    <w:p>
      <w:pPr>
        <w:pStyle w:val="BodyText"/>
      </w:pPr>
      <w:r>
        <w:t xml:space="preserve">A restriction that accounts for why the glove box stays empty is an explanation, and premise 1 asks for a cause or an explanation. Linford may have eliminated the first. His answer to the glove box is an instance of the second.</w:t>
      </w:r>
    </w:p>
    <w:p>
      <w:pPr>
        <w:pStyle w:val="BodyText"/>
      </w:pPr>
      <w:r>
        <w:t xml:space="preserve">The critic concedes the word and moves the question. Explanation in physics subsumes a state under laws and earlier states. The initial state has no earlier state, and a chain may have a first link without scandal. Linford can go further and give the low-entropy start the status of a law. That is how the Mentaculus, David Albert and Barry Loewer’s package of statistical-mechanical laws, works: add a postulate that the initial state had low entropy, and the package fixes the probabilities of everything after it (Linford 2020).</w:t>
      </w:r>
    </w:p>
    <w:p>
      <w:pPr>
        <w:pStyle w:val="BodyText"/>
      </w:pPr>
      <w:r>
        <w:t xml:space="preserve">Inside the universe, laws and earlier states keep paraphernalia out of the glove box. At the first moment the critic has no earlier state, and the same statistical mechanics he used on the glove box rates a low-entropy start as the improbable event. Making the start a law fixes every probability conditional on it and assigns none to it. The question that excluded the paraphernalia, why this state and not a hostile one, is the question the first state faces and the postulate leaves open.</w:t>
      </w:r>
    </w:p>
    <w:p>
      <w:pPr>
        <w:pStyle w:val="BodyText"/>
      </w:pPr>
      <w:r>
        <w:t xml:space="preserve">Law status also yields no explanation of its own. On the Humean view of laws, which this move needs, laws summarize what happens across the whole mosaic of events, so the law that the initial state was low-entropy is true because the initial state was. A summary describes the beginning. The standard objection to summary views of laws, that laws cannot explain the instances they are made of, applies. Humeans answer that scientific explanation needs no deeper ground, and the answer concedes that the initial state is explained only in the way a description explains it.</w:t>
      </w:r>
    </w:p>
    <w:p>
      <w:pPr>
        <w:pStyle w:val="BodyText"/>
      </w:pPr>
      <w:r>
        <w:t xml:space="preserve">Physics relates states and leaves open whether anything produces or explains the relation. A physics text that never mentions causes shows there are none no more than a chemistry text that never mentions justice shows there is none. Eliminativism about fundamental causation is also contested inside the philosophy of science. Nancy Cartwright, a philosopher of science, argues that capacities are indispensable to how experiments work, and Stephen Mumford and Rani Lill Anjum, philosophers of causation, build a theory of causation on powers (Cartwright 1989; Mumford and Anjum 2011).</w:t>
      </w:r>
    </w:p>
    <w:p>
      <w:pPr>
        <w:pStyle w:val="BodyText"/>
      </w:pPr>
      <w:r>
        <w:rPr>
          <w:iCs/>
          <w:i/>
        </w:rPr>
        <w:t xml:space="preserve">Verdict.</w:t>
      </w:r>
      <w:r>
        <w:t xml:space="preserve"> </w:t>
      </w:r>
      <w:r>
        <w:t xml:space="preserve">The reductio should be stated in terms of explanation, and the apologist loses nothing by restating it. The skeptic who takes Linford’s route holds that probability and law govern every state of the universe except the first, that the first needs no account of why it was this state and not a hostile one, and that explanation runs out at the one place the argument is about. He allows the first moment the unexplained event he refused the glove box.</w:t>
      </w:r>
    </w:p>
    <w:p>
      <w:r>
        <w:pict>
          <v:rect style="width:0;height:1.5pt" o:hralign="center" o:hrstd="t" o:hr="t"/>
        </w:pict>
      </w:r>
    </w:p>
    <w:bookmarkEnd w:id="27"/>
    <w:bookmarkStart w:id="28" w:name="quantum-events-things-do-pop-into-being"/>
    <w:p>
      <w:pPr>
        <w:pStyle w:val="Heading2"/>
      </w:pPr>
      <w:r>
        <w:t xml:space="preserve">Quantum events: things do pop into being</w:t>
      </w:r>
    </w:p>
    <w:p>
      <w:pPr>
        <w:pStyle w:val="FirstParagraph"/>
      </w:pPr>
      <w:r>
        <w:t xml:space="preserve">The strongest form of the objection is empirical. If premise 1 were a law of nature, physics would have been free to repeal it, and physics appears to have done so. The best theory of matter we have includes events with no deterministic antecedent: radioactive atoms decay at moments nothing fixes, and virtual particles appear in the vacuum and vanish. Cosmology offers a model in which the universe itself tunnels into being from nothing (Vilenkin 1982). Philosophers can insist on the principle. The laboratory does not require it.</w:t>
      </w:r>
    </w:p>
    <w:p>
      <w:pPr>
        <w:pStyle w:val="BodyText"/>
      </w:pPr>
      <w:r>
        <w:t xml:space="preserve">The first reply is the one David Albert, a Columbia philosopher of physics, made against Krauss. A vacuum state is a physical state with energy and structure, obeying laws, occupying space. It is a particular arrangement of physical stuff, and the</w:t>
      </w:r>
      <w:r>
        <w:t xml:space="preserve"> </w:t>
      </w:r>
      <w:r>
        <w:t xml:space="preserve">“</w:t>
      </w:r>
      <w:r>
        <w:t xml:space="preserve">nothing</w:t>
      </w:r>
      <w:r>
        <w:t xml:space="preserve">”</w:t>
      </w:r>
      <w:r>
        <w:t xml:space="preserve"> </w:t>
      </w:r>
      <w:r>
        <w:t xml:space="preserve">of Krauss’s title is a busy something (Albert 2012). Vilenkin’s</w:t>
      </w:r>
      <w:r>
        <w:t xml:space="preserve"> </w:t>
      </w:r>
      <w:r>
        <w:t xml:space="preserve">“</w:t>
      </w:r>
      <w:r>
        <w:t xml:space="preserve">nothing</w:t>
      </w:r>
      <w:r>
        <w:t xml:space="preserve">”</w:t>
      </w:r>
      <w:r>
        <w:t xml:space="preserve"> </w:t>
      </w:r>
      <w:r>
        <w:t xml:space="preserve">is a state with no classical space or time, still governed by the laws of quantum mechanics, which is nothing in the physicist’s sense and something in the philosopher’s. A universe that tunnels out of that state arises with the laws, the quantum state, and the geometry that make the tunneling possible already in place, and a beginning with all that in place is a beginning with something to account for it.</w:t>
      </w:r>
    </w:p>
    <w:p>
      <w:pPr>
        <w:pStyle w:val="BodyText"/>
      </w:pPr>
      <w:r>
        <w:t xml:space="preserve">The second reply concerns interpretation. On Bohmian mechanics, a version of quantum theory in which particles always have definite positions guided by a wave, every decay is fully determined, so the objection fails there. On the many-worlds reading the wave function evolves deterministically and chance is only how branching looks from inside one branch. On collapse theories the event is chancy but lawful. On the standard interpretations the event is indeterministic, which is not the same as unexplained: the unstable nucleus, the laws, and the probability all figure in the explanation of the event. The same caution binds the Christian, because the verdict depends on interpretation and quantum mechanics does not</w:t>
      </w:r>
      <w:r>
        <w:t xml:space="preserve"> </w:t>
      </w:r>
      <w:r>
        <w:rPr>
          <w:iCs/>
          <w:i/>
        </w:rPr>
        <w:t xml:space="preserve">prove</w:t>
      </w:r>
      <w:r>
        <w:t xml:space="preserve"> </w:t>
      </w:r>
      <w:r>
        <w:t xml:space="preserve">premise 1 either.</w:t>
      </w:r>
    </w:p>
    <w:p>
      <w:pPr>
        <w:pStyle w:val="BodyText"/>
      </w:pPr>
      <w:r>
        <w:t xml:space="preserve">The third reply is that neither example is a beginning of the kind premise 1 covers. A decay is a change in an existing atom. A virtual particle, which physicists often describe as a term in a calculation of how fields interact and not a little ball that pops out and back, is an excitation of an existing field. Each happens inside a setting that supplies the fields, the laws, and the state. Premise 1 is about a thing’s beginning to exist, and a beginning with a setting is a beginning with something to account for it.</w:t>
      </w:r>
    </w:p>
    <w:p>
      <w:pPr>
        <w:pStyle w:val="BodyText"/>
      </w:pPr>
      <w:r>
        <w:t xml:space="preserve">The critic’s counter-reply is that indeterminism means nothing selects which outcome occurs at which time, so there is at least one brute fact in every decay: the timing. The defender can grant it. An explanation of why this isotope has a half-life of so many years explains the pattern, and the exact moment of one atom’s decay may go unexplained. That concedes a limit on the full PSR and leaves premise 1 untouched, since the thing whose existence begins, the alpha particle, is accounted for by the nucleus and the laws that produce it.</w:t>
      </w:r>
    </w:p>
    <w:p>
      <w:pPr>
        <w:pStyle w:val="BodyText"/>
      </w:pPr>
      <w:r>
        <w:t xml:space="preserve">Every quantum event the objector cites is also restricted. A uranium atom decays into particular products, and no tiger has ever emerged from one. The vacuum yields excitations of fields that exist, in amounts the laws allow. The examples the critic reaches for are the restrictions Argument 4 asks him to supply, and each of them is a restriction supplied by something with properties.</w:t>
      </w:r>
    </w:p>
    <w:p>
      <w:pPr>
        <w:pStyle w:val="BodyText"/>
      </w:pPr>
      <w:r>
        <w:rPr>
          <w:iCs/>
          <w:i/>
        </w:rPr>
        <w:t xml:space="preserve">Verdict.</w:t>
      </w:r>
      <w:r>
        <w:t xml:space="preserve"> </w:t>
      </w:r>
      <w:r>
        <w:t xml:space="preserve">The skeptic who rests on quantum events must hold that the vacuum is nothing, which Albert denies, or that changes inside a setting are beginnings of being, which they are not. What remains is the claim that the first moment is like a decay. A decay has a nucleus.</w:t>
      </w:r>
    </w:p>
    <w:p>
      <w:r>
        <w:pict>
          <v:rect style="width:0;height:1.5pt" o:hralign="center" o:hrstd="t" o:hr="t"/>
        </w:pict>
      </w:r>
    </w:p>
    <w:bookmarkEnd w:id="28"/>
    <w:bookmarkStart w:id="29" w:name="carroll-we-dont-need-an-answer"/>
    <w:p>
      <w:pPr>
        <w:pStyle w:val="Heading2"/>
      </w:pPr>
      <w:r>
        <w:t xml:space="preserve">Carroll: we don’t need an answer</w:t>
      </w:r>
    </w:p>
    <w:p>
      <w:pPr>
        <w:pStyle w:val="FirstParagraph"/>
      </w:pPr>
      <w:r>
        <w:t xml:space="preserve">Sean Carroll, a cosmologist and atheist, makes the most candid objection. The demand for an explanation of why the universe exists is optional. Physical theories describe; they need no further</w:t>
      </w:r>
      <w:r>
        <w:t xml:space="preserve"> </w:t>
      </w:r>
      <w:r>
        <w:t xml:space="preserve">“</w:t>
      </w:r>
      <w:r>
        <w:t xml:space="preserve">why</w:t>
      </w:r>
      <w:r>
        <w:t xml:space="preserve">”</w:t>
      </w:r>
      <w:r>
        <w:t xml:space="preserve"> </w:t>
      </w:r>
      <w:r>
        <w:t xml:space="preserve">behind the description, and at some point explanation bottoms out in the way things are (Carroll 2012). He reads the kalam as a competitor to cosmological models, a God-plus-Big-Bang hypothesis that must earn its place by predicting something and that predicts nothing the models do not.</w:t>
      </w:r>
    </w:p>
    <w:p>
      <w:pPr>
        <w:pStyle w:val="BodyText"/>
      </w:pPr>
      <w:r>
        <w:t xml:space="preserve">The first reply is that the kalam does not offer God as a rival physical model with adjustable parameters. It claims that physical models, however complete, describe a reality that began, and leave open a question they were never formed to answer. A model of the universe that predicts the cosmic microwave background tells us how things go. It does not tell us why there is a universe to go in.</w:t>
      </w:r>
    </w:p>
    <w:p>
      <w:pPr>
        <w:pStyle w:val="BodyText"/>
      </w:pPr>
      <w:r>
        <w:t xml:space="preserve">The second reply goes after the standard. Carroll judges hypotheses by what they explain and predict, so he treats explanation as a virtue of theories. He then exempts his own stopping point from the demand. A skeptic who holds that explanation is a virtue in a theory and optional at its first step has chosen where the virtue stops applying, and he has chosen the one place where it would be inconvenient.</w:t>
      </w:r>
    </w:p>
    <w:p>
      <w:pPr>
        <w:pStyle w:val="BodyText"/>
      </w:pPr>
      <w:r>
        <w:t xml:space="preserve">The third reply is that</w:t>
      </w:r>
      <w:r>
        <w:t xml:space="preserve"> </w:t>
      </w:r>
      <w:r>
        <w:t xml:space="preserve">“</w:t>
      </w:r>
      <w:r>
        <w:t xml:space="preserve">the universe is a brute fact</w:t>
      </w:r>
      <w:r>
        <w:t xml:space="preserve">”</w:t>
      </w:r>
      <w:r>
        <w:t xml:space="preserve"> </w:t>
      </w:r>
      <w:r>
        <w:t xml:space="preserve">returns the argument to Argument 4. If a universe can be brute, nothing says why only universes are, and why nothing else is. Carroll must supply the restriction, and once he does, he has supplied an explanation.</w:t>
      </w:r>
    </w:p>
    <w:p>
      <w:pPr>
        <w:pStyle w:val="BodyText"/>
      </w:pPr>
      <w:r>
        <w:t xml:space="preserve">The critic’s counter-reply is that explanation bottoms out for everyone, the theist included, and the theist’s God is only a brute fact with a halo. The defender answers that the two stopping points are different in kind. A contingent state invites the question</w:t>
      </w:r>
      <w:r>
        <w:t xml:space="preserve"> </w:t>
      </w:r>
      <w:r>
        <w:rPr>
          <w:iCs/>
          <w:i/>
        </w:rPr>
        <w:t xml:space="preserve">why this one?</w:t>
      </w:r>
      <w:r>
        <w:t xml:space="preserve"> </w:t>
      </w:r>
      <w:r>
        <w:t xml:space="preserve">A necessary being, if there is one, does not, and the conclusion article (Who Made God?) argues that the cause the kalam delivers is of that kind. A comparison between stopping points must be made on what each leaves unanswered.</w:t>
      </w:r>
    </w:p>
    <w:p>
      <w:pPr>
        <w:pStyle w:val="BodyText"/>
      </w:pPr>
      <w:r>
        <w:rPr>
          <w:iCs/>
          <w:i/>
        </w:rPr>
        <w:t xml:space="preserve">Verdict.</w:t>
      </w:r>
      <w:r>
        <w:t xml:space="preserve"> </w:t>
      </w:r>
      <w:r>
        <w:t xml:space="preserve">The skeptic who takes Carroll’s route holds that a question every other science treats as legitimate loses its standing at the first moment. He holds that explanation is a virtue in theories and optional at their beginning. Both are decisions, not discoveries, and the second is made at the one point where the decision happens to be convenient.</w:t>
      </w:r>
    </w:p>
    <w:p>
      <w:r>
        <w:pict>
          <v:rect style="width:0;height:1.5pt" o:hralign="center" o:hrstd="t" o:hr="t"/>
        </w:pict>
      </w:r>
    </w:p>
    <w:bookmarkEnd w:id="29"/>
    <w:bookmarkStart w:id="30" w:name="probability-needs-a-measure"/>
    <w:p>
      <w:pPr>
        <w:pStyle w:val="Heading2"/>
      </w:pPr>
      <w:r>
        <w:t xml:space="preserve">Probability needs a measure</w:t>
      </w:r>
    </w:p>
    <w:p>
      <w:pPr>
        <w:pStyle w:val="FirstParagraph"/>
      </w:pPr>
      <w:r>
        <w:t xml:space="preserve">Lu’s argument (6) needs a way to say that</w:t>
      </w:r>
      <w:r>
        <w:t xml:space="preserve"> </w:t>
      </w:r>
      <w:r>
        <w:t xml:space="preserve">“</w:t>
      </w:r>
      <w:r>
        <w:t xml:space="preserve">looking old and being old</w:t>
      </w:r>
      <w:r>
        <w:t xml:space="preserve">”</w:t>
      </w:r>
      <w:r>
        <w:t xml:space="preserve"> </w:t>
      </w:r>
      <w:r>
        <w:t xml:space="preserve">is a small fraction of the possible initial states. But the space of possible initial states is infinite, and probability cannot be spread evenly over an infinite space. Timothy and Lydia McGrew and Eric Vestrup raised this against fine-tuning arguments in 2001 (McGrew, McGrew, and Vestrup 2001). Without a normalizable measure,</w:t>
      </w:r>
      <w:r>
        <w:t xml:space="preserve"> </w:t>
      </w:r>
      <w:r>
        <w:t xml:space="preserve">“</w:t>
      </w:r>
      <w:r>
        <w:t xml:space="preserve">vastly more ways</w:t>
      </w:r>
      <w:r>
        <w:t xml:space="preserve">”</w:t>
      </w:r>
      <w:r>
        <w:t xml:space="preserve"> </w:t>
      </w:r>
      <w:r>
        <w:t xml:space="preserve">means nothing.</w:t>
      </w:r>
    </w:p>
    <w:p>
      <w:pPr>
        <w:pStyle w:val="BodyText"/>
      </w:pPr>
      <w:r>
        <w:t xml:space="preserve">The defender concedes the force against the numbers. Lu’s own defenders will have to say whether the argument can be run without them. The qualitative point survives. The critic has conceded that on his view nothing makes the actual initial state more likely than any other. If so, the order we observe is not</w:t>
      </w:r>
      <w:r>
        <w:t xml:space="preserve"> </w:t>
      </w:r>
      <w:r>
        <w:rPr>
          <w:iCs/>
          <w:i/>
        </w:rPr>
        <w:t xml:space="preserve">expected</w:t>
      </w:r>
      <w:r>
        <w:t xml:space="preserve"> </w:t>
      </w:r>
      <w:r>
        <w:t xml:space="preserve">on his view in any sense. It is merely</w:t>
      </w:r>
      <w:r>
        <w:t xml:space="preserve"> </w:t>
      </w:r>
      <w:r>
        <w:rPr>
          <w:iCs/>
          <w:i/>
        </w:rPr>
        <w:t xml:space="preserve">compatible</w:t>
      </w:r>
      <w:r>
        <w:t xml:space="preserve"> </w:t>
      </w:r>
      <w:r>
        <w:t xml:space="preserve">with it. On the defender’s view it is what a cause with reasons would produce. A theory on which the evidence is merely compatible loses to a theory on which it is expected, when both fit.</w:t>
      </w:r>
    </w:p>
    <w:p>
      <w:pPr>
        <w:pStyle w:val="BodyText"/>
      </w:pPr>
      <w:r>
        <w:t xml:space="preserve">The critic’s replies are strong here. The same objection runs against the defender: to say the order is expected given a cause with reasons, one needs some measure over what such a cause would choose, and nobody has one. A necessary being’s reasons are not on public view. If</w:t>
      </w:r>
      <w:r>
        <w:t xml:space="preserve"> </w:t>
      </w:r>
      <w:r>
        <w:t xml:space="preserve">“</w:t>
      </w:r>
      <w:r>
        <w:t xml:space="preserve">expected</w:t>
      </w:r>
      <w:r>
        <w:t xml:space="preserve">”</w:t>
      </w:r>
      <w:r>
        <w:t xml:space="preserve"> </w:t>
      </w:r>
      <w:r>
        <w:t xml:space="preserve">needs a measure, the defender is as short of one as the critic, and the comparison between</w:t>
      </w:r>
      <w:r>
        <w:t xml:space="preserve"> </w:t>
      </w:r>
      <w:r>
        <w:t xml:space="preserve">“</w:t>
      </w:r>
      <w:r>
        <w:t xml:space="preserve">merely compatible</w:t>
      </w:r>
      <w:r>
        <w:t xml:space="preserve">”</w:t>
      </w:r>
      <w:r>
        <w:t xml:space="preserve"> </w:t>
      </w:r>
      <w:r>
        <w:t xml:space="preserve">and</w:t>
      </w:r>
      <w:r>
        <w:t xml:space="preserve"> </w:t>
      </w:r>
      <w:r>
        <w:t xml:space="preserve">“</w:t>
      </w:r>
      <w:r>
        <w:t xml:space="preserve">expected</w:t>
      </w:r>
      <w:r>
        <w:t xml:space="preserve">”</w:t>
      </w:r>
      <w:r>
        <w:t xml:space="preserve"> </w:t>
      </w:r>
      <w:r>
        <w:t xml:space="preserve">becomes two blanks set side by side. The defender’s remaining answer is thin: a unified cause is at least the kind of thing that could account for agreement among independent measurements, and an unexplained beginning is not.</w:t>
      </w:r>
    </w:p>
    <w:p>
      <w:pPr>
        <w:pStyle w:val="BodyText"/>
      </w:pPr>
      <w:r>
        <w:t xml:space="preserve">The objection also cuts against the objectors. Linford’s answer to the glove box runs on probabilities over states. If the normalizability objection succeeds, his statistical-mechanical answer has nothing to be statistical about at the first moment. If the objection fails, Lu may use the measure. Either way Argument 5 is untouched, because it asks about the knower and needs no measure over initial states.</w:t>
      </w:r>
    </w:p>
    <w:p>
      <w:pPr>
        <w:pStyle w:val="BodyText"/>
      </w:pPr>
      <w:r>
        <w:rPr>
          <w:iCs/>
          <w:i/>
        </w:rPr>
        <w:t xml:space="preserve">Verdict.</w:t>
      </w:r>
      <w:r>
        <w:t xml:space="preserve"> </w:t>
      </w:r>
      <w:r>
        <w:t xml:space="preserve">The formal version of Argument 6 is exposed and should be offered cautiously, and the comparison between</w:t>
      </w:r>
      <w:r>
        <w:t xml:space="preserve"> </w:t>
      </w:r>
      <w:r>
        <w:t xml:space="preserve">“</w:t>
      </w:r>
      <w:r>
        <w:t xml:space="preserve">expected</w:t>
      </w:r>
      <w:r>
        <w:t xml:space="preserve">”</w:t>
      </w:r>
      <w:r>
        <w:t xml:space="preserve"> </w:t>
      </w:r>
      <w:r>
        <w:t xml:space="preserve">and</w:t>
      </w:r>
      <w:r>
        <w:t xml:space="preserve"> </w:t>
      </w:r>
      <w:r>
        <w:t xml:space="preserve">“</w:t>
      </w:r>
      <w:r>
        <w:t xml:space="preserve">compatible</w:t>
      </w:r>
      <w:r>
        <w:t xml:space="preserve">”</w:t>
      </w:r>
      <w:r>
        <w:t xml:space="preserve"> </w:t>
      </w:r>
      <w:r>
        <w:t xml:space="preserve">is only as good as the defender’s answer to the parity charge above. Argument 5, which needs no measure, carries more. The skeptic who presses the measure objection must give up the probabilistic answer to the glove box or let Lu have his probabilities.</w:t>
      </w:r>
    </w:p>
    <w:p>
      <w:r>
        <w:pict>
          <v:rect style="width:0;height:1.5pt" o:hralign="center" o:hrstd="t" o:hr="t"/>
        </w:pict>
      </w:r>
    </w:p>
    <w:bookmarkEnd w:id="30"/>
    <w:bookmarkStart w:id="31" w:name="the-denial"/>
    <w:p>
      <w:pPr>
        <w:pStyle w:val="Heading2"/>
      </w:pPr>
      <w:r>
        <w:t xml:space="preserve">The denial</w:t>
      </w:r>
    </w:p>
    <w:p>
      <w:pPr>
        <w:pStyle w:val="FirstParagraph"/>
      </w:pPr>
      <w:r>
        <w:t xml:space="preserve">Set the objectors side by side and they do not form a line. They give three answers to one question, what there is to say about the beginning of the universe’s existence, and the answers exclude one another.</w:t>
      </w:r>
    </w:p>
    <w:p>
      <w:pPr>
        <w:pStyle w:val="BodyText"/>
      </w:pPr>
      <w:r>
        <w:t xml:space="preserve">Carnap and Grünbaum answer that the question is malformed.</w:t>
      </w:r>
      <w:r>
        <w:t xml:space="preserve"> </w:t>
      </w:r>
      <w:r>
        <w:t xml:space="preserve">“</w:t>
      </w:r>
      <w:r>
        <w:t xml:space="preserve">Nothing</w:t>
      </w:r>
      <w:r>
        <w:t xml:space="preserve">”</w:t>
      </w:r>
      <w:r>
        <w:t xml:space="preserve"> </w:t>
      </w:r>
      <w:r>
        <w:t xml:space="preserve">names nothing;</w:t>
      </w:r>
      <w:r>
        <w:t xml:space="preserve"> </w:t>
      </w:r>
      <w:r>
        <w:t xml:space="preserve">“</w:t>
      </w:r>
      <w:r>
        <w:t xml:space="preserve">cause</w:t>
      </w:r>
      <w:r>
        <w:t xml:space="preserve">”</w:t>
      </w:r>
      <w:r>
        <w:t xml:space="preserve"> </w:t>
      </w:r>
      <w:r>
        <w:t xml:space="preserve">needs a before. There is nothing to say, so nothing to deny. Oppy, Carroll, and Linford answer that the question is well formed and the answer is in: the initial state is where explanation stops, or is necessary, or needs none, or is accounted for by laws and probabilities. Kant, and Hume in his own way, answer that the question is well formed and no one can answer it.</w:t>
      </w:r>
    </w:p>
    <w:p>
      <w:pPr>
        <w:pStyle w:val="BodyText"/>
      </w:pPr>
      <w:r>
        <w:t xml:space="preserve">Each lane forbids the others, and the objectors collide inside the lanes too.</w:t>
      </w:r>
    </w:p>
    <w:p>
      <w:pPr>
        <w:numPr>
          <w:ilvl w:val="0"/>
          <w:numId w:val="1001"/>
        </w:numPr>
        <w:pStyle w:val="Compact"/>
      </w:pPr>
      <w:r>
        <w:t xml:space="preserve">Carnap versus Oppy: if the question is nonsense, so is making the initial state necessary.</w:t>
      </w:r>
    </w:p>
    <w:p>
      <w:pPr>
        <w:numPr>
          <w:ilvl w:val="0"/>
          <w:numId w:val="1001"/>
        </w:numPr>
        <w:pStyle w:val="Compact"/>
      </w:pPr>
      <w:r>
        <w:t xml:space="preserve">Grünbaum versus Linford: no cause because no before, against no cause because causes are not fundamental. The first needs causation to be real and merely inapplicable at the start. The second needs it to be unreal.</w:t>
      </w:r>
    </w:p>
    <w:p>
      <w:pPr>
        <w:numPr>
          <w:ilvl w:val="0"/>
          <w:numId w:val="1001"/>
        </w:numPr>
        <w:pStyle w:val="Compact"/>
      </w:pPr>
      <w:r>
        <w:t xml:space="preserve">Kant versus Linford and Carroll: Kant forbids carrying categories to the whole, and they carry laws and models there.</w:t>
      </w:r>
    </w:p>
    <w:p>
      <w:pPr>
        <w:numPr>
          <w:ilvl w:val="0"/>
          <w:numId w:val="1001"/>
        </w:numPr>
        <w:pStyle w:val="Compact"/>
      </w:pPr>
      <w:r>
        <w:t xml:space="preserve">Mackie versus Morriston: if induction cannot reach the universe, Morriston has no argument; if it can, premise 1 has induction behind it.</w:t>
      </w:r>
    </w:p>
    <w:p>
      <w:pPr>
        <w:numPr>
          <w:ilvl w:val="0"/>
          <w:numId w:val="1001"/>
        </w:numPr>
        <w:pStyle w:val="Compact"/>
      </w:pPr>
      <w:r>
        <w:t xml:space="preserve">Hume versus Morriston: conceivability at the first moment against distrust of intuitions at the first moment.</w:t>
      </w:r>
    </w:p>
    <w:p>
      <w:pPr>
        <w:numPr>
          <w:ilvl w:val="0"/>
          <w:numId w:val="1001"/>
        </w:numPr>
        <w:pStyle w:val="Compact"/>
      </w:pPr>
      <w:r>
        <w:t xml:space="preserve">van Inwagen versus Linford: the demand for explanation is too strong, against the answer that gives one.</w:t>
      </w:r>
    </w:p>
    <w:p>
      <w:pPr>
        <w:numPr>
          <w:ilvl w:val="0"/>
          <w:numId w:val="1001"/>
        </w:numPr>
        <w:pStyle w:val="Compact"/>
      </w:pPr>
      <w:r>
        <w:t xml:space="preserve">Linford versus the measure objection: his glove-box answer needs probabilities over states.</w:t>
      </w:r>
    </w:p>
    <w:p>
      <w:pPr>
        <w:numPr>
          <w:ilvl w:val="0"/>
          <w:numId w:val="1001"/>
        </w:numPr>
        <w:pStyle w:val="Compact"/>
      </w:pPr>
      <w:r>
        <w:t xml:space="preserve">Carroll versus Oppy, Linford, and the critics of Lu: no explanation owed, against arguing as though one were.</w:t>
      </w:r>
    </w:p>
    <w:p>
      <w:pPr>
        <w:pStyle w:val="FirstParagraph"/>
      </w:pPr>
      <w:r>
        <w:t xml:space="preserve">A skeptic who takes every objection takes rival positions. A skeptic who takes one takes the price of its lane.</w:t>
      </w:r>
    </w:p>
    <w:p>
      <w:pPr>
        <w:pStyle w:val="BodyText"/>
      </w:pPr>
      <w:r>
        <w:t xml:space="preserve">The lane of the malformed question ends in silence. The verification principle that makes the question meaningless fails its own test, and what is left cannot assert that the universe began with no cause, because that sentence is as empty as its opposite.</w:t>
      </w:r>
    </w:p>
    <w:p>
      <w:pPr>
        <w:pStyle w:val="BodyText"/>
      </w:pPr>
      <w:r>
        <w:t xml:space="preserve">The lane of the answered question ends in a brute or necessary state. A state with this much energy, this low an entropy, and these constants either could not have been otherwise, which nothing about it suggests, or nothing selected it, which makes the order of the world and the agreement of every measurement of its age a coincidence. The skeptic in this lane pays the price Argument 5 sets: if beginnings can be uncaused, some of his experiences may be, and nothing gives him reason to trust the measurements on which his own account of the initial state rests. He also exempts the first moment from the laws and probabilities that govern every later moment, and he accepts that explanation, the virtue he uses to judge every other theory, stops at the exact place the question is asked.</w:t>
      </w:r>
    </w:p>
    <w:p>
      <w:pPr>
        <w:pStyle w:val="BodyText"/>
      </w:pPr>
      <w:r>
        <w:t xml:space="preserve">The lane of the unanswerable question ends in agnosticism, which does not deny premise 1. It leaves premise 1 reasonable to believe, since a rule bound to apply everywhere inquiry reaches, and never seen to fail, is a rule a reasonable person may hold.</w:t>
      </w:r>
    </w:p>
    <w:p>
      <w:r>
        <w:pict>
          <v:rect style="width:0;height:1.5pt" o:hralign="center" o:hrstd="t" o:hr="t"/>
        </w:pict>
      </w:r>
    </w:p>
    <w:bookmarkEnd w:id="31"/>
    <w:bookmarkStart w:id="32" w:name="the-case-together"/>
    <w:p>
      <w:pPr>
        <w:pStyle w:val="Heading2"/>
      </w:pPr>
      <w:r>
        <w:t xml:space="preserve">The case together</w:t>
      </w:r>
    </w:p>
    <w:p>
      <w:pPr>
        <w:pStyle w:val="FirstParagraph"/>
      </w:pPr>
      <w:r>
        <w:t xml:space="preserve">No objection reaches all nine supports, and the supports cover one another’s seams.</w:t>
      </w:r>
    </w:p>
    <w:p>
      <w:pPr>
        <w:pStyle w:val="BodyText"/>
      </w:pPr>
      <w:r>
        <w:t xml:space="preserve">Induction (7) alone leaves open whether the thing that travels to the first moment is</w:t>
      </w:r>
      <w:r>
        <w:t xml:space="preserve"> </w:t>
      </w:r>
      <w:r>
        <w:rPr>
          <w:iCs/>
          <w:i/>
        </w:rPr>
        <w:t xml:space="preserve">cause</w:t>
      </w:r>
      <w:r>
        <w:t xml:space="preserve"> </w:t>
      </w:r>
      <w:r>
        <w:t xml:space="preserve">or</w:t>
      </w:r>
      <w:r>
        <w:t xml:space="preserve"> </w:t>
      </w:r>
      <w:r>
        <w:rPr>
          <w:iCs/>
          <w:i/>
        </w:rPr>
        <w:t xml:space="preserve">material</w:t>
      </w:r>
      <w:r>
        <w:t xml:space="preserve">. The first principle (1) and the Thomist argument (2) say why a source travels and the stuff it works on does not. The reductio (4), restated in terms of explanation, survives the physicist’s non-causal answers at every moment but the first; at the first, Pruss (5) and Lu (6) take over, asking what selects the state and what grounds trust in anything that came of it. Lu’s formal version is exposed to the measure problem, and Pruss, who needs no measure, is not. Koons’s default (8) moves the burden to the defeater, and the defeaters the objectors name, no before and no outside, are answered by the reductio, since a beginning with nothing around it has nothing to restrict it. If every strong principle falls, Rasmussen (9) supplies a foundation from a premise so modest that the other side has little to push against.</w:t>
      </w:r>
    </w:p>
    <w:p>
      <w:pPr>
        <w:pStyle w:val="BodyText"/>
      </w:pPr>
      <w:r>
        <w:t xml:space="preserve">Read together, the case moves in four steps that do not depend on one another. A beginning needs a source because of what a beginning is (1 to 3). Denying that makes the world’s order, and our knowledge of it, an unexplained coincidence (4 to 6). Every record and every default rule points the same way (7 and 8). And if all of that were set aside, the bare possibility of a source outside contingent things yields a necessary being (9). These are different kinds of evidence, held by understanding, by comparison, by the record, and by logic, so a flaw in one does not spread to the others.</w:t>
      </w:r>
    </w:p>
    <w:p>
      <w:pPr>
        <w:pStyle w:val="BodyText"/>
      </w:pPr>
      <w:r>
        <w:t xml:space="preserve">Dragon Ball answers this the way it answers most things. Two fighters who cannot beat the villain alone strike the fusion pose, mirror each other move for move, and come out as one warrior neither could have been. The pose has one rule: the partners must match. Out of step, they produce a lopsided fighter. In step, one partner’s weak side is the other’s strong side, and the seams do not line up. The nine supports work the same way. Each has a seam where an objector can pull, and the seams sit in different places.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Support</w:t>
            </w:r>
          </w:p>
        </w:tc>
        <w:tc>
          <w:tcPr/>
          <w:p>
            <w:pPr>
              <w:pStyle w:val="Compact"/>
              <w:jc w:val="left"/>
            </w:pPr>
            <w:r>
              <w:t xml:space="preserve">Its seam</w:t>
            </w:r>
          </w:p>
        </w:tc>
        <w:tc>
          <w:tcPr/>
          <w:p>
            <w:pPr>
              <w:pStyle w:val="Compact"/>
              <w:jc w:val="left"/>
            </w:pPr>
            <w:r>
              <w:t xml:space="preserve">Who pulls</w:t>
            </w:r>
          </w:p>
        </w:tc>
        <w:tc>
          <w:tcPr/>
          <w:p>
            <w:pPr>
              <w:pStyle w:val="Compact"/>
              <w:jc w:val="left"/>
            </w:pPr>
            <w:r>
              <w:t xml:space="preserve">What covers it</w:t>
            </w:r>
          </w:p>
        </w:tc>
      </w:tr>
      <w:tr>
        <w:tc>
          <w:tcPr/>
          <w:p>
            <w:pPr>
              <w:pStyle w:val="Compact"/>
              <w:jc w:val="left"/>
            </w:pPr>
            <w:r>
              <w:t xml:space="preserve">1. The first principle</w:t>
            </w:r>
          </w:p>
        </w:tc>
        <w:tc>
          <w:tcPr/>
          <w:p>
            <w:pPr>
              <w:pStyle w:val="Compact"/>
              <w:jc w:val="left"/>
            </w:pPr>
            <w:r>
              <w:t xml:space="preserve">Persuades only whoever sees what</w:t>
            </w:r>
            <w:r>
              <w:t xml:space="preserve"> </w:t>
            </w:r>
            <w:r>
              <w:t xml:space="preserve">“</w:t>
            </w:r>
            <w:r>
              <w:t xml:space="preserve">nothing</w:t>
            </w:r>
            <w:r>
              <w:t xml:space="preserve">”</w:t>
            </w:r>
            <w:r>
              <w:t xml:space="preserve"> </w:t>
            </w:r>
            <w:r>
              <w:t xml:space="preserve">and</w:t>
            </w:r>
            <w:r>
              <w:t xml:space="preserve"> </w:t>
            </w:r>
            <w:r>
              <w:t xml:space="preserve">“</w:t>
            </w:r>
            <w:r>
              <w:t xml:space="preserve">something</w:t>
            </w:r>
            <w:r>
              <w:t xml:space="preserve">”</w:t>
            </w:r>
            <w:r>
              <w:t xml:space="preserve"> </w:t>
            </w:r>
            <w:r>
              <w:t xml:space="preserve">mean</w:t>
            </w:r>
          </w:p>
        </w:tc>
        <w:tc>
          <w:tcPr/>
          <w:p>
            <w:pPr>
              <w:pStyle w:val="Compact"/>
              <w:jc w:val="left"/>
            </w:pPr>
            <w:r>
              <w:t xml:space="preserve">Hume, Carnap</w:t>
            </w:r>
          </w:p>
        </w:tc>
        <w:tc>
          <w:tcPr/>
          <w:p>
            <w:pPr>
              <w:pStyle w:val="Compact"/>
              <w:jc w:val="left"/>
            </w:pPr>
            <w:r>
              <w:t xml:space="preserve">4, which needs no picturing; 9</w:t>
            </w:r>
          </w:p>
        </w:tc>
      </w:tr>
      <w:tr>
        <w:tc>
          <w:tcPr/>
          <w:p>
            <w:pPr>
              <w:pStyle w:val="Compact"/>
              <w:jc w:val="left"/>
            </w:pPr>
            <w:r>
              <w:t xml:space="preserve">2. Potency</w:t>
            </w:r>
          </w:p>
        </w:tc>
        <w:tc>
          <w:tcPr/>
          <w:p>
            <w:pPr>
              <w:pStyle w:val="Compact"/>
              <w:jc w:val="left"/>
            </w:pPr>
            <w:r>
              <w:t xml:space="preserve">“</w:t>
            </w:r>
            <w:r>
              <w:t xml:space="preserve">Nothing has no potentials</w:t>
            </w:r>
            <w:r>
              <w:t xml:space="preserve">”</w:t>
            </w:r>
            <w:r>
              <w:t xml:space="preserve"> </w:t>
            </w:r>
            <w:r>
              <w:t xml:space="preserve">can read as a sentence about a thing</w:t>
            </w:r>
          </w:p>
        </w:tc>
        <w:tc>
          <w:tcPr/>
          <w:p>
            <w:pPr>
              <w:pStyle w:val="Compact"/>
              <w:jc w:val="left"/>
            </w:pPr>
            <w:r>
              <w:t xml:space="preserve">Carnap</w:t>
            </w:r>
          </w:p>
        </w:tc>
        <w:tc>
          <w:tcPr/>
          <w:p>
            <w:pPr>
              <w:pStyle w:val="Compact"/>
              <w:jc w:val="left"/>
            </w:pPr>
            <w:r>
              <w:t xml:space="preserve">The quantifier translation; 7</w:t>
            </w:r>
          </w:p>
        </w:tc>
      </w:tr>
      <w:tr>
        <w:tc>
          <w:tcPr/>
          <w:p>
            <w:pPr>
              <w:pStyle w:val="Compact"/>
              <w:jc w:val="left"/>
            </w:pPr>
            <w:r>
              <w:t xml:space="preserve">3. Loke</w:t>
            </w:r>
          </w:p>
        </w:tc>
        <w:tc>
          <w:tcPr/>
          <w:p>
            <w:pPr>
              <w:pStyle w:val="Compact"/>
              <w:jc w:val="left"/>
            </w:pPr>
            <w:r>
              <w:t xml:space="preserve">The same sentence about Nothing</w:t>
            </w:r>
          </w:p>
        </w:tc>
        <w:tc>
          <w:tcPr/>
          <w:p>
            <w:pPr>
              <w:pStyle w:val="Compact"/>
              <w:jc w:val="left"/>
            </w:pPr>
            <w:r>
              <w:t xml:space="preserve">Carnap</w:t>
            </w:r>
          </w:p>
        </w:tc>
        <w:tc>
          <w:tcPr/>
          <w:p>
            <w:pPr>
              <w:pStyle w:val="Compact"/>
              <w:jc w:val="left"/>
            </w:pPr>
            <w:r>
              <w:t xml:space="preserve">4</w:t>
            </w:r>
          </w:p>
        </w:tc>
      </w:tr>
      <w:tr>
        <w:tc>
          <w:tcPr/>
          <w:p>
            <w:pPr>
              <w:pStyle w:val="Compact"/>
              <w:jc w:val="left"/>
            </w:pPr>
            <w:r>
              <w:t xml:space="preserve">4. The reductio</w:t>
            </w:r>
          </w:p>
        </w:tc>
        <w:tc>
          <w:tcPr/>
          <w:p>
            <w:pPr>
              <w:pStyle w:val="Compact"/>
              <w:jc w:val="left"/>
            </w:pPr>
            <w:r>
              <w:t xml:space="preserve">A non-causal restriction might keep the world orderly</w:t>
            </w:r>
          </w:p>
        </w:tc>
        <w:tc>
          <w:tcPr/>
          <w:p>
            <w:pPr>
              <w:pStyle w:val="Compact"/>
              <w:jc w:val="left"/>
            </w:pPr>
            <w:r>
              <w:t xml:space="preserve">Linford</w:t>
            </w:r>
          </w:p>
        </w:tc>
        <w:tc>
          <w:tcPr/>
          <w:p>
            <w:pPr>
              <w:pStyle w:val="Compact"/>
              <w:jc w:val="left"/>
            </w:pPr>
            <w:r>
              <w:t xml:space="preserve">5 and 6 at the first moment, where there is no earlier state to restrict</w:t>
            </w:r>
          </w:p>
        </w:tc>
      </w:tr>
      <w:tr>
        <w:tc>
          <w:tcPr/>
          <w:p>
            <w:pPr>
              <w:pStyle w:val="Compact"/>
              <w:jc w:val="left"/>
            </w:pPr>
            <w:r>
              <w:t xml:space="preserve">5. Pruss</w:t>
            </w:r>
          </w:p>
        </w:tc>
        <w:tc>
          <w:tcPr/>
          <w:p>
            <w:pPr>
              <w:pStyle w:val="Compact"/>
              <w:jc w:val="left"/>
            </w:pPr>
            <w:r>
              <w:t xml:space="preserve">Shows what denial costs, not that denial is false</w:t>
            </w:r>
          </w:p>
        </w:tc>
        <w:tc>
          <w:tcPr/>
          <w:p>
            <w:pPr>
              <w:pStyle w:val="Compact"/>
              <w:jc w:val="left"/>
            </w:pPr>
            <w:r>
              <w:t xml:space="preserve">Carroll (brute is fine)</w:t>
            </w:r>
          </w:p>
        </w:tc>
        <w:tc>
          <w:tcPr/>
          <w:p>
            <w:pPr>
              <w:pStyle w:val="Compact"/>
              <w:jc w:val="left"/>
            </w:pPr>
            <w:r>
              <w:t xml:space="preserve">1 to 3 and 7, which speak to truth</w:t>
            </w:r>
          </w:p>
        </w:tc>
      </w:tr>
      <w:tr>
        <w:tc>
          <w:tcPr/>
          <w:p>
            <w:pPr>
              <w:pStyle w:val="Compact"/>
              <w:jc w:val="left"/>
            </w:pPr>
            <w:r>
              <w:t xml:space="preserve">6. Lu</w:t>
            </w:r>
          </w:p>
        </w:tc>
        <w:tc>
          <w:tcPr/>
          <w:p>
            <w:pPr>
              <w:pStyle w:val="Compact"/>
              <w:jc w:val="left"/>
            </w:pPr>
            <w:r>
              <w:t xml:space="preserve">Needs a measure over initial states</w:t>
            </w:r>
          </w:p>
        </w:tc>
        <w:tc>
          <w:tcPr/>
          <w:p>
            <w:pPr>
              <w:pStyle w:val="Compact"/>
              <w:jc w:val="left"/>
            </w:pPr>
            <w:r>
              <w:t xml:space="preserve">McGrew, McGrew, and Vestrup</w:t>
            </w:r>
          </w:p>
        </w:tc>
        <w:tc>
          <w:tcPr/>
          <w:p>
            <w:pPr>
              <w:pStyle w:val="Compact"/>
              <w:jc w:val="left"/>
            </w:pPr>
            <w:r>
              <w:t xml:space="preserve">5, which needs none</w:t>
            </w:r>
          </w:p>
        </w:tc>
      </w:tr>
      <w:tr>
        <w:tc>
          <w:tcPr/>
          <w:p>
            <w:pPr>
              <w:pStyle w:val="Compact"/>
              <w:jc w:val="left"/>
            </w:pPr>
            <w:r>
              <w:t xml:space="preserve">7. Induction</w:t>
            </w:r>
          </w:p>
        </w:tc>
        <w:tc>
          <w:tcPr/>
          <w:p>
            <w:pPr>
              <w:pStyle w:val="Compact"/>
              <w:jc w:val="left"/>
            </w:pPr>
            <w:r>
              <w:t xml:space="preserve">The sample sits inside the universe and always had material</w:t>
            </w:r>
          </w:p>
        </w:tc>
        <w:tc>
          <w:tcPr/>
          <w:p>
            <w:pPr>
              <w:pStyle w:val="Compact"/>
              <w:jc w:val="left"/>
            </w:pPr>
            <w:r>
              <w:t xml:space="preserve">Mackie, Morriston</w:t>
            </w:r>
          </w:p>
        </w:tc>
        <w:tc>
          <w:tcPr/>
          <w:p>
            <w:pPr>
              <w:pStyle w:val="Compact"/>
              <w:jc w:val="left"/>
            </w:pPr>
            <w:r>
              <w:t xml:space="preserve">1 and 2, which say why a source travels and its material does not</w:t>
            </w:r>
          </w:p>
        </w:tc>
      </w:tr>
      <w:tr>
        <w:tc>
          <w:tcPr/>
          <w:p>
            <w:pPr>
              <w:pStyle w:val="Compact"/>
              <w:jc w:val="left"/>
            </w:pPr>
            <w:r>
              <w:t xml:space="preserve">8. Koons</w:t>
            </w:r>
          </w:p>
        </w:tc>
        <w:tc>
          <w:tcPr/>
          <w:p>
            <w:pPr>
              <w:pStyle w:val="Compact"/>
              <w:jc w:val="left"/>
            </w:pPr>
            <w:r>
              <w:t xml:space="preserve">A default rule is a way of believing, not a fact about what exists</w:t>
            </w:r>
          </w:p>
        </w:tc>
        <w:tc>
          <w:tcPr/>
          <w:p>
            <w:pPr>
              <w:pStyle w:val="Compact"/>
              <w:jc w:val="left"/>
            </w:pPr>
            <w:r>
              <w:t xml:space="preserve">The epistemic and ontic gap</w:t>
            </w:r>
          </w:p>
        </w:tc>
        <w:tc>
          <w:tcPr/>
          <w:p>
            <w:pPr>
              <w:pStyle w:val="Compact"/>
              <w:jc w:val="left"/>
            </w:pPr>
            <w:r>
              <w:t xml:space="preserve">1 to 3, which supply the metaphysics</w:t>
            </w:r>
          </w:p>
        </w:tc>
      </w:tr>
      <w:tr>
        <w:tc>
          <w:tcPr/>
          <w:p>
            <w:pPr>
              <w:pStyle w:val="Compact"/>
              <w:jc w:val="left"/>
            </w:pPr>
            <w:r>
              <w:t xml:space="preserve">9. Rasmussen</w:t>
            </w:r>
          </w:p>
        </w:tc>
        <w:tc>
          <w:tcPr/>
          <w:p>
            <w:pPr>
              <w:pStyle w:val="Compact"/>
              <w:jc w:val="left"/>
            </w:pPr>
            <w:r>
              <w:t xml:space="preserve">Rests on a modal logic whose reach is disputed</w:t>
            </w:r>
          </w:p>
        </w:tc>
        <w:tc>
          <w:tcPr/>
          <w:p>
            <w:pPr>
              <w:pStyle w:val="Compact"/>
              <w:jc w:val="left"/>
            </w:pPr>
            <w:r>
              <w:t xml:space="preserve">Critics of S5</w:t>
            </w:r>
          </w:p>
        </w:tc>
        <w:tc>
          <w:tcPr/>
          <w:p>
            <w:pPr>
              <w:pStyle w:val="Compact"/>
              <w:jc w:val="left"/>
            </w:pPr>
            <w:r>
              <w:t xml:space="preserve">All the others, since 9 needs only possibility</w:t>
            </w:r>
          </w:p>
        </w:tc>
      </w:tr>
    </w:tbl>
    <w:p>
      <w:pPr>
        <w:pStyle w:val="BodyText"/>
      </w:pPr>
      <w:r>
        <w:t xml:space="preserve">To deny the premise, the skeptic must defeat the steps one at a time, from a lane that contradicts the lanes of his fellow skeptics, and pay the price his lane carries. That is a position some thoughtful people hold, and it is a thesis with costs.</w:t>
      </w:r>
    </w:p>
    <w:p>
      <w:pPr>
        <w:pStyle w:val="BodyText"/>
      </w:pPr>
      <w:r>
        <w:t xml:space="preserve">What the case has earned is a premise more plausible than its denial, short of proof. The premises of the kalam are held because they are more plausible than their denials, and the conclusion can be no more certain than they are. What kind of cause the first line delivers, and whether it is the God of Scripture, belong to the articles that follow.</w:t>
      </w:r>
    </w:p>
    <w:p>
      <w:pPr>
        <w:pStyle w:val="BodyText"/>
      </w:pPr>
      <w:r>
        <w:t xml:space="preserve">Premise 2 comes next: Can the Past Be Infinite? and What Cosmology Does and Doesn’t Show.</w:t>
      </w:r>
    </w:p>
    <w:p>
      <w:r>
        <w:pict>
          <v:rect style="width:0;height:1.5pt" o:hralign="center" o:hrstd="t" o:hr="t"/>
        </w:pict>
      </w:r>
    </w:p>
    <w:bookmarkEnd w:id="32"/>
    <w:bookmarkStart w:id="33" w:name="glossary"/>
    <w:p>
      <w:pPr>
        <w:pStyle w:val="Heading2"/>
      </w:pPr>
      <w:r>
        <w:t xml:space="preserve">Glossary</w:t>
      </w:r>
    </w:p>
    <w:p>
      <w:pPr>
        <w:pStyle w:val="FirstParagraph"/>
      </w:pPr>
      <w:r>
        <w:rPr>
          <w:bCs/>
          <w:b/>
        </w:rPr>
        <w:t xml:space="preserve">A-theory and B-theory of time.</w:t>
      </w:r>
      <w:r>
        <w:t xml:space="preserve"> </w:t>
      </w:r>
      <w:r>
        <w:t xml:space="preserve">The A-theory holds that past, present, and future are objectively different and that time really passes. The B-theory holds that all times are equally real and that</w:t>
      </w:r>
      <w:r>
        <w:t xml:space="preserve"> </w:t>
      </w:r>
      <w:r>
        <w:t xml:space="preserve">‘</w:t>
      </w:r>
      <w:r>
        <w:t xml:space="preserve">now</w:t>
      </w:r>
      <w:r>
        <w:t xml:space="preserve">’</w:t>
      </w:r>
      <w:r>
        <w:t xml:space="preserve"> </w:t>
      </w:r>
      <w:r>
        <w:t xml:space="preserve">is like</w:t>
      </w:r>
      <w:r>
        <w:t xml:space="preserve"> </w:t>
      </w:r>
      <w:r>
        <w:t xml:space="preserve">‘</w:t>
      </w:r>
      <w:r>
        <w:t xml:space="preserve">here</w:t>
      </w:r>
      <w:r>
        <w:t xml:space="preserve">’</w:t>
      </w:r>
      <w:r>
        <w:t xml:space="preserve">, a matter of perspective.</w:t>
      </w:r>
    </w:p>
    <w:p>
      <w:pPr>
        <w:pStyle w:val="BodyText"/>
      </w:pPr>
      <w:r>
        <w:rPr>
          <w:bCs/>
          <w:b/>
        </w:rPr>
        <w:t xml:space="preserve">Antinomy.</w:t>
      </w:r>
      <w:r>
        <w:t xml:space="preserve"> </w:t>
      </w:r>
      <w:r>
        <w:t xml:space="preserve">Kant’s name for a pair of opposite conclusions that reason seems able to prove equally well when it overreaches, for example that the world had a beginning and that it did not.</w:t>
      </w:r>
    </w:p>
    <w:p>
      <w:pPr>
        <w:pStyle w:val="BodyText"/>
      </w:pPr>
      <w:r>
        <w:rPr>
          <w:bCs/>
          <w:b/>
        </w:rPr>
        <w:t xml:space="preserve">Big Conjunctive Contingent Fact.</w:t>
      </w:r>
      <w:r>
        <w:t xml:space="preserve"> </w:t>
      </w:r>
      <w:r>
        <w:t xml:space="preserve">The conjunction of all contingent truths, used in van Inwagen’s argument against the full Principle of Sufficient Reason.</w:t>
      </w:r>
    </w:p>
    <w:p>
      <w:pPr>
        <w:pStyle w:val="BodyText"/>
      </w:pPr>
      <w:r>
        <w:rPr>
          <w:bCs/>
          <w:b/>
        </w:rPr>
        <w:t xml:space="preserve">Brute fact.</w:t>
      </w:r>
      <w:r>
        <w:t xml:space="preserve"> </w:t>
      </w:r>
      <w:r>
        <w:t xml:space="preserve">A fact with no explanation at all: not hidden, not merely unknown, but absent.</w:t>
      </w:r>
    </w:p>
    <w:p>
      <w:pPr>
        <w:pStyle w:val="BodyText"/>
      </w:pPr>
      <w:r>
        <w:rPr>
          <w:bCs/>
          <w:b/>
        </w:rPr>
        <w:t xml:space="preserve">Contingent.</w:t>
      </w:r>
      <w:r>
        <w:t xml:space="preserve"> </w:t>
      </w:r>
      <w:r>
        <w:t xml:space="preserve">A contingent fact is one that could have been otherwise. A necessary fact could not have been otherwise.</w:t>
      </w:r>
    </w:p>
    <w:p>
      <w:pPr>
        <w:pStyle w:val="BodyText"/>
      </w:pPr>
      <w:r>
        <w:rPr>
          <w:bCs/>
          <w:b/>
        </w:rPr>
        <w:t xml:space="preserve">Eliminativism about causation.</w:t>
      </w:r>
      <w:r>
        <w:t xml:space="preserve"> </w:t>
      </w:r>
      <w:r>
        <w:t xml:space="preserve">The view that causation is not part of fundamental reality and that causal talk is only an approximation.</w:t>
      </w:r>
    </w:p>
    <w:p>
      <w:pPr>
        <w:pStyle w:val="BodyText"/>
      </w:pPr>
      <w:r>
        <w:rPr>
          <w:bCs/>
          <w:b/>
        </w:rPr>
        <w:t xml:space="preserve">Entropy.</w:t>
      </w:r>
      <w:r>
        <w:t xml:space="preserve"> </w:t>
      </w:r>
      <w:r>
        <w:t xml:space="preserve">A measure of disorder. The second law of thermodynamics says it tends to increase, and many philosophers of physics think that increase is what gives time its direction.</w:t>
      </w:r>
    </w:p>
    <w:p>
      <w:pPr>
        <w:pStyle w:val="BodyText"/>
      </w:pPr>
      <w:r>
        <w:rPr>
          <w:bCs/>
          <w:b/>
        </w:rPr>
        <w:t xml:space="preserve">Folk science.</w:t>
      </w:r>
      <w:r>
        <w:t xml:space="preserve"> </w:t>
      </w:r>
      <w:r>
        <w:t xml:space="preserve">Norton’s term for a body of useful rules of thumb that work in everyday domains but have no place in fundamental theory.</w:t>
      </w:r>
    </w:p>
    <w:p>
      <w:pPr>
        <w:pStyle w:val="BodyText"/>
      </w:pPr>
      <w:r>
        <w:rPr>
          <w:bCs/>
          <w:b/>
        </w:rPr>
        <w:t xml:space="preserve">Hinge proposition.</w:t>
      </w:r>
      <w:r>
        <w:t xml:space="preserve"> </w:t>
      </w:r>
      <w:r>
        <w:t xml:space="preserve">In Wittgenstein’s On Certainty, a proposition that frames inquiry rather than being tested by it.</w:t>
      </w:r>
    </w:p>
    <w:p>
      <w:pPr>
        <w:pStyle w:val="BodyText"/>
      </w:pPr>
      <w:r>
        <w:rPr>
          <w:bCs/>
          <w:b/>
        </w:rPr>
        <w:t xml:space="preserve">Mentaculus.</w:t>
      </w:r>
      <w:r>
        <w:t xml:space="preserve"> </w:t>
      </w:r>
      <w:r>
        <w:t xml:space="preserve">David Albert and Barry Loewer’s name for statistical-mechanical laws together with a postulate that the universe began in a low-entropy state, which fix the probabilities of everything after.</w:t>
      </w:r>
    </w:p>
    <w:p>
      <w:pPr>
        <w:pStyle w:val="BodyText"/>
      </w:pPr>
      <w:r>
        <w:rPr>
          <w:bCs/>
          <w:b/>
        </w:rPr>
        <w:t xml:space="preserve">Modal collapse.</w:t>
      </w:r>
      <w:r>
        <w:t xml:space="preserve"> </w:t>
      </w:r>
      <w:r>
        <w:t xml:space="preserve">The result that every truth is a necessary truth, leaving no room for anything to have been otherwise.</w:t>
      </w:r>
    </w:p>
    <w:p>
      <w:pPr>
        <w:pStyle w:val="BodyText"/>
      </w:pPr>
      <w:r>
        <w:rPr>
          <w:bCs/>
          <w:b/>
        </w:rPr>
        <w:t xml:space="preserve">Normalizable.</w:t>
      </w:r>
      <w:r>
        <w:t xml:space="preserve"> </w:t>
      </w:r>
      <w:r>
        <w:t xml:space="preserve">A probability measure is normalizable if the probabilities can be made to add up to one. Spread evenly over an infinite space, they cannot.</w:t>
      </w:r>
    </w:p>
    <w:p>
      <w:pPr>
        <w:pStyle w:val="BodyText"/>
      </w:pPr>
      <w:r>
        <w:rPr>
          <w:bCs/>
          <w:b/>
        </w:rPr>
        <w:t xml:space="preserve">Principle of Sufficient Reason (PSR).</w:t>
      </w:r>
      <w:r>
        <w:t xml:space="preserve"> </w:t>
      </w:r>
      <w:r>
        <w:t xml:space="preserve">Every contingent fact has an explanation for why it is true.</w:t>
      </w:r>
    </w:p>
    <w:p>
      <w:pPr>
        <w:pStyle w:val="BodyText"/>
      </w:pPr>
      <w:r>
        <w:rPr>
          <w:bCs/>
          <w:b/>
        </w:rPr>
        <w:t xml:space="preserve">Reductio ad absurdum.</w:t>
      </w:r>
      <w:r>
        <w:t xml:space="preserve"> </w:t>
      </w:r>
      <w:r>
        <w:t xml:space="preserve">Refuting a claim by showing that it leads to something absurd.</w:t>
      </w:r>
    </w:p>
    <w:p>
      <w:pPr>
        <w:pStyle w:val="BodyText"/>
      </w:pPr>
      <w:r>
        <w:rPr>
          <w:bCs/>
          <w:b/>
        </w:rPr>
        <w:t xml:space="preserve">Statistical mechanics.</w:t>
      </w:r>
      <w:r>
        <w:t xml:space="preserve"> </w:t>
      </w:r>
      <w:r>
        <w:t xml:space="preserve">The branch of physics that explains the behavior of large systems, like a gas, from the probabilities governing their microscopic parts.</w:t>
      </w:r>
    </w:p>
    <w:p>
      <w:pPr>
        <w:pStyle w:val="BodyText"/>
      </w:pPr>
      <w:r>
        <w:rPr>
          <w:bCs/>
          <w:b/>
        </w:rPr>
        <w:t xml:space="preserve">Verification principle.</w:t>
      </w:r>
      <w:r>
        <w:t xml:space="preserve"> </w:t>
      </w:r>
      <w:r>
        <w:t xml:space="preserve">The logical positivist claim that a statement is meaningful only if logic or experience can check it.</w:t>
      </w:r>
    </w:p>
    <w:p>
      <w:r>
        <w:pict>
          <v:rect style="width:0;height:1.5pt" o:hralign="center" o:hrstd="t" o:hr="t"/>
        </w:pict>
      </w:r>
    </w:p>
    <w:bookmarkEnd w:id="33"/>
    <w:bookmarkStart w:id="34" w:name="works-cited"/>
    <w:p>
      <w:pPr>
        <w:pStyle w:val="Heading2"/>
      </w:pPr>
      <w:r>
        <w:t xml:space="preserve">Works cited</w:t>
      </w:r>
    </w:p>
    <w:p>
      <w:pPr>
        <w:pStyle w:val="FirstParagraph"/>
      </w:pPr>
      <w:r>
        <w:t xml:space="preserve">Entries marked † are awaiting a check against the primary text for page numbers and wording.</w:t>
      </w:r>
    </w:p>
    <w:p>
      <w:pPr>
        <w:numPr>
          <w:ilvl w:val="0"/>
          <w:numId w:val="1002"/>
        </w:numPr>
        <w:pStyle w:val="Compact"/>
      </w:pPr>
      <w:r>
        <w:t xml:space="preserve">Albert, David.</w:t>
      </w:r>
      <w:r>
        <w:t xml:space="preserve"> </w:t>
      </w:r>
      <w:r>
        <w:t xml:space="preserve">“</w:t>
      </w:r>
      <w:r>
        <w:t xml:space="preserve">On the Origin of Everything.</w:t>
      </w:r>
      <w:r>
        <w:t xml:space="preserve">”</w:t>
      </w:r>
      <w:r>
        <w:t xml:space="preserve"> </w:t>
      </w:r>
      <w:r>
        <w:t xml:space="preserve">Review of</w:t>
      </w:r>
      <w:r>
        <w:t xml:space="preserve"> </w:t>
      </w:r>
      <w:r>
        <w:rPr>
          <w:iCs/>
          <w:i/>
        </w:rPr>
        <w:t xml:space="preserve">A Universe from Nothing</w:t>
      </w:r>
      <w:r>
        <w:t xml:space="preserve">, by Lawrence Krauss.</w:t>
      </w:r>
      <w:r>
        <w:t xml:space="preserve"> </w:t>
      </w:r>
      <w:r>
        <w:rPr>
          <w:iCs/>
          <w:i/>
        </w:rPr>
        <w:t xml:space="preserve">New York Times Sunday Book Review</w:t>
      </w:r>
      <w:r>
        <w:t xml:space="preserve">, March 23, 2012. †</w:t>
      </w:r>
    </w:p>
    <w:p>
      <w:pPr>
        <w:numPr>
          <w:ilvl w:val="0"/>
          <w:numId w:val="1002"/>
        </w:numPr>
        <w:pStyle w:val="Compact"/>
      </w:pPr>
      <w:r>
        <w:t xml:space="preserve">Anscombe, G. E. M.</w:t>
      </w:r>
      <w:r>
        <w:t xml:space="preserve"> </w:t>
      </w:r>
      <w:r>
        <w:t xml:space="preserve">“</w:t>
      </w:r>
      <w:r>
        <w:t xml:space="preserve">‘</w:t>
      </w:r>
      <w:r>
        <w:t xml:space="preserve">Whatever Has a Beginning of Existence Must Have a Cause</w:t>
      </w:r>
      <w:r>
        <w:t xml:space="preserve">’</w:t>
      </w:r>
      <w:r>
        <w:t xml:space="preserve">: Hume’s Argument Exposed.</w:t>
      </w:r>
      <w:r>
        <w:t xml:space="preserve">”</w:t>
      </w:r>
      <w:r>
        <w:t xml:space="preserve"> </w:t>
      </w:r>
      <w:r>
        <w:rPr>
          <w:iCs/>
          <w:i/>
        </w:rPr>
        <w:t xml:space="preserve">Analysis</w:t>
      </w:r>
      <w:r>
        <w:t xml:space="preserve"> </w:t>
      </w:r>
      <w:r>
        <w:t xml:space="preserve">34, no. 5 (1974): 145–51.</w:t>
      </w:r>
    </w:p>
    <w:p>
      <w:pPr>
        <w:numPr>
          <w:ilvl w:val="0"/>
          <w:numId w:val="1002"/>
        </w:numPr>
        <w:pStyle w:val="Compact"/>
      </w:pPr>
      <w:r>
        <w:t xml:space="preserve">Carnap, Rudolf.</w:t>
      </w:r>
      <w:r>
        <w:t xml:space="preserve"> </w:t>
      </w:r>
      <w:r>
        <w:t xml:space="preserve">“</w:t>
      </w:r>
      <w:r>
        <w:t xml:space="preserve">Überwindung der Metaphysik durch logische Analyse der Sprache.</w:t>
      </w:r>
      <w:r>
        <w:t xml:space="preserve">”</w:t>
      </w:r>
      <w:r>
        <w:t xml:space="preserve"> </w:t>
      </w:r>
      <w:r>
        <w:rPr>
          <w:iCs/>
          <w:i/>
        </w:rPr>
        <w:t xml:space="preserve">Erkenntnis</w:t>
      </w:r>
      <w:r>
        <w:t xml:space="preserve"> </w:t>
      </w:r>
      <w:r>
        <w:t xml:space="preserve">2 (1932): 219–41. †</w:t>
      </w:r>
    </w:p>
    <w:p>
      <w:pPr>
        <w:numPr>
          <w:ilvl w:val="0"/>
          <w:numId w:val="1002"/>
        </w:numPr>
        <w:pStyle w:val="Compact"/>
      </w:pPr>
      <w:r>
        <w:t xml:space="preserve">Carroll, Sean.</w:t>
      </w:r>
      <w:r>
        <w:t xml:space="preserve"> </w:t>
      </w:r>
      <w:r>
        <w:t xml:space="preserve">“</w:t>
      </w:r>
      <w:r>
        <w:t xml:space="preserve">Does the Universe Need God?</w:t>
      </w:r>
      <w:r>
        <w:t xml:space="preserve">”</w:t>
      </w:r>
      <w:r>
        <w:t xml:space="preserve"> </w:t>
      </w:r>
      <w:r>
        <w:t xml:space="preserve">In</w:t>
      </w:r>
      <w:r>
        <w:t xml:space="preserve"> </w:t>
      </w:r>
      <w:r>
        <w:rPr>
          <w:iCs/>
          <w:i/>
        </w:rPr>
        <w:t xml:space="preserve">The Blackwell Companion to Science and Christianity</w:t>
      </w:r>
      <w:r>
        <w:t xml:space="preserve">, edited by J. B. Stump and Alan G. Padgett, 185–97. Oxford: Wiley-Blackwell, 2012. †</w:t>
      </w:r>
    </w:p>
    <w:p>
      <w:pPr>
        <w:numPr>
          <w:ilvl w:val="0"/>
          <w:numId w:val="1002"/>
        </w:numPr>
        <w:pStyle w:val="Compact"/>
      </w:pPr>
      <w:r>
        <w:t xml:space="preserve">Carroll, Sean M., and Jennifer Chen.</w:t>
      </w:r>
      <w:r>
        <w:t xml:space="preserve"> </w:t>
      </w:r>
      <w:r>
        <w:t xml:space="preserve">“</w:t>
      </w:r>
      <w:r>
        <w:t xml:space="preserve">Spontaneous Inflation and the Origin of the Arrow of Time.</w:t>
      </w:r>
      <w:r>
        <w:t xml:space="preserve">”</w:t>
      </w:r>
      <w:r>
        <w:t xml:space="preserve"> </w:t>
      </w:r>
      <w:r>
        <w:t xml:space="preserve">arXiv:hep-th/0410270 (2004). †</w:t>
      </w:r>
    </w:p>
    <w:p>
      <w:pPr>
        <w:numPr>
          <w:ilvl w:val="0"/>
          <w:numId w:val="1002"/>
        </w:numPr>
        <w:pStyle w:val="Compact"/>
      </w:pPr>
      <w:r>
        <w:t xml:space="preserve">Cartwright, Nancy.</w:t>
      </w:r>
      <w:r>
        <w:t xml:space="preserve"> </w:t>
      </w:r>
      <w:r>
        <w:rPr>
          <w:iCs/>
          <w:i/>
        </w:rPr>
        <w:t xml:space="preserve">Nature’s Capacities and Their Measurement</w:t>
      </w:r>
      <w:r>
        <w:t xml:space="preserve">. Oxford: Clarendon Press, 1989.</w:t>
      </w:r>
    </w:p>
    <w:p>
      <w:pPr>
        <w:numPr>
          <w:ilvl w:val="0"/>
          <w:numId w:val="1002"/>
        </w:numPr>
        <w:pStyle w:val="Compact"/>
      </w:pPr>
      <w:r>
        <w:t xml:space="preserve">Craig, William Lane.</w:t>
      </w:r>
      <w:r>
        <w:t xml:space="preserve"> </w:t>
      </w:r>
      <w:r>
        <w:t xml:space="preserve">“</w:t>
      </w:r>
      <w:r>
        <w:t xml:space="preserve">Must the Beginning of the Universe Have a Personal Cause? A Rejoinder.</w:t>
      </w:r>
      <w:r>
        <w:t xml:space="preserve">”</w:t>
      </w:r>
      <w:r>
        <w:t xml:space="preserve"> </w:t>
      </w:r>
      <w:r>
        <w:rPr>
          <w:iCs/>
          <w:i/>
        </w:rPr>
        <w:t xml:space="preserve">Faith and Philosophy</w:t>
      </w:r>
      <w:r>
        <w:t xml:space="preserve"> </w:t>
      </w:r>
      <w:r>
        <w:t xml:space="preserve">19, no. 1 (2002): 94–105.</w:t>
      </w:r>
    </w:p>
    <w:p>
      <w:pPr>
        <w:numPr>
          <w:ilvl w:val="0"/>
          <w:numId w:val="1002"/>
        </w:numPr>
        <w:pStyle w:val="Compact"/>
      </w:pPr>
      <w:r>
        <w:t xml:space="preserve">Della Rocca, Michael.</w:t>
      </w:r>
      <w:r>
        <w:t xml:space="preserve"> </w:t>
      </w:r>
      <w:r>
        <w:t xml:space="preserve">“</w:t>
      </w:r>
      <w:r>
        <w:t xml:space="preserve">PSR.</w:t>
      </w:r>
      <w:r>
        <w:t xml:space="preserve">”</w:t>
      </w:r>
      <w:r>
        <w:t xml:space="preserve"> </w:t>
      </w:r>
      <w:r>
        <w:rPr>
          <w:iCs/>
          <w:i/>
        </w:rPr>
        <w:t xml:space="preserve">Philosophers’ Imprint</w:t>
      </w:r>
      <w:r>
        <w:t xml:space="preserve"> </w:t>
      </w:r>
      <w:r>
        <w:t xml:space="preserve">10, no. 7 (2010).</w:t>
      </w:r>
    </w:p>
    <w:p>
      <w:pPr>
        <w:numPr>
          <w:ilvl w:val="0"/>
          <w:numId w:val="1002"/>
        </w:numPr>
        <w:pStyle w:val="Compact"/>
      </w:pPr>
      <w:r>
        <w:t xml:space="preserve">Grünbaum, Adolf.</w:t>
      </w:r>
      <w:r>
        <w:t xml:space="preserve"> </w:t>
      </w:r>
      <w:r>
        <w:t xml:space="preserve">“</w:t>
      </w:r>
      <w:r>
        <w:t xml:space="preserve">The Pseudo-Problem of Creation in Physical Cosmology.</w:t>
      </w:r>
      <w:r>
        <w:t xml:space="preserve">”</w:t>
      </w:r>
      <w:r>
        <w:t xml:space="preserve"> </w:t>
      </w:r>
      <w:r>
        <w:rPr>
          <w:iCs/>
          <w:i/>
        </w:rPr>
        <w:t xml:space="preserve">Philosophy of Science</w:t>
      </w:r>
      <w:r>
        <w:t xml:space="preserve"> </w:t>
      </w:r>
      <w:r>
        <w:t xml:space="preserve">56, no. 3 (1989): 373–94. †</w:t>
      </w:r>
    </w:p>
    <w:p>
      <w:pPr>
        <w:numPr>
          <w:ilvl w:val="0"/>
          <w:numId w:val="1002"/>
        </w:numPr>
        <w:pStyle w:val="Compact"/>
      </w:pPr>
      <w:r>
        <w:t xml:space="preserve">Hartle, J. B., and S. W. Hawking.</w:t>
      </w:r>
      <w:r>
        <w:t xml:space="preserve"> </w:t>
      </w:r>
      <w:r>
        <w:t xml:space="preserve">“</w:t>
      </w:r>
      <w:r>
        <w:t xml:space="preserve">Wave Function of the Universe.</w:t>
      </w:r>
      <w:r>
        <w:t xml:space="preserve">”</w:t>
      </w:r>
      <w:r>
        <w:t xml:space="preserve"> </w:t>
      </w:r>
      <w:r>
        <w:rPr>
          <w:iCs/>
          <w:i/>
        </w:rPr>
        <w:t xml:space="preserve">Physical Review D</w:t>
      </w:r>
      <w:r>
        <w:t xml:space="preserve"> </w:t>
      </w:r>
      <w:r>
        <w:t xml:space="preserve">28 (1983): 2960–75. †</w:t>
      </w:r>
    </w:p>
    <w:p>
      <w:pPr>
        <w:numPr>
          <w:ilvl w:val="0"/>
          <w:numId w:val="1002"/>
        </w:numPr>
        <w:pStyle w:val="Compact"/>
      </w:pPr>
      <w:r>
        <w:t xml:space="preserve">Jacobi, Friedrich Heinrich.</w:t>
      </w:r>
      <w:r>
        <w:t xml:space="preserve"> </w:t>
      </w:r>
      <w:r>
        <w:rPr>
          <w:iCs/>
          <w:i/>
        </w:rPr>
        <w:t xml:space="preserve">David Hume über den Glauben, oder Idealismus und Realismus</w:t>
      </w:r>
      <w:r>
        <w:t xml:space="preserve">. Breslau, 1787. †</w:t>
      </w:r>
    </w:p>
    <w:p>
      <w:pPr>
        <w:numPr>
          <w:ilvl w:val="0"/>
          <w:numId w:val="1002"/>
        </w:numPr>
        <w:pStyle w:val="Compact"/>
      </w:pPr>
      <w:r>
        <w:t xml:space="preserve">Kant, Immanuel.</w:t>
      </w:r>
      <w:r>
        <w:t xml:space="preserve"> </w:t>
      </w:r>
      <w:r>
        <w:rPr>
          <w:iCs/>
          <w:i/>
        </w:rPr>
        <w:t xml:space="preserve">Critique of Pure Reason</w:t>
      </w:r>
      <w:r>
        <w:t xml:space="preserve">. 1781; 2nd ed. 1787.</w:t>
      </w:r>
    </w:p>
    <w:p>
      <w:pPr>
        <w:numPr>
          <w:ilvl w:val="0"/>
          <w:numId w:val="1002"/>
        </w:numPr>
        <w:pStyle w:val="Compact"/>
      </w:pPr>
      <w:r>
        <w:t xml:space="preserve">Linford, Daniel.</w:t>
      </w:r>
      <w:r>
        <w:t xml:space="preserve"> </w:t>
      </w:r>
      <w:r>
        <w:t xml:space="preserve">“</w:t>
      </w:r>
      <w:r>
        <w:t xml:space="preserve">The Kalām Cosmological Argument Meets the Mentaculus.</w:t>
      </w:r>
      <w:r>
        <w:t xml:space="preserve">”</w:t>
      </w:r>
      <w:r>
        <w:t xml:space="preserve"> </w:t>
      </w:r>
      <w:r>
        <w:rPr>
          <w:iCs/>
          <w:i/>
        </w:rPr>
        <w:t xml:space="preserve">British Journal for the Philosophy of Science</w:t>
      </w:r>
      <w:r>
        <w:t xml:space="preserve"> </w:t>
      </w:r>
      <w:r>
        <w:t xml:space="preserve">(2020). †</w:t>
      </w:r>
    </w:p>
    <w:p>
      <w:pPr>
        <w:numPr>
          <w:ilvl w:val="0"/>
          <w:numId w:val="1002"/>
        </w:numPr>
        <w:pStyle w:val="Compact"/>
      </w:pPr>
      <w:r>
        <w:t xml:space="preserve">———.</w:t>
      </w:r>
      <w:r>
        <w:t xml:space="preserve"> </w:t>
      </w:r>
      <w:r>
        <w:t xml:space="preserve">“</w:t>
      </w:r>
      <w:r>
        <w:t xml:space="preserve">Without Microphysical Causation, Not Just Anything Can Begin to Exist Just Anywhere.</w:t>
      </w:r>
      <w:r>
        <w:t xml:space="preserve">”</w:t>
      </w:r>
      <w:r>
        <w:t xml:space="preserve"> </w:t>
      </w:r>
      <w:r>
        <w:rPr>
          <w:iCs/>
          <w:i/>
        </w:rPr>
        <w:t xml:space="preserve">European Journal for Philosophy of Science</w:t>
      </w:r>
      <w:r>
        <w:t xml:space="preserve"> </w:t>
      </w:r>
      <w:r>
        <w:t xml:space="preserve">15 (2025): article 50.</w:t>
      </w:r>
    </w:p>
    <w:p>
      <w:pPr>
        <w:numPr>
          <w:ilvl w:val="0"/>
          <w:numId w:val="1002"/>
        </w:numPr>
        <w:pStyle w:val="Compact"/>
      </w:pPr>
      <w:r>
        <w:t xml:space="preserve">Lu, David.</w:t>
      </w:r>
      <w:r>
        <w:t xml:space="preserve"> </w:t>
      </w:r>
      <w:r>
        <w:t xml:space="preserve">“</w:t>
      </w:r>
      <w:r>
        <w:t xml:space="preserve">The Universe Didn’t Begin Uncaused: A New Argument for the Kalām Causal Principle.</w:t>
      </w:r>
      <w:r>
        <w:t xml:space="preserve">”</w:t>
      </w:r>
      <w:r>
        <w:t xml:space="preserve"> </w:t>
      </w:r>
      <w:r>
        <w:rPr>
          <w:iCs/>
          <w:i/>
        </w:rPr>
        <w:t xml:space="preserve">Faith and Philosophy</w:t>
      </w:r>
      <w:r>
        <w:t xml:space="preserve"> </w:t>
      </w:r>
      <w:r>
        <w:t xml:space="preserve">41, no. 2 (2025): 239–64.</w:t>
      </w:r>
    </w:p>
    <w:p>
      <w:pPr>
        <w:numPr>
          <w:ilvl w:val="0"/>
          <w:numId w:val="1002"/>
        </w:numPr>
        <w:pStyle w:val="Compact"/>
      </w:pPr>
      <w:r>
        <w:t xml:space="preserve">Lucretius.</w:t>
      </w:r>
      <w:r>
        <w:t xml:space="preserve"> </w:t>
      </w:r>
      <w:r>
        <w:rPr>
          <w:iCs/>
          <w:i/>
        </w:rPr>
        <w:t xml:space="preserve">De rerum natura</w:t>
      </w:r>
      <w:r>
        <w:t xml:space="preserve">. Book 1, line 150. †</w:t>
      </w:r>
    </w:p>
    <w:p>
      <w:pPr>
        <w:numPr>
          <w:ilvl w:val="0"/>
          <w:numId w:val="1002"/>
        </w:numPr>
        <w:pStyle w:val="Compact"/>
      </w:pPr>
      <w:r>
        <w:t xml:space="preserve">Mackie, J. L.</w:t>
      </w:r>
      <w:r>
        <w:t xml:space="preserve"> </w:t>
      </w:r>
      <w:r>
        <w:rPr>
          <w:iCs/>
          <w:i/>
        </w:rPr>
        <w:t xml:space="preserve">The Miracle of Theism</w:t>
      </w:r>
      <w:r>
        <w:t xml:space="preserve">. Oxford: Clarendon Press, 1982.</w:t>
      </w:r>
    </w:p>
    <w:p>
      <w:pPr>
        <w:numPr>
          <w:ilvl w:val="0"/>
          <w:numId w:val="1002"/>
        </w:numPr>
        <w:pStyle w:val="Compact"/>
      </w:pPr>
      <w:r>
        <w:t xml:space="preserve">McGrew, Timothy, Lydia McGrew, and Eric Vestrup.</w:t>
      </w:r>
      <w:r>
        <w:t xml:space="preserve"> </w:t>
      </w:r>
      <w:r>
        <w:t xml:space="preserve">“</w:t>
      </w:r>
      <w:r>
        <w:t xml:space="preserve">Probabilities and the Fine-Tuning Argument: A Sceptical View.</w:t>
      </w:r>
      <w:r>
        <w:t xml:space="preserve">”</w:t>
      </w:r>
      <w:r>
        <w:t xml:space="preserve"> </w:t>
      </w:r>
      <w:r>
        <w:rPr>
          <w:iCs/>
          <w:i/>
        </w:rPr>
        <w:t xml:space="preserve">Mind</w:t>
      </w:r>
      <w:r>
        <w:t xml:space="preserve"> </w:t>
      </w:r>
      <w:r>
        <w:t xml:space="preserve">110 (2001): 1027–37. †</w:t>
      </w:r>
    </w:p>
    <w:p>
      <w:pPr>
        <w:numPr>
          <w:ilvl w:val="0"/>
          <w:numId w:val="1002"/>
        </w:numPr>
        <w:pStyle w:val="Compact"/>
      </w:pPr>
      <w:r>
        <w:t xml:space="preserve">Morriston, Wesley.</w:t>
      </w:r>
      <w:r>
        <w:t xml:space="preserve"> </w:t>
      </w:r>
      <w:r>
        <w:t xml:space="preserve">“</w:t>
      </w:r>
      <w:r>
        <w:t xml:space="preserve">Must the Beginning of the Universe Have a Personal Cause? A Critical Examination of the Kalam Cosmological Argument.</w:t>
      </w:r>
      <w:r>
        <w:t xml:space="preserve">”</w:t>
      </w:r>
      <w:r>
        <w:t xml:space="preserve"> </w:t>
      </w:r>
      <w:r>
        <w:rPr>
          <w:iCs/>
          <w:i/>
        </w:rPr>
        <w:t xml:space="preserve">Faith and Philosophy</w:t>
      </w:r>
      <w:r>
        <w:t xml:space="preserve"> </w:t>
      </w:r>
      <w:r>
        <w:t xml:space="preserve">17, no. 2 (2000): 149–69. †</w:t>
      </w:r>
    </w:p>
    <w:p>
      <w:pPr>
        <w:numPr>
          <w:ilvl w:val="0"/>
          <w:numId w:val="1002"/>
        </w:numPr>
        <w:pStyle w:val="Compact"/>
      </w:pPr>
      <w:r>
        <w:t xml:space="preserve">———.</w:t>
      </w:r>
      <w:r>
        <w:t xml:space="preserve"> </w:t>
      </w:r>
      <w:r>
        <w:t xml:space="preserve">“</w:t>
      </w:r>
      <w:r>
        <w:t xml:space="preserve">Causes and Beginnings in the Kalam Argument: Reply to Craig.</w:t>
      </w:r>
      <w:r>
        <w:t xml:space="preserve">”</w:t>
      </w:r>
      <w:r>
        <w:t xml:space="preserve"> </w:t>
      </w:r>
      <w:r>
        <w:rPr>
          <w:iCs/>
          <w:i/>
        </w:rPr>
        <w:t xml:space="preserve">Faith and Philosophy</w:t>
      </w:r>
      <w:r>
        <w:t xml:space="preserve"> </w:t>
      </w:r>
      <w:r>
        <w:t xml:space="preserve">19, no. 2 (2002): 233–44. †</w:t>
      </w:r>
    </w:p>
    <w:p>
      <w:pPr>
        <w:numPr>
          <w:ilvl w:val="0"/>
          <w:numId w:val="1002"/>
        </w:numPr>
        <w:pStyle w:val="Compact"/>
      </w:pPr>
      <w:r>
        <w:t xml:space="preserve">Mumford, Stephen, and Rani Lill Anjum.</w:t>
      </w:r>
      <w:r>
        <w:t xml:space="preserve"> </w:t>
      </w:r>
      <w:r>
        <w:rPr>
          <w:iCs/>
          <w:i/>
        </w:rPr>
        <w:t xml:space="preserve">Getting Causes from Powers</w:t>
      </w:r>
      <w:r>
        <w:t xml:space="preserve">. Oxford: Oxford University Press, 2011.</w:t>
      </w:r>
    </w:p>
    <w:p>
      <w:pPr>
        <w:numPr>
          <w:ilvl w:val="0"/>
          <w:numId w:val="1002"/>
        </w:numPr>
        <w:pStyle w:val="Compact"/>
      </w:pPr>
      <w:r>
        <w:t xml:space="preserve">Norton, John D.</w:t>
      </w:r>
      <w:r>
        <w:t xml:space="preserve"> </w:t>
      </w:r>
      <w:r>
        <w:t xml:space="preserve">“</w:t>
      </w:r>
      <w:r>
        <w:t xml:space="preserve">Causation as Folk Science.</w:t>
      </w:r>
      <w:r>
        <w:t xml:space="preserve">”</w:t>
      </w:r>
      <w:r>
        <w:t xml:space="preserve"> </w:t>
      </w:r>
      <w:r>
        <w:rPr>
          <w:iCs/>
          <w:i/>
        </w:rPr>
        <w:t xml:space="preserve">Philosophers’ Imprint</w:t>
      </w:r>
      <w:r>
        <w:t xml:space="preserve"> </w:t>
      </w:r>
      <w:r>
        <w:t xml:space="preserve">3, no. 4 (2003): 1–22.</w:t>
      </w:r>
    </w:p>
    <w:p>
      <w:pPr>
        <w:numPr>
          <w:ilvl w:val="0"/>
          <w:numId w:val="1002"/>
        </w:numPr>
        <w:pStyle w:val="Compact"/>
      </w:pPr>
      <w:r>
        <w:t xml:space="preserve">Oppy, Graham.</w:t>
      </w:r>
      <w:r>
        <w:t xml:space="preserve"> </w:t>
      </w:r>
      <w:r>
        <w:rPr>
          <w:iCs/>
          <w:i/>
        </w:rPr>
        <w:t xml:space="preserve">Arguing About Gods</w:t>
      </w:r>
      <w:r>
        <w:t xml:space="preserve">. Cambridge: Cambridge University Press, 2006. †</w:t>
      </w:r>
    </w:p>
    <w:p>
      <w:pPr>
        <w:numPr>
          <w:ilvl w:val="0"/>
          <w:numId w:val="1002"/>
        </w:numPr>
        <w:pStyle w:val="Compact"/>
      </w:pPr>
      <w:r>
        <w:t xml:space="preserve">Penrose, Roger.</w:t>
      </w:r>
      <w:r>
        <w:t xml:space="preserve"> </w:t>
      </w:r>
      <w:r>
        <w:rPr>
          <w:iCs/>
          <w:i/>
        </w:rPr>
        <w:t xml:space="preserve">Cycles of Time: An Extraordinary New View of the Universe</w:t>
      </w:r>
      <w:r>
        <w:t xml:space="preserve">. London: Bodley Head, 2010. †</w:t>
      </w:r>
    </w:p>
    <w:p>
      <w:pPr>
        <w:numPr>
          <w:ilvl w:val="0"/>
          <w:numId w:val="1002"/>
        </w:numPr>
        <w:pStyle w:val="Compact"/>
      </w:pPr>
      <w:r>
        <w:t xml:space="preserve">Plantinga, Alvin.</w:t>
      </w:r>
      <w:r>
        <w:t xml:space="preserve"> </w:t>
      </w:r>
      <w:r>
        <w:rPr>
          <w:iCs/>
          <w:i/>
        </w:rPr>
        <w:t xml:space="preserve">The Nature of Necessity</w:t>
      </w:r>
      <w:r>
        <w:t xml:space="preserve">. Oxford: Clarendon Press, 1974.</w:t>
      </w:r>
    </w:p>
    <w:p>
      <w:pPr>
        <w:numPr>
          <w:ilvl w:val="0"/>
          <w:numId w:val="1002"/>
        </w:numPr>
        <w:pStyle w:val="Compact"/>
      </w:pPr>
      <w:r>
        <w:t xml:space="preserve">———.</w:t>
      </w:r>
      <w:r>
        <w:t xml:space="preserve"> </w:t>
      </w:r>
      <w:r>
        <w:t xml:space="preserve">“</w:t>
      </w:r>
      <w:r>
        <w:t xml:space="preserve">How to Be an Anti-Realist.</w:t>
      </w:r>
      <w:r>
        <w:t xml:space="preserve">”</w:t>
      </w:r>
      <w:r>
        <w:t xml:space="preserve"> </w:t>
      </w:r>
      <w:r>
        <w:rPr>
          <w:iCs/>
          <w:i/>
        </w:rPr>
        <w:t xml:space="preserve">Proceedings and Addresses of the American Philosophical Association</w:t>
      </w:r>
      <w:r>
        <w:t xml:space="preserve"> </w:t>
      </w:r>
      <w:r>
        <w:t xml:space="preserve">56, no. 1 (1982): 47–70. †</w:t>
      </w:r>
    </w:p>
    <w:p>
      <w:pPr>
        <w:numPr>
          <w:ilvl w:val="0"/>
          <w:numId w:val="1002"/>
        </w:numPr>
        <w:pStyle w:val="Compact"/>
      </w:pPr>
      <w:r>
        <w:t xml:space="preserve">Pruss, Alexander R.</w:t>
      </w:r>
      <w:r>
        <w:t xml:space="preserve"> </w:t>
      </w:r>
      <w:r>
        <w:rPr>
          <w:iCs/>
          <w:i/>
        </w:rPr>
        <w:t xml:space="preserve">The Principle of Sufficient Reason: A Reassessment</w:t>
      </w:r>
      <w:r>
        <w:t xml:space="preserve">. Cambridge: Cambridge University Press, 2006.</w:t>
      </w:r>
    </w:p>
    <w:p>
      <w:pPr>
        <w:numPr>
          <w:ilvl w:val="0"/>
          <w:numId w:val="1002"/>
        </w:numPr>
        <w:pStyle w:val="Compact"/>
      </w:pPr>
      <w:r>
        <w:t xml:space="preserve">Reid, Thomas.</w:t>
      </w:r>
      <w:r>
        <w:t xml:space="preserve"> </w:t>
      </w:r>
      <w:r>
        <w:rPr>
          <w:iCs/>
          <w:i/>
        </w:rPr>
        <w:t xml:space="preserve">Essays on the Intellectual Powers of Man</w:t>
      </w:r>
      <w:r>
        <w:t xml:space="preserve">. Edinburgh, 1785. Essay VI, chapter 6. †</w:t>
      </w:r>
    </w:p>
    <w:p>
      <w:pPr>
        <w:numPr>
          <w:ilvl w:val="0"/>
          <w:numId w:val="1002"/>
        </w:numPr>
        <w:pStyle w:val="Compact"/>
      </w:pPr>
      <w:r>
        <w:t xml:space="preserve">van Inwagen, Peter.</w:t>
      </w:r>
      <w:r>
        <w:t xml:space="preserve"> </w:t>
      </w:r>
      <w:r>
        <w:rPr>
          <w:iCs/>
          <w:i/>
        </w:rPr>
        <w:t xml:space="preserve">An Essay on Free Will</w:t>
      </w:r>
      <w:r>
        <w:t xml:space="preserve">. Oxford: Clarendon Press, 1983.</w:t>
      </w:r>
    </w:p>
    <w:p>
      <w:pPr>
        <w:numPr>
          <w:ilvl w:val="0"/>
          <w:numId w:val="1002"/>
        </w:numPr>
        <w:pStyle w:val="Compact"/>
      </w:pPr>
      <w:r>
        <w:t xml:space="preserve">Vilenkin, Alexander.</w:t>
      </w:r>
      <w:r>
        <w:t xml:space="preserve"> </w:t>
      </w:r>
      <w:r>
        <w:t xml:space="preserve">“</w:t>
      </w:r>
      <w:r>
        <w:t xml:space="preserve">Creation of Universes from Nothing.</w:t>
      </w:r>
      <w:r>
        <w:t xml:space="preserve">”</w:t>
      </w:r>
      <w:r>
        <w:t xml:space="preserve"> </w:t>
      </w:r>
      <w:r>
        <w:rPr>
          <w:iCs/>
          <w:i/>
        </w:rPr>
        <w:t xml:space="preserve">Physics Letters B</w:t>
      </w:r>
      <w:r>
        <w:t xml:space="preserve"> </w:t>
      </w:r>
      <w:r>
        <w:t xml:space="preserve">117 (1982): 25–28.</w:t>
      </w:r>
    </w:p>
    <w:p>
      <w:pPr>
        <w:numPr>
          <w:ilvl w:val="0"/>
          <w:numId w:val="1002"/>
        </w:numPr>
        <w:pStyle w:val="Compact"/>
      </w:pPr>
      <w:r>
        <w:t xml:space="preserve">Wittgenstein, Ludwig.</w:t>
      </w:r>
      <w:r>
        <w:t xml:space="preserve"> </w:t>
      </w:r>
      <w:r>
        <w:rPr>
          <w:iCs/>
          <w:i/>
        </w:rPr>
        <w:t xml:space="preserve">On Certainty</w:t>
      </w:r>
      <w:r>
        <w:t xml:space="preserve">. Edited by G. E. M. Anscombe and G. H. von Wright. Oxford: Blackwell, 1969. †</w:t>
      </w:r>
    </w:p>
    <w:p>
      <w:pPr>
        <w:numPr>
          <w:ilvl w:val="0"/>
          <w:numId w:val="1002"/>
        </w:numPr>
        <w:pStyle w:val="Compact"/>
      </w:pPr>
      <w:r>
        <w:t xml:space="preserve">———.</w:t>
      </w:r>
      <w:r>
        <w:t xml:space="preserve"> </w:t>
      </w:r>
      <w:r>
        <w:rPr>
          <w:iCs/>
          <w:i/>
        </w:rPr>
        <w:t xml:space="preserve">Tractatus Logico-Philosophicus</w:t>
      </w:r>
      <w:r>
        <w:t xml:space="preserve">. Translated by C. K. Ogden. London: Kegan Paul, 1922.</w:t>
      </w:r>
    </w:p>
    <w:p>
      <w:pPr>
        <w:pStyle w:val="FirstParagraph"/>
      </w:pPr>
      <w:r>
        <w:t xml:space="preserve">Scripture quotations are from the ESV.</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rPr>
  </w:style>
  <w:style w:styleId="BodyText" w:type="paragraph">
    <w:name w:val="Body Text"/>
    <w:basedOn w:val="Normal"/>
    <w:link w:val="BodyTextChar"/>
    <w:pPr>
      <w:spacing w:after="180" w:before="180"/>
    </w:pPr>
    <w:qFormat/>
    <w:rPr>
      <w:rFonts w:ascii="Georgia" w:hAnsi="Georgia"/>
    </w:rPr>
  </w:style>
  <w:style w:customStyle="1" w:styleId="FirstParagraph" w:type="paragraph">
    <w:name w:val="First Paragraph"/>
    <w:basedOn w:val="BodyText"/>
    <w:next w:val="BodyText"/>
    <w:qFormat/>
    <w:rPr>
      <w:rFonts w:ascii="Georgia" w:hAnsi="Georgia"/>
    </w:rPr>
  </w:style>
  <w:style w:customStyle="1" w:styleId="Compact" w:type="paragraph">
    <w:name w:val="Compact"/>
    <w:basedOn w:val="BodyText"/>
    <w:qFormat/>
    <w:pPr>
      <w:spacing w:after="36" w:before="36"/>
    </w:pPr>
    <w:rPr>
      <w:rFonts w:ascii="Georgia" w:hAnsi="Georgia"/>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Georgia" w:hAnsi="Georgia"/>
      <w:sz w:val="30"/>
      <w:szCs w:val="30"/>
    </w:rPr>
  </w:style>
  <w:style w:customStyle="1" w:styleId="Author" w:type="paragraph">
    <w:name w:val="Author"/>
    <w:next w:val="BodyText"/>
    <w:qFormat/>
    <w:pPr>
      <w:keepNext/>
      <w:keepLines/>
      <w:jc w:val="center"/>
    </w:pPr>
    <w:rPr>
      <w:rFonts w:ascii="Georgia" w:hAnsi="Georgia"/>
    </w:rPr>
  </w:style>
  <w:style w:styleId="Date" w:type="paragraph">
    <w:name w:val="Date"/>
    <w:next w:val="BodyText"/>
    <w:qFormat/>
    <w:pPr>
      <w:keepNext/>
      <w:keepLines/>
      <w:jc w:val="center"/>
    </w:pPr>
    <w:rPr>
      <w:rFonts w:ascii="Georgia" w:hAnsi="Georgia"/>
    </w:rPr>
  </w:style>
  <w:style w:customStyle="1" w:styleId="AbstractTitle" w:type="paragraph">
    <w:name w:val="Abstract Title"/>
    <w:basedOn w:val="Normal"/>
    <w:next w:val="Abstract"/>
    <w:qFormat/>
    <w:pPr>
      <w:keepNext/>
      <w:keepLines/>
      <w:jc w:val="center"/>
      <w:spacing w:after="0" w:before="300"/>
    </w:pPr>
    <w:rPr>
      <w:sz w:val="20"/>
      <w:szCs w:val="20"/>
      <w:rFonts w:ascii="Georgia" w:hAnsi="Georgia"/>
      <w:b/>
      <w:color w:val="345A8A"/>
      &gt;
    </w:rPr>
  </w:style>
  <w:style w:customStyle="1" w:styleId="Abstract" w:type="paragraph">
    <w:name w:val="Abstract"/>
    <w:basedOn w:val="Normal"/>
    <w:next w:val="BodyText"/>
    <w:qFormat/>
    <w:pPr>
      <w:keepNext/>
      <w:keepLines/>
      <w:spacing w:after="300" w:before="100"/>
    </w:pPr>
    <w:rPr>
      <w:rFonts w:ascii="Georgia" w:hAnsi="Georgia"/>
      <w:sz w:val="20"/>
      <w:szCs w:val="20"/>
    </w:rPr>
  </w:style>
  <w:style w:styleId="Bibliography" w:type="paragraph">
    <w:name w:val="Bibliography"/>
    <w:basedOn w:val="Normal"/>
    <w:next w:val="Bibliography"/>
    <w:qFormat/>
    <w:pPr/>
    <w:rPr>
      <w:rFonts w:ascii="Georgia" w:hAnsi="Georgia"/>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Georgia"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Georgia"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Georgia"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rPr>
  </w:style>
  <w:style w:styleId="FootnoteText" w:type="paragraph">
    <w:name w:val="Footnote Text"/>
    <w:basedOn w:val="Normal"/>
    <w:next w:val="FootnoteText"/>
    <w:uiPriority w:val="9"/>
    <w:unhideWhenUsed/>
    <w:qFormat/>
    <w:rPr>
      <w:rFonts w:ascii="Georgia" w:hAnsi="Georgia"/>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Georgia" w:hAnsi="Georgia"/>
      <w:b/>
    </w:rPr>
  </w:style>
  <w:style w:customStyle="1" w:styleId="Definition" w:type="paragraph">
    <w:name w:val="Definition"/>
    <w:basedOn w:val="Normal"/>
    <w:rPr>
      <w:rFonts w:ascii="Georgia" w:hAnsi="Georgia"/>
    </w:rPr>
  </w:style>
  <w:style w:styleId="Caption" w:type="paragraph">
    <w:name w:val="Caption"/>
    <w:basedOn w:val="Normal"/>
    <w:link w:val="BodyTextChar"/>
    <w:pPr>
      <w:spacing w:after="120" w:before="0"/>
    </w:pPr>
    <w:rPr>
      <w:rFonts w:ascii="Georgia" w:hAnsi="Georgia"/>
      <w:i/>
    </w:rPr>
  </w:style>
  <w:style w:customStyle="1" w:styleId="TableCaption" w:type="paragraph">
    <w:name w:val="Table Caption"/>
    <w:basedOn w:val="Caption"/>
    <w:pPr>
      <w:keepNext/>
    </w:pPr>
    <w:rPr>
      <w:rFonts w:ascii="Georgia" w:hAnsi="Georgia"/>
    </w:rPr>
  </w:style>
  <w:style w:customStyle="1" w:styleId="ImageCaption" w:type="paragraph">
    <w:name w:val="Image Caption"/>
    <w:basedOn w:val="Caption"/>
    <w:rPr>
      <w:rFonts w:ascii="Georgia" w:hAnsi="Georgia"/>
    </w:rPr>
  </w:style>
  <w:style w:customStyle="1" w:styleId="Figure" w:type="paragraph">
    <w:name w:val="Figure"/>
    <w:basedOn w:val="Normal"/>
    <w:rPr>
      <w:rFonts w:ascii="Georgia" w:hAnsi="Georgia"/>
    </w:rPr>
  </w:style>
  <w:style w:customStyle="1" w:styleId="CaptionedFigure" w:type="paragraph">
    <w:name w:val="Captioned Figure"/>
    <w:basedOn w:val="Figure"/>
    <w:pPr>
      <w:keepNext/>
    </w:pPr>
    <w:rPr>
      <w:rFonts w:ascii="Georgia" w:hAnsi="Georgia"/>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Georgia" w:hAnsi="Georgia"/>
      <w:b w:val="0"/>
      <w:bCs w:val="0"/>
      <w:color w:themeColor="accent1" w:themeShade="BF" w:val="365F91"/>
    </w:rPr>
  </w:style>
  <w:style w:type="paragraph" w:customStyle="1" w:styleId="SourceCode">
    <w:name w:val="Source Code"/>
    <w:basedOn w:val="Normal"/>
    <w:link w:val="VerbatimChar"/>
    <w:pPr>
      <w:wordWrap w:val="off"/>
    </w:pPr>
    <w:rPr>
      <w:rFonts w:ascii="Georgia" w:hAnsi="Georgia"/>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2026-10-21T21:53:53Z</dcterms:created>
  <dcterms:modified xsi:type="dcterms:W3CDTF">2026-10-21T21:53:53Z</dcterms:modified>
</cp:coreProperties>
</file>

<file path=docProps/custom.xml><?xml version="1.0" encoding="utf-8"?>
<Properties xmlns="http://schemas.openxmlformats.org/officeDocument/2006/custom-properties" xmlns:vt="http://schemas.openxmlformats.org/officeDocument/2006/docPropsVTypes"/>
</file>