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Prospectus — PRD</w:t>
      </w:r>
    </w:p>
    <w:bookmarkStart w:id="37" w:name="X4139c12751ae2f817285137f267287c3df1c279"/>
    <w:p>
      <w:pPr>
        <w:pStyle w:val="Heading1"/>
      </w:pPr>
      <w:r>
        <w:t xml:space="preserve">Product Requirements Document — Project Prospectus</w:t>
      </w:r>
    </w:p>
    <w:p>
      <w:pPr>
        <w:pStyle w:val="FirstParagraph"/>
      </w:pPr>
      <w:r>
        <w:rPr>
          <w:b/>
          <w:bCs/>
        </w:rPr>
        <w:t xml:space="preserve">A free, honest UK schools, catchment and neighbourhood intelligence product</w:t>
      </w:r>
      <w:r>
        <w:t xml:space="preserve"> </w:t>
      </w:r>
      <w:r>
        <w:t xml:space="preserve">Strategic working document · 1 August 2026 · Prepared for Gid D</w:t>
      </w:r>
      <w:r>
        <w:t xml:space="preserve"> </w:t>
      </w:r>
      <w:r>
        <w:t xml:space="preserve">Status: Draft v1 · Classification: Internal strategy</w:t>
      </w:r>
    </w:p>
    <w:p>
      <w:r>
        <w:pict>
          <v:rect style="width:0;height:1.5pt" o:hralign="center" o:hrstd="t" o:hr="t"/>
        </w:pict>
      </w:r>
    </w:p>
    <w:bookmarkStart w:id="13" w:name="context-why-this-product-why-now"/>
    <w:p>
      <w:pPr>
        <w:pStyle w:val="Heading2"/>
      </w:pPr>
      <w:r>
        <w:t xml:space="preserve">1. Context — why this product, why now</w:t>
      </w:r>
    </w:p>
    <w:bookmarkStart w:id="9" w:name="the-strategic-frame"/>
    <w:p>
      <w:pPr>
        <w:pStyle w:val="Heading3"/>
      </w:pPr>
      <w:r>
        <w:t xml:space="preserve">1.1 The strategic frame</w:t>
      </w:r>
    </w:p>
    <w:p>
      <w:pPr>
        <w:pStyle w:val="FirstParagraph"/>
      </w:pPr>
      <w:r>
        <w:t xml:space="preserve">This product is the first owned asset under the Digital-Asset Studio Plan (July 2026). That plan’s thesis: find neglected digital utilities with real demand, improve the product and distribution, monetise, and build a portfolio of owned cash-flowing assets. The reference case is bustimes.org — a one-person business earning an estimated £250k–£800k/yr by normalising messy public data into a utility people return to.</w:t>
      </w:r>
    </w:p>
    <w:p>
      <w:pPr>
        <w:pStyle w:val="BodyText"/>
      </w:pPr>
      <w:r>
        <w:t xml:space="preserve">Project Prospectus fits the asset-selection framework from the plan: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</w:t>
            </w:r>
          </w:p>
        </w:tc>
        <w:tc>
          <w:tcPr/>
          <w:p>
            <w:pPr>
              <w:pStyle w:val="Compact"/>
            </w:pPr>
            <w:r>
              <w:t xml:space="preserve">Millions of UK parents research schools annually;</w:t>
            </w:r>
            <w:r>
              <w:t xml:space="preserve"> </w:t>
            </w:r>
            <w:r>
              <w:t xml:space="preserve">“school catchment”</w:t>
            </w:r>
            <w:r>
              <w:t xml:space="preserve"> </w:t>
            </w:r>
            <w:r>
              <w:t xml:space="preserve">queries are high-volume and recurring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A wrong school decision costs a house move, a child’s education, or both — among the highest-stakes consumer decisions that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Almost entirely public (DfE, Ofsted, ONS, Police.uk, Land Registry, EA) but fragmented and badly presented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Monetisation</w:t>
            </w:r>
          </w:p>
        </w:tc>
        <w:tc>
          <w:tcPr/>
          <w:p>
            <w:pPr>
              <w:pStyle w:val="Compact"/>
            </w:pPr>
            <w:r>
              <w:t xml:space="preserve">Lead generation (conveyancing, mortgages, removals, broadband), advertising, later B2B data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SEO long-tail: every school, postcode, town and catchment query is an indexable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leverage</w:t>
            </w:r>
          </w:p>
        </w:tc>
        <w:tc>
          <w:tcPr/>
          <w:p>
            <w:pPr>
              <w:pStyle w:val="Compact"/>
            </w:pPr>
            <w:r>
              <w:t xml:space="preserve">Data pipelines automatable; one-person operable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Defensibility</w:t>
            </w:r>
          </w:p>
        </w:tc>
        <w:tc>
          <w:tcPr/>
          <w:p>
            <w:pPr>
              <w:pStyle w:val="Compact"/>
            </w:pPr>
            <w:r>
              <w:t xml:space="preserve">Normalised dataset + brand trust + distribution compound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Saleability</w:t>
            </w:r>
          </w:p>
        </w:tc>
        <w:tc>
          <w:tcPr/>
          <w:p>
            <w:pPr>
              <w:pStyle w:val="Compact"/>
            </w:pPr>
            <w:r>
              <w:t xml:space="preserve">Clean, transferable, owner-independent by design</w:t>
            </w:r>
          </w:p>
        </w:tc>
      </w:tr>
    </w:tbl>
    <w:bookmarkEnd w:id="9"/>
    <w:bookmarkStart w:id="10" w:name="the-incumbent-and-the-opening"/>
    <w:p>
      <w:pPr>
        <w:pStyle w:val="Heading3"/>
      </w:pPr>
      <w:r>
        <w:t xml:space="preserve">1.2 The incumbent and the opening</w:t>
      </w:r>
    </w:p>
    <w:p>
      <w:pPr>
        <w:pStyle w:val="FirstParagraph"/>
      </w:pPr>
      <w:r>
        <w:t xml:space="preserve">Locrating (locrating.com) is the market leader: a family-run business operating since 2010, charging £12.99–£14.99/month or £41.99/quarter for premium data. It is genuinely used and liked (≈4.5★ Trustpilot, ~590 reviews).</w:t>
      </w:r>
    </w:p>
    <w:p>
      <w:pPr>
        <w:pStyle w:val="BodyText"/>
      </w:pPr>
      <w:r>
        <w:t xml:space="preserve">Its weaknesses, confirmed by research (30 July–1 Aug 2026):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technology.</w:t>
      </w:r>
      <w:r>
        <w:t xml:space="preserve"> </w:t>
      </w:r>
      <w:r>
        <w:t xml:space="preserve">ASP.NET WebForms (.aspx throughout). Dated UX, aggressive Cloudflare blocking, no design ambition.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Paywall friction.</w:t>
      </w:r>
      <w:r>
        <w:t xml:space="preserve"> </w:t>
      </w:r>
      <w:r>
        <w:t xml:space="preserve">The most valuable data (catchment indicators, pupil heat maps, flood, noise) is locked behind</w:t>
      </w:r>
      <w:r>
        <w:t xml:space="preserve"> </w:t>
      </w:r>
      <w:r>
        <w:t xml:space="preserve">“Unlock Data.”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False precision.</w:t>
      </w:r>
      <w:r>
        <w:t xml:space="preserve"> </w:t>
      </w:r>
      <w:r>
        <w:t xml:space="preserve">Catchment estimates presented as confident boundaries. Users have noticed:</w:t>
      </w:r>
      <w:r>
        <w:t xml:space="preserve"> </w:t>
      </w:r>
      <w:r>
        <w:rPr>
          <w:i/>
          <w:iCs/>
        </w:rPr>
        <w:t xml:space="preserve">“Locrating shows absolute rubbish for our school catchment… they just scrape cut-off distance data from local authority websites… crow-flies rather than walking distance”</w:t>
      </w:r>
      <w:r>
        <w:t xml:space="preserve"> </w:t>
      </w:r>
      <w:r>
        <w:t xml:space="preserve">(Mumsnet).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fear of free.</w:t>
      </w:r>
      <w:r>
        <w:t xml:space="preserve"> </w:t>
      </w:r>
      <w:r>
        <w:t xml:space="preserve">Their pricing page argues unprompted:</w:t>
      </w:r>
      <w:r>
        <w:t xml:space="preserve"> </w:t>
      </w:r>
      <w:r>
        <w:rPr>
          <w:i/>
          <w:iCs/>
        </w:rPr>
        <w:t xml:space="preserve">“Don’t be fooled by free sites… free and AI generated sites are a false economy.”</w:t>
      </w:r>
      <w:r>
        <w:t xml:space="preserve"> </w:t>
      </w:r>
      <w:r>
        <w:t xml:space="preserve">Incumbents do not attack threats that do not exist.</w:t>
      </w:r>
    </w:p>
    <w:bookmarkEnd w:id="10"/>
    <w:bookmarkStart w:id="11" w:name="the-insight-that-defines-the-product"/>
    <w:p>
      <w:pPr>
        <w:pStyle w:val="Heading3"/>
      </w:pPr>
      <w:r>
        <w:t xml:space="preserve">1.3 The insight that defines the product</w:t>
      </w:r>
    </w:p>
    <w:p>
      <w:pPr>
        <w:pStyle w:val="FirstParagraph"/>
      </w:pPr>
      <w:r>
        <w:rPr>
          <w:b/>
          <w:bCs/>
        </w:rPr>
        <w:t xml:space="preserve">Most English state schools have no fixed catchment area.</w:t>
      </w:r>
      <w:r>
        <w:t xml:space="preserve"> </w:t>
      </w:r>
      <w:r>
        <w:t xml:space="preserve">Oversubscription criteria (post-Admissions Code, and academies are their own admission authorities) are typically: looked-after children → siblings →</w:t>
      </w:r>
      <w:r>
        <w:t xml:space="preserve"> </w:t>
      </w:r>
      <w:r>
        <w:rPr>
          <w:b/>
          <w:bCs/>
        </w:rPr>
        <w:t xml:space="preserve">distance</w:t>
      </w:r>
      <w:r>
        <w:t xml:space="preserve">. The</w:t>
      </w:r>
      <w:r>
        <w:t xml:space="preserve"> </w:t>
      </w:r>
      <w:r>
        <w:t xml:space="preserve">“catchment”</w:t>
      </w:r>
      <w:r>
        <w:t xml:space="preserve"> </w:t>
      </w:r>
      <w:r>
        <w:t xml:space="preserve">is an emergent outcome — the last distance offered in a given year — and it moves annually with birth cohorts, sibling clusters, new housing and school popularity.</w:t>
      </w:r>
    </w:p>
    <w:p>
      <w:pPr>
        <w:pStyle w:val="BodyText"/>
      </w:pPr>
      <w:r>
        <w:t xml:space="preserve">Therefore</w:t>
      </w:r>
      <w:r>
        <w:t xml:space="preserve"> </w:t>
      </w:r>
      <w:r>
        <w:rPr>
          <w:i/>
          <w:iCs/>
        </w:rPr>
        <w:t xml:space="preserve">no one</w:t>
      </w:r>
      <w:r>
        <w:t xml:space="preserve"> </w:t>
      </w:r>
      <w:r>
        <w:t xml:space="preserve">can guarantee catchment coverage — including the incumbent. The market is selling false certainty. The opening is not to out-scrape Locrating; it is to</w:t>
      </w:r>
      <w:r>
        <w:t xml:space="preserve"> </w:t>
      </w:r>
      <w:r>
        <w:rPr>
          <w:b/>
          <w:bCs/>
        </w:rPr>
        <w:t xml:space="preserve">change the game from fake boundaries to honest probability</w:t>
      </w:r>
      <w:r>
        <w:t xml:space="preserve">.</w:t>
      </w:r>
    </w:p>
    <w:p>
      <w:pPr>
        <w:pStyle w:val="BodyText"/>
      </w:pPr>
      <w:r>
        <w:t xml:space="preserve">The product principle, stated as a design law:</w:t>
      </w:r>
    </w:p>
    <w:p>
      <w:pPr>
        <w:pStyle w:val="BlockText"/>
      </w:pPr>
      <w:r>
        <w:rPr>
          <w:b/>
          <w:bCs/>
        </w:rPr>
        <w:t xml:space="preserve">Estimation is a service. False precision is a lie.</w:t>
      </w:r>
    </w:p>
    <w:p>
      <w:pPr>
        <w:pStyle w:val="FirstParagraph"/>
      </w:pPr>
      <w:r>
        <w:t xml:space="preserve">We show estimates — clearly labelled, source-dated, with visible confidence. They sell</w:t>
      </w:r>
      <w:r>
        <w:t xml:space="preserve"> </w:t>
      </w:r>
      <w:r>
        <w:t xml:space="preserve">“this is it.”</w:t>
      </w:r>
      <w:r>
        <w:t xml:space="preserve"> </w:t>
      </w:r>
      <w:r>
        <w:t xml:space="preserve">We show the odds.</w:t>
      </w:r>
    </w:p>
    <w:bookmarkEnd w:id="11"/>
    <w:bookmarkStart w:id="12" w:name="why-we-win"/>
    <w:p>
      <w:pPr>
        <w:pStyle w:val="Heading3"/>
      </w:pPr>
      <w:r>
        <w:t xml:space="preserve">1.4 Why we win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as strategy.</w:t>
      </w:r>
      <w:r>
        <w:t xml:space="preserve"> </w:t>
      </w:r>
      <w:r>
        <w:t xml:space="preserve">A best-in-class, map-first, mobile-first product against a 15-year-old WebForms interface is not a fair fight. Design craft is the founder’s unfair advantage and the product’s primary weapon.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vs £13/month.</w:t>
      </w:r>
      <w:r>
        <w:t xml:space="preserve"> </w:t>
      </w:r>
      <w:r>
        <w:t xml:space="preserve">Everything of theirs that derives from public data, we give away.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Glass box vs black box.</w:t>
      </w:r>
      <w:r>
        <w:t xml:space="preserve"> </w:t>
      </w:r>
      <w:r>
        <w:t xml:space="preserve">Every figure cited, sourced and dated. Trust is the brand.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Speed.</w:t>
      </w:r>
      <w:r>
        <w:t xml:space="preserve"> </w:t>
      </w:r>
      <w:r>
        <w:t xml:space="preserve">Static-first rendering, sub-second pages, versus a legacy stack behind a WAF.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architecture.</w:t>
      </w:r>
      <w:r>
        <w:t xml:space="preserve"> </w:t>
      </w:r>
      <w:r>
        <w:t xml:space="preserve">Programmatic, indexable pages for every school, postcode, town and comparison query.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oblem-statement-and-users"/>
    <w:p>
      <w:pPr>
        <w:pStyle w:val="Heading2"/>
      </w:pPr>
      <w:r>
        <w:t xml:space="preserve">2. Problem statement and users</w:t>
      </w:r>
    </w:p>
    <w:p>
      <w:pPr>
        <w:pStyle w:val="FirstParagraph"/>
      </w:pPr>
      <w:r>
        <w:rPr>
          <w:b/>
          <w:bCs/>
        </w:rPr>
        <w:t xml:space="preserve">Primary user:</w:t>
      </w:r>
      <w:r>
        <w:t xml:space="preserve"> </w:t>
      </w:r>
      <w:r>
        <w:t xml:space="preserve">a parent (or guardian) relocating within the UK, or choosing schools for an upcoming admissions round, trying to answer:</w:t>
      </w:r>
      <w:r>
        <w:t xml:space="preserve"> </w:t>
      </w:r>
      <w:r>
        <w:rPr>
          <w:i/>
          <w:iCs/>
        </w:rPr>
        <w:t xml:space="preserve">“If we live at this address, what school will my child realistically get into — and is the area somewhere we want to live?”</w:t>
      </w:r>
    </w:p>
    <w:p>
      <w:pPr>
        <w:pStyle w:val="BodyText"/>
      </w:pPr>
      <w:r>
        <w:t xml:space="preserve">Secondary users: renters evaluating areas; buyers without children assessing neighbourhood quality; property researchers; (later) estate agents and relocation agents as B2B consumers of the same data.</w:t>
      </w:r>
    </w:p>
    <w:p>
      <w:pPr>
        <w:pStyle w:val="BodyText"/>
      </w:pPr>
      <w:r>
        <w:rPr>
          <w:b/>
          <w:bCs/>
        </w:rPr>
        <w:t xml:space="preserve">Jobs to be done:</w:t>
      </w:r>
      <w:r>
        <w:t xml:space="preserve"> </w:t>
      </w:r>
      <w:r>
        <w:t xml:space="preserve">1. Find good schools near a candidate area.</w:t>
      </w:r>
      <w:r>
        <w:t xml:space="preserve"> </w:t>
      </w:r>
      <w:r>
        <w:t xml:space="preserve">2. Understand the realistic chance of admission from a specific address.</w:t>
      </w:r>
      <w:r>
        <w:t xml:space="preserve"> </w:t>
      </w:r>
      <w:r>
        <w:t xml:space="preserve">3. Compare candidate areas/schools side by side.</w:t>
      </w:r>
      <w:r>
        <w:t xml:space="preserve"> </w:t>
      </w:r>
      <w:r>
        <w:t xml:space="preserve">4. Sanity-check neighbourhood quality: safety, prices, flood risk, transport, amenities.</w:t>
      </w:r>
      <w:r>
        <w:t xml:space="preserve"> </w:t>
      </w:r>
      <w:r>
        <w:t xml:space="preserve">5. (Later) Monitor a shortlist and be alerted when data changes (new Ofsted, new admissions round, new cut-off).</w:t>
      </w:r>
    </w:p>
    <w:p>
      <w:r>
        <w:pict>
          <v:rect style="width:0;height:1.5pt" o:hralign="center" o:hrstd="t" o:hr="t"/>
        </w:pict>
      </w:r>
    </w:p>
    <w:bookmarkEnd w:id="14"/>
    <w:bookmarkStart w:id="15" w:name="product-vision-and-principles"/>
    <w:p>
      <w:pPr>
        <w:pStyle w:val="Heading2"/>
      </w:pPr>
      <w:r>
        <w:t xml:space="preserve">3. Product vision and principles</w:t>
      </w:r>
    </w:p>
    <w:p>
      <w:pPr>
        <w:pStyle w:val="FirstParagraph"/>
      </w:pPr>
      <w:r>
        <w:rPr>
          <w:b/>
          <w:bCs/>
        </w:rPr>
        <w:t xml:space="preserve">Vision statement:</w:t>
      </w:r>
      <w:r>
        <w:t xml:space="preserve"> </w:t>
      </w:r>
      <w:r>
        <w:t xml:space="preserve">The most trusted way to choose where to live and where your children learn — free, beautiful, and honest about what the data can and cannot tell you.</w:t>
      </w:r>
    </w:p>
    <w:p>
      <w:pPr>
        <w:pStyle w:val="BodyText"/>
      </w:pPr>
      <w:r>
        <w:rPr>
          <w:b/>
          <w:bCs/>
        </w:rPr>
        <w:t xml:space="preserve">Product principles: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Probability, not boundaries.</w:t>
      </w:r>
      <w:r>
        <w:t xml:space="preserve"> </w:t>
      </w:r>
      <w:r>
        <w:t xml:space="preserve">We model admission likelihood; we never draw a fake hard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Glass box.</w:t>
      </w:r>
      <w:r>
        <w:t xml:space="preserve"> </w:t>
      </w:r>
      <w:r>
        <w:t xml:space="preserve">Every data point carries source and date. Methodology is public.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Mobile-first, map-first.</w:t>
      </w:r>
      <w:r>
        <w:t xml:space="preserve"> </w:t>
      </w:r>
      <w:r>
        <w:t xml:space="preserve">The core experience works one-handed on a phone.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Stunning is the strategy.</w:t>
      </w:r>
      <w:r>
        <w:t xml:space="preserve"> </w:t>
      </w:r>
      <w:r>
        <w:t xml:space="preserve">The design quality is the moat, the marketing, and the proof of craft.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is a feature.</w:t>
      </w:r>
      <w:r>
        <w:t xml:space="preserve"> </w:t>
      </w:r>
      <w:r>
        <w:t xml:space="preserve">Sub-second interaction; static-first architecture.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forever for parents.</w:t>
      </w:r>
      <w:r>
        <w:t xml:space="preserve"> </w:t>
      </w:r>
      <w:r>
        <w:t xml:space="preserve">Revenue comes from the audience’s commercial intent, never from locking their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Uncertainty, shown well, is more useful than certainty, faked well.</w:t>
      </w:r>
      <w:r>
        <w:t xml:space="preserve"> </w:t>
      </w:r>
      <w:r>
        <w:t xml:space="preserve">“You’re on the edge — here’s your realistic backup”</w:t>
      </w:r>
      <w:r>
        <w:t xml:space="preserve"> </w:t>
      </w:r>
      <w:r>
        <w:t xml:space="preserve">beats</w:t>
      </w:r>
      <w:r>
        <w:t xml:space="preserve"> </w:t>
      </w:r>
      <w:r>
        <w:t xml:space="preserve">“you’re in the catchment.”</w:t>
      </w:r>
    </w:p>
    <w:p>
      <w:r>
        <w:pict>
          <v:rect style="width:0;height:1.5pt" o:hralign="center" o:hrstd="t" o:hr="t"/>
        </w:pict>
      </w:r>
    </w:p>
    <w:bookmarkEnd w:id="15"/>
    <w:bookmarkStart w:id="16" w:name="competitive-landscape"/>
    <w:p>
      <w:pPr>
        <w:pStyle w:val="Heading2"/>
      </w:pPr>
      <w:r>
        <w:t xml:space="preserve">4. 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Locrating</w:t>
            </w:r>
          </w:p>
        </w:tc>
        <w:tc>
          <w:tcPr/>
          <w:p>
            <w:pPr>
              <w:pStyle w:val="Compact"/>
            </w:pPr>
            <w:r>
              <w:t xml:space="preserve">Freemium (£12.99/mo)</w:t>
            </w:r>
          </w:p>
        </w:tc>
        <w:tc>
          <w:tcPr/>
          <w:p>
            <w:pPr>
              <w:pStyle w:val="Compact"/>
            </w:pPr>
            <w:r>
              <w:t xml:space="preserve">15yr data accumulation, brand, B2B plugin, extension</w:t>
            </w:r>
          </w:p>
        </w:tc>
        <w:tc>
          <w:tcPr/>
          <w:p>
            <w:pPr>
              <w:pStyle w:val="Compact"/>
            </w:pPr>
            <w:r>
              <w:t xml:space="preserve">Legacy stack, paywall, false precision, dated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SchoolGuide.co.uk</w:t>
            </w:r>
          </w:p>
        </w:tc>
        <w:tc>
          <w:tcPr/>
          <w:p>
            <w:pPr>
              <w:pStyle w:val="Compact"/>
            </w:pPr>
            <w:r>
              <w:t xml:space="preserve">Ad-supported</w:t>
            </w:r>
          </w:p>
        </w:tc>
        <w:tc>
          <w:tcPr/>
          <w:p>
            <w:pPr>
              <w:pStyle w:val="Compact"/>
            </w:pPr>
            <w:r>
              <w:t xml:space="preserve">Established SEO, school pages</w:t>
            </w:r>
          </w:p>
        </w:tc>
        <w:tc>
          <w:tcPr/>
          <w:p>
            <w:pPr>
              <w:pStyle w:val="Compact"/>
            </w:pPr>
            <w:r>
              <w:t xml:space="preserve">Cluttered, ad-heavy, weak catchment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Snobe.co.uk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Modern-ish, admissions focus</w:t>
            </w:r>
          </w:p>
        </w:tc>
        <w:tc>
          <w:tcPr/>
          <w:p>
            <w:pPr>
              <w:pStyle w:val="Compact"/>
            </w:pPr>
            <w:r>
              <w:t xml:space="preserve">Thin data depth, low brand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Schools Guide</w:t>
            </w:r>
          </w:p>
        </w:tc>
        <w:tc>
          <w:tcPr/>
          <w:p>
            <w:pPr>
              <w:pStyle w:val="Compact"/>
            </w:pPr>
            <w:r>
              <w:t xml:space="preserve">Paid editorial (££)</w:t>
            </w:r>
          </w:p>
        </w:tc>
        <w:tc>
          <w:tcPr/>
          <w:p>
            <w:pPr>
              <w:pStyle w:val="Compact"/>
            </w:pPr>
            <w:r>
              <w:t xml:space="preserve">Trusted editorial reviews</w:t>
            </w:r>
          </w:p>
        </w:tc>
        <w:tc>
          <w:tcPr/>
          <w:p>
            <w:pPr>
              <w:pStyle w:val="Compact"/>
            </w:pPr>
            <w:r>
              <w:t xml:space="preserve">Paywalled, not data/map-first, elite skew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gov.uk Compare School Performance</w:t>
            </w:r>
          </w:p>
        </w:tc>
        <w:tc>
          <w:tcPr/>
          <w:p>
            <w:pPr>
              <w:pStyle w:val="Compact"/>
            </w:pPr>
            <w:r>
              <w:t xml:space="preserve">Free official</w:t>
            </w:r>
          </w:p>
        </w:tc>
        <w:tc>
          <w:tcPr/>
          <w:p>
            <w:pPr>
              <w:pStyle w:val="Compact"/>
            </w:pPr>
            <w:r>
              <w:t xml:space="preserve">Authoritative results data</w:t>
            </w:r>
          </w:p>
        </w:tc>
        <w:tc>
          <w:tcPr/>
          <w:p>
            <w:pPr>
              <w:pStyle w:val="Compact"/>
            </w:pPr>
            <w:r>
              <w:t xml:space="preserve">Brutal UX, no catchment, no neighbourhood, no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Rightmove/Zoopla school tabs</w:t>
            </w:r>
          </w:p>
        </w:tc>
        <w:tc>
          <w:tcPr/>
          <w:p>
            <w:pPr>
              <w:pStyle w:val="Compact"/>
            </w:pPr>
            <w:r>
              <w:t xml:space="preserve">Listings-first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School data is a shallow checkbox feature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Positioning:</w:t>
      </w:r>
      <w:r>
        <w:t xml:space="preserve"> </w:t>
      </w:r>
      <w:r>
        <w:t xml:space="preserve">the design-led, free, honest-probability entrant. Not</w:t>
      </w:r>
      <w:r>
        <w:t xml:space="preserve"> </w:t>
      </w:r>
      <w:r>
        <w:t xml:space="preserve">“another school table site”</w:t>
      </w:r>
      <w:r>
        <w:t xml:space="preserve"> </w:t>
      </w:r>
      <w:r>
        <w:t xml:space="preserve">— the first product in the category that treats parents like adults.</w:t>
      </w:r>
    </w:p>
    <w:p>
      <w:r>
        <w:pict>
          <v:rect style="width:0;height:1.5pt" o:hralign="center" o:hrstd="t" o:hr="t"/>
        </w:pict>
      </w:r>
    </w:p>
    <w:bookmarkEnd w:id="16"/>
    <w:bookmarkStart w:id="22" w:name="scope-and-phasing"/>
    <w:p>
      <w:pPr>
        <w:pStyle w:val="Heading2"/>
      </w:pPr>
      <w:r>
        <w:t xml:space="preserve">5. Scope and phasing</w:t>
      </w:r>
    </w:p>
    <w:bookmarkStart w:id="17" w:name="X6cfd235d10b180f2fa6831d4701073a9a6b0b79"/>
    <w:p>
      <w:pPr>
        <w:pStyle w:val="Heading3"/>
      </w:pPr>
      <w:r>
        <w:t xml:space="preserve">Phase 0 — Validation (Weeks 1–2) —</w:t>
      </w:r>
      <w:r>
        <w:t xml:space="preserve"> </w:t>
      </w:r>
      <w:r>
        <w:rPr>
          <w:i/>
          <w:iCs/>
        </w:rPr>
        <w:t xml:space="preserve">complete/in progress</w:t>
      </w:r>
    </w:p>
    <w:p>
      <w:pPr>
        <w:pStyle w:val="Compact"/>
        <w:numPr>
          <w:ilvl w:val="0"/>
          <w:numId w:val="1004"/>
        </w:numPr>
      </w:pPr>
      <w:r>
        <w:t xml:space="preserve">Data supply probe: 9/10 sources verified live (see §7). GIAS reachable via Compare School Performance mirror; direct egress blocked from test network — pipeline to use proxy/browser fetch.</w:t>
      </w:r>
    </w:p>
    <w:p>
      <w:pPr>
        <w:pStyle w:val="Compact"/>
        <w:numPr>
          <w:ilvl w:val="0"/>
          <w:numId w:val="1004"/>
        </w:numPr>
      </w:pPr>
      <w:r>
        <w:t xml:space="preserve">Remaining: SEO keyword volume study; 5 parent interviews; LA admissions publication sampling (3 LAs).</w:t>
      </w:r>
    </w:p>
    <w:bookmarkEnd w:id="17"/>
    <w:bookmarkStart w:id="18" w:name="Xfd2aae31f28b2bacbbdec003e5c0b22115c53f3"/>
    <w:p>
      <w:pPr>
        <w:pStyle w:val="Heading3"/>
      </w:pPr>
      <w:r>
        <w:t xml:space="preserve">Phase 1 — MVP (Weeks 3–6) — Pilot region: Bath &amp; NE Somerset + Bristol</w:t>
      </w:r>
    </w:p>
    <w:p>
      <w:pPr>
        <w:pStyle w:val="FirstParagraph"/>
      </w:pPr>
      <w:r>
        <w:t xml:space="preserve">Single region, national-quality execution. Goal: prove the experience and the data pipeline, not coverage.</w:t>
      </w:r>
      <w:r>
        <w:t xml:space="preserve"> </w:t>
      </w:r>
      <w:r>
        <w:t xml:space="preserve">- Map-first school search (nursery, primary, secondary, independent)</w:t>
      </w:r>
      <w:r>
        <w:t xml:space="preserve"> </w:t>
      </w:r>
      <w:r>
        <w:t xml:space="preserve">- School pages: Ofsted, results history, admissions data, pupil profile, contact</w:t>
      </w:r>
      <w:r>
        <w:t xml:space="preserve"> </w:t>
      </w:r>
      <w:r>
        <w:t xml:space="preserve">- Neighbourhood layers: crime, sold prices, deprivation, flood, transport stops</w:t>
      </w:r>
      <w:r>
        <w:t xml:space="preserve"> </w:t>
      </w:r>
      <w:r>
        <w:t xml:space="preserve">- Catchment v1: historical last-distance-offered display with honest labelling (</w:t>
      </w:r>
      <w:r>
        <w:t xml:space="preserve">“Typical offer zone — estimated from N years of admissions”</w:t>
      </w:r>
      <w:r>
        <w:t xml:space="preserve">)</w:t>
      </w:r>
      <w:r>
        <w:t xml:space="preserve"> </w:t>
      </w:r>
      <w:r>
        <w:t xml:space="preserve">- Source-and-date stamping on every data point (glass box v1)</w:t>
      </w:r>
      <w:r>
        <w:t xml:space="preserve"> </w:t>
      </w:r>
      <w:r>
        <w:t xml:space="preserve">- Programmatic pages live for pilot region (schools, postcodes, towns)</w:t>
      </w:r>
      <w:r>
        <w:t xml:space="preserve"> </w:t>
      </w:r>
      <w:r>
        <w:t xml:space="preserve">- Design system v1 (tokens, components, map styles)</w:t>
      </w:r>
    </w:p>
    <w:bookmarkEnd w:id="18"/>
    <w:bookmarkStart w:id="19" w:name="phase-2-national-v1-weeks-714"/>
    <w:p>
      <w:pPr>
        <w:pStyle w:val="Heading3"/>
      </w:pPr>
      <w:r>
        <w:t xml:space="preserve">Phase 2 — National v1 (Weeks 7–14)</w:t>
      </w:r>
    </w:p>
    <w:p>
      <w:pPr>
        <w:pStyle w:val="Compact"/>
        <w:numPr>
          <w:ilvl w:val="0"/>
          <w:numId w:val="1005"/>
        </w:numPr>
      </w:pPr>
      <w:r>
        <w:t xml:space="preserve">National data pipeline: ingest, normalise, schedule, monitor (all sources §7)</w:t>
      </w:r>
    </w:p>
    <w:p>
      <w:pPr>
        <w:pStyle w:val="Compact"/>
        <w:numPr>
          <w:ilvl w:val="0"/>
          <w:numId w:val="1005"/>
        </w:numPr>
      </w:pPr>
      <w:r>
        <w:t xml:space="preserve">Programmatic SEO at scale (~25k school pages, ~30k postcode-district/town pages)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Admission Likelihood Engine v1</w:t>
      </w:r>
      <w:r>
        <w:t xml:space="preserve"> </w:t>
      </w:r>
      <w:r>
        <w:t xml:space="preserve">(§6.3)</w:t>
      </w:r>
    </w:p>
    <w:p>
      <w:pPr>
        <w:pStyle w:val="Compact"/>
        <w:numPr>
          <w:ilvl w:val="0"/>
          <w:numId w:val="1005"/>
        </w:numPr>
      </w:pPr>
      <w:r>
        <w:t xml:space="preserve">Comparison tool (up to 4 schools/areas side by side)</w:t>
      </w:r>
    </w:p>
    <w:p>
      <w:pPr>
        <w:pStyle w:val="Compact"/>
        <w:numPr>
          <w:ilvl w:val="0"/>
          <w:numId w:val="1005"/>
        </w:numPr>
      </w:pPr>
      <w:r>
        <w:t xml:space="preserve">Lead-gen monetisation test (one affiliate vertical: conveyancing or broadband)</w:t>
      </w:r>
    </w:p>
    <w:p>
      <w:pPr>
        <w:pStyle w:val="Compact"/>
        <w:numPr>
          <w:ilvl w:val="0"/>
          <w:numId w:val="1005"/>
        </w:numPr>
      </w:pPr>
      <w:r>
        <w:t xml:space="preserve">Performance/SEO hardening; schema.org markup; sitemaps</w:t>
      </w:r>
    </w:p>
    <w:bookmarkEnd w:id="19"/>
    <w:bookmarkStart w:id="20" w:name="phase-3-v2-months-46"/>
    <w:p>
      <w:pPr>
        <w:pStyle w:val="Heading3"/>
      </w:pPr>
      <w:r>
        <w:t xml:space="preserve">Phase 3 — v2 (Months 4–6)</w:t>
      </w:r>
    </w:p>
    <w:p>
      <w:pPr>
        <w:pStyle w:val="Compact"/>
        <w:numPr>
          <w:ilvl w:val="0"/>
          <w:numId w:val="1006"/>
        </w:numPr>
      </w:pPr>
      <w:r>
        <w:t xml:space="preserve">Browser extension (Manifest V3): overlay Prospectus data on Rightmove/Zoopla/OnTheMarket listing pages — the flanking move that neutralises Locrating’s extension without a listings licence</w:t>
      </w:r>
    </w:p>
    <w:p>
      <w:pPr>
        <w:pStyle w:val="Compact"/>
        <w:numPr>
          <w:ilvl w:val="0"/>
          <w:numId w:val="1006"/>
        </w:numPr>
      </w:pPr>
      <w:r>
        <w:t xml:space="preserve">Accounts: saved addresses, shortlists, alerts (new Ofsted result, new admissions round, cut-off movement)</w:t>
      </w:r>
    </w:p>
    <w:p>
      <w:pPr>
        <w:pStyle w:val="Compact"/>
        <w:numPr>
          <w:ilvl w:val="0"/>
          <w:numId w:val="1006"/>
        </w:numPr>
      </w:pPr>
      <w:r>
        <w:t xml:space="preserve">Probability backtesting dashboard (our accuracy, published — the glass box applied to ourselves)</w:t>
      </w:r>
    </w:p>
    <w:p>
      <w:pPr>
        <w:pStyle w:val="Compact"/>
        <w:numPr>
          <w:ilvl w:val="0"/>
          <w:numId w:val="1006"/>
        </w:numPr>
      </w:pPr>
      <w:r>
        <w:t xml:space="preserve">Monetisation scale-up: removals, mortgage, broadband; tasteful display ads</w:t>
      </w:r>
    </w:p>
    <w:p>
      <w:pPr>
        <w:pStyle w:val="Compact"/>
        <w:numPr>
          <w:ilvl w:val="0"/>
          <w:numId w:val="1006"/>
        </w:numPr>
      </w:pPr>
      <w:r>
        <w:t xml:space="preserve">Month-6 portfolio decision per the Studio Plan:</w:t>
      </w:r>
      <w:r>
        <w:t xml:space="preserve"> </w:t>
      </w:r>
      <w:r>
        <w:rPr>
          <w:b/>
          <w:bCs/>
        </w:rPr>
        <w:t xml:space="preserve">kill / maintain / double down</w:t>
      </w:r>
    </w:p>
    <w:bookmarkEnd w:id="20"/>
    <w:bookmarkStart w:id="21" w:name="explicitly-out-of-scope-v1"/>
    <w:p>
      <w:pPr>
        <w:pStyle w:val="Heading3"/>
      </w:pPr>
      <w:r>
        <w:t xml:space="preserve">Explicitly out of scope (v1)</w:t>
      </w:r>
    </w:p>
    <w:p>
      <w:pPr>
        <w:pStyle w:val="Compact"/>
        <w:numPr>
          <w:ilvl w:val="0"/>
          <w:numId w:val="1007"/>
        </w:numPr>
      </w:pPr>
      <w:r>
        <w:t xml:space="preserve">Property listings aggregation (licensing wall; the extension solves user-side)</w:t>
      </w:r>
    </w:p>
    <w:p>
      <w:pPr>
        <w:pStyle w:val="Compact"/>
        <w:numPr>
          <w:ilvl w:val="0"/>
          <w:numId w:val="1007"/>
        </w:numPr>
      </w:pPr>
      <w:r>
        <w:t xml:space="preserve">Parent reviews/UGC (cold-start trap; revisit month 6+)</w:t>
      </w:r>
    </w:p>
    <w:p>
      <w:pPr>
        <w:pStyle w:val="Compact"/>
        <w:numPr>
          <w:ilvl w:val="0"/>
          <w:numId w:val="1007"/>
        </w:numPr>
      </w:pPr>
      <w:r>
        <w:t xml:space="preserve">B2B estate-agent plugin (Phase 4+; consumer traction first)</w:t>
      </w:r>
    </w:p>
    <w:p>
      <w:pPr>
        <w:pStyle w:val="Compact"/>
        <w:numPr>
          <w:ilvl w:val="0"/>
          <w:numId w:val="1007"/>
        </w:numPr>
      </w:pPr>
      <w:r>
        <w:t xml:space="preserve">Scotland/Wales/NI admissions nuance beyond data display (England-first methodology)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feature-requirements"/>
    <w:p>
      <w:pPr>
        <w:pStyle w:val="Heading2"/>
      </w:pPr>
      <w:r>
        <w:t xml:space="preserve">6. Feature requirements</w:t>
      </w:r>
    </w:p>
    <w:bookmarkStart w:id="23" w:name="core-experience"/>
    <w:p>
      <w:pPr>
        <w:pStyle w:val="Heading3"/>
      </w:pPr>
      <w:r>
        <w:t xml:space="preserve">6.1 Core experience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postcode, town, school name,</w:t>
      </w:r>
      <w:r>
        <w:t xml:space="preserve"> </w:t>
      </w:r>
      <w:r>
        <w:t xml:space="preserve">“near me”</w:t>
      </w:r>
      <w:r>
        <w:t xml:space="preserve">; instant, typo-tolerant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MapLibre GL; school pins with rating/phase encoding; layer toggles (crime, prices, flood, deprivation, transport); the signature</w:t>
      </w:r>
      <w:r>
        <w:t xml:space="preserve"> </w:t>
      </w:r>
      <w:r>
        <w:rPr>
          <w:b/>
          <w:bCs/>
        </w:rPr>
        <w:t xml:space="preserve">confidence gradient</w:t>
      </w:r>
      <w:r>
        <w:t xml:space="preserve"> </w:t>
      </w:r>
      <w:r>
        <w:t xml:space="preserve">overlay for admission zones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School page:</w:t>
      </w:r>
      <w:r>
        <w:t xml:space="preserve"> </w:t>
      </w:r>
      <w:r>
        <w:t xml:space="preserve">identity (phase, type, faith, academy trust), Ofsted history + report link, results trend (KS2/GCSE/A-level as applicable), admissions (places, applications, oversubscription ratio, last-distance history), pupil profile, sibling/feeder info, neighbourhood panel, similar schools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Area page (postcode/town):</w:t>
      </w:r>
      <w:r>
        <w:t xml:space="preserve"> </w:t>
      </w:r>
      <w:r>
        <w:t xml:space="preserve">schools summary, price trends, crime profile, flood risk, deprivation context, transport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side-by-side across any metrics; shareable URL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“Generate report”</w:t>
      </w:r>
      <w:r>
        <w:t xml:space="preserve"> </w:t>
      </w:r>
      <w:r>
        <w:t xml:space="preserve">equivalent — a beautiful, printable area/school brief (free; our answer to their locked feature)</w:t>
      </w:r>
    </w:p>
    <w:bookmarkEnd w:id="23"/>
    <w:bookmarkStart w:id="24" w:name="the-honest-catchment-v1"/>
    <w:p>
      <w:pPr>
        <w:pStyle w:val="Heading3"/>
      </w:pPr>
      <w:r>
        <w:t xml:space="preserve">6.2 The honest catchment (v1)</w:t>
      </w:r>
    </w:p>
    <w:p>
      <w:pPr>
        <w:pStyle w:val="Compact"/>
        <w:numPr>
          <w:ilvl w:val="0"/>
          <w:numId w:val="1009"/>
        </w:numPr>
      </w:pPr>
      <w:r>
        <w:t xml:space="preserve">Display historical last-distance-offered per school across available years as a</w:t>
      </w:r>
      <w:r>
        <w:t xml:space="preserve"> </w:t>
      </w:r>
      <w:r>
        <w:rPr>
          <w:b/>
          <w:bCs/>
        </w:rPr>
        <w:t xml:space="preserve">volatility band</w:t>
      </w:r>
      <w:r>
        <w:t xml:space="preserve">, not a boundary line</w:t>
      </w:r>
    </w:p>
    <w:p>
      <w:pPr>
        <w:pStyle w:val="Compact"/>
        <w:numPr>
          <w:ilvl w:val="0"/>
          <w:numId w:val="1009"/>
        </w:numPr>
      </w:pPr>
      <w:r>
        <w:t xml:space="preserve">Label every admission-zone visual:</w:t>
      </w:r>
      <w:r>
        <w:t xml:space="preserve"> </w:t>
      </w:r>
      <w:r>
        <w:rPr>
          <w:i/>
          <w:iCs/>
        </w:rPr>
        <w:t xml:space="preserve">“Estimated from N years of admissions data (20XX–20XX). Source: [LA allocation statement / DfE / FOI]. Catchments move annually — this is a guide, not a guarantee.”</w:t>
      </w:r>
    </w:p>
    <w:p>
      <w:pPr>
        <w:pStyle w:val="Compact"/>
        <w:numPr>
          <w:ilvl w:val="0"/>
          <w:numId w:val="1009"/>
        </w:numPr>
      </w:pPr>
      <w:r>
        <w:t xml:space="preserve">Distinguish and display criteria type per school: defined catchment / distance-based / faith / feeder / banding — with the actual policy text attached</w:t>
      </w:r>
    </w:p>
    <w:p>
      <w:pPr>
        <w:pStyle w:val="Compact"/>
        <w:numPr>
          <w:ilvl w:val="0"/>
          <w:numId w:val="1009"/>
        </w:numPr>
      </w:pPr>
      <w:r>
        <w:t xml:space="preserve">Straight-line and walking-route distances both shown and labelled (the incumbent’s documented failure)</w:t>
      </w:r>
    </w:p>
    <w:p>
      <w:pPr>
        <w:pStyle w:val="Compact"/>
        <w:numPr>
          <w:ilvl w:val="0"/>
          <w:numId w:val="1009"/>
        </w:numPr>
      </w:pPr>
      <w:r>
        <w:t xml:space="preserve">Confidence chip per school: High / Medium / Low, derived from years of data, volatility, criteria type</w:t>
      </w:r>
    </w:p>
    <w:bookmarkEnd w:id="24"/>
    <w:bookmarkStart w:id="25" w:name="admission-likelihood-engine-v1.5"/>
    <w:p>
      <w:pPr>
        <w:pStyle w:val="Heading3"/>
      </w:pPr>
      <w:r>
        <w:t xml:space="preserve">6.3 Admission Likelihood Engine (v1.5)</w:t>
      </w:r>
    </w:p>
    <w:p>
      <w:pPr>
        <w:pStyle w:val="FirstParagraph"/>
      </w:pPr>
      <w:r>
        <w:t xml:space="preserve">Per address × school: a probability band with stated confidence.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Inputs:</w:t>
      </w:r>
      <w:r>
        <w:t xml:space="preserve"> </w:t>
      </w:r>
      <w:r>
        <w:t xml:space="preserve">last-distance history (trend + volatility), criteria type, oversubscription ratio, birth-cohort pressure (ONS births by LSOA, 4–5yr forward visibility), housing-development pipeline (planning data), distance from school (both modes)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“Strong chance / Likely / Borderline / Unlikely”</w:t>
      </w:r>
      <w:r>
        <w:t xml:space="preserve"> </w:t>
      </w:r>
      <w:r>
        <w:t xml:space="preserve">with the reasoning shown in plain English — never a naked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Backtesting:</w:t>
      </w:r>
      <w:r>
        <w:t xml:space="preserve"> </w:t>
      </w:r>
      <w:r>
        <w:t xml:space="preserve">score engine predictions against known historical outcomes; publish accuracy. The glass box applies to ourselves.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Principle:</w:t>
      </w:r>
      <w:r>
        <w:t xml:space="preserve"> </w:t>
      </w:r>
      <w:r>
        <w:t xml:space="preserve">we sell calibrated honesty. A 60% that means 60%.</w:t>
      </w:r>
    </w:p>
    <w:bookmarkEnd w:id="25"/>
    <w:bookmarkStart w:id="26" w:name="browser-extension-v2"/>
    <w:p>
      <w:pPr>
        <w:pStyle w:val="Heading3"/>
      </w:pPr>
      <w:r>
        <w:t xml:space="preserve">6.4 Browser extension (v2)</w:t>
      </w:r>
    </w:p>
    <w:p>
      <w:pPr>
        <w:pStyle w:val="Compact"/>
        <w:numPr>
          <w:ilvl w:val="0"/>
          <w:numId w:val="1010"/>
        </w:numPr>
      </w:pPr>
      <w:r>
        <w:t xml:space="preserve">Overlay school/admission/neighbourhood data on Rightmove, Zoopla, OnTheMarket listing pages</w:t>
      </w:r>
    </w:p>
    <w:p>
      <w:pPr>
        <w:pStyle w:val="Compact"/>
        <w:numPr>
          <w:ilvl w:val="0"/>
          <w:numId w:val="1010"/>
        </w:numPr>
      </w:pPr>
      <w:r>
        <w:t xml:space="preserve">User-side rendering; no listings feed licence required (same mechanism as Locrating’s extension)</w:t>
      </w:r>
    </w:p>
    <w:p>
      <w:pPr>
        <w:pStyle w:val="Compact"/>
        <w:numPr>
          <w:ilvl w:val="0"/>
          <w:numId w:val="1010"/>
        </w:numPr>
      </w:pPr>
      <w:r>
        <w:t xml:space="preserve">Manifest V3; React; shared design system; Chrome first, Firefox/Safari after</w:t>
      </w:r>
    </w:p>
    <w:bookmarkEnd w:id="26"/>
    <w:bookmarkStart w:id="27" w:name="monetisation-surfaces-phase-2"/>
    <w:p>
      <w:pPr>
        <w:pStyle w:val="Heading3"/>
      </w:pPr>
      <w:r>
        <w:t xml:space="preserve">6.5 Monetisation surfaces (Phase 2+)</w:t>
      </w:r>
    </w:p>
    <w:p>
      <w:pPr>
        <w:pStyle w:val="Compact"/>
        <w:numPr>
          <w:ilvl w:val="0"/>
          <w:numId w:val="1011"/>
        </w:numPr>
      </w:pPr>
      <w:r>
        <w:t xml:space="preserve">Contextual lead-gen modules: conveyancing quotes, mortgage check, removals, broadband — placed at high-intent moments (area page, report, shortlist)</w:t>
      </w:r>
    </w:p>
    <w:p>
      <w:pPr>
        <w:pStyle w:val="Compact"/>
        <w:numPr>
          <w:ilvl w:val="0"/>
          <w:numId w:val="1011"/>
        </w:numPr>
      </w:pPr>
      <w:r>
        <w:t xml:space="preserve">Display advertising: tasteful, capped density, never on school data itself</w:t>
      </w:r>
    </w:p>
    <w:p>
      <w:pPr>
        <w:pStyle w:val="Compact"/>
        <w:numPr>
          <w:ilvl w:val="0"/>
          <w:numId w:val="1011"/>
        </w:numPr>
      </w:pPr>
      <w:r>
        <w:t xml:space="preserve">(Later, Phase 4) B2B: estate-agent data widgets; API access to the normalised dataset</w:t>
      </w:r>
    </w:p>
    <w:p>
      <w:pPr>
        <w:pStyle w:val="Compact"/>
        <w:numPr>
          <w:ilvl w:val="0"/>
          <w:numId w:val="1011"/>
        </w:numPr>
      </w:pPr>
      <w:r>
        <w:t xml:space="preserve">Never: locking parent-facing school/catchment data behind payment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-sources-and-pipeline"/>
    <w:p>
      <w:pPr>
        <w:pStyle w:val="Heading2"/>
      </w:pPr>
      <w:r>
        <w:t xml:space="preserve">7. Data sources and pipeline</w:t>
      </w:r>
    </w:p>
    <w:p>
      <w:pPr>
        <w:pStyle w:val="FirstParagraph"/>
      </w:pPr>
      <w:r>
        <w:t xml:space="preserve">All sources probed 1 August 2026. Licence: Open Government Licence unless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</w:p>
        </w:tc>
        <w:tc>
          <w:tcPr/>
          <w:p>
            <w:pPr>
              <w:pStyle w:val="Compact"/>
            </w:pPr>
            <w:r>
              <w:t xml:space="preserve">Status (1 Aug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DfE Get Information About Schools (GIAS)</w:t>
            </w:r>
          </w:p>
        </w:tc>
        <w:tc>
          <w:tcPr/>
          <w:p>
            <w:pPr>
              <w:pStyle w:val="Compact"/>
            </w:pPr>
            <w:r>
              <w:t xml:space="preserve">Full school register: identity, type, phase, trust, contacts</w:t>
            </w:r>
          </w:p>
        </w:tc>
        <w:tc>
          <w:tcPr/>
          <w:p>
            <w:pPr>
              <w:pStyle w:val="Compact"/>
            </w:pPr>
            <w:r>
              <w:t xml:space="preserve">Service live; direct egress blocked from test network — fetch via proxy/browser; mirrored in CSP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DfE Compare School Performance downloads</w:t>
            </w:r>
          </w:p>
        </w:tc>
        <w:tc>
          <w:tcPr/>
          <w:p>
            <w:pPr>
              <w:pStyle w:val="Compact"/>
            </w:pPr>
            <w:r>
              <w:t xml:space="preserve">KS2/GCSE/A-level results, pupil profile, absence</w:t>
            </w:r>
          </w:p>
        </w:tc>
        <w:tc>
          <w:tcPr/>
          <w:p>
            <w:pPr>
              <w:pStyle w:val="Compact"/>
            </w:pPr>
            <w:r>
              <w:t xml:space="preserve">✅ HTTP 200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Ofsted official statistics (maintained schools &amp; academies inspections and outcomes collection)</w:t>
            </w:r>
          </w:p>
        </w:tc>
        <w:tc>
          <w:tcPr/>
          <w:p>
            <w:pPr>
              <w:pStyle w:val="Compact"/>
            </w:pPr>
            <w:r>
              <w:t xml:space="preserve">Inspection outcomes history</w:t>
            </w:r>
          </w:p>
        </w:tc>
        <w:tc>
          <w:tcPr/>
          <w:p>
            <w:pPr>
              <w:pStyle w:val="Compact"/>
            </w:pPr>
            <w:r>
              <w:t xml:space="preserve">✅ HTTP 200 verified (note: Ofsted transitioning from single-word grades to report cards — pipeline must handle both eras)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Police.uk API</w:t>
            </w:r>
          </w:p>
        </w:tc>
        <w:tc>
          <w:tcPr/>
          <w:p>
            <w:pPr>
              <w:pStyle w:val="Compact"/>
            </w:pPr>
            <w:r>
              <w:t xml:space="preserve">Street-level crime</w:t>
            </w:r>
          </w:p>
        </w:tc>
        <w:tc>
          <w:tcPr/>
          <w:p>
            <w:pPr>
              <w:pStyle w:val="Compact"/>
            </w:pPr>
            <w:r>
              <w:t xml:space="preserve">✅ JSON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Postcodes.io</w:t>
            </w:r>
          </w:p>
        </w:tc>
        <w:tc>
          <w:tcPr/>
          <w:p>
            <w:pPr>
              <w:pStyle w:val="Compact"/>
            </w:pPr>
            <w:r>
              <w:t xml:space="preserve">Geocoding, admin geography, LSOA lookup</w:t>
            </w:r>
          </w:p>
        </w:tc>
        <w:tc>
          <w:tcPr/>
          <w:p>
            <w:pPr>
              <w:pStyle w:val="Compact"/>
            </w:pPr>
            <w:r>
              <w:t xml:space="preserve">✅ JSON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Agency Flood Monitoring API</w:t>
            </w:r>
          </w:p>
        </w:tc>
        <w:tc>
          <w:tcPr/>
          <w:p>
            <w:pPr>
              <w:pStyle w:val="Compact"/>
            </w:pPr>
            <w:r>
              <w:t xml:space="preserve">Flood warnings/areas (OGL confirmed in payload)</w:t>
            </w:r>
          </w:p>
        </w:tc>
        <w:tc>
          <w:tcPr/>
          <w:p>
            <w:pPr>
              <w:pStyle w:val="Compact"/>
            </w:pPr>
            <w:r>
              <w:t xml:space="preserve">✅ JSON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Registry Price Paid</w:t>
            </w:r>
          </w:p>
        </w:tc>
        <w:tc>
          <w:tcPr/>
          <w:p>
            <w:pPr>
              <w:pStyle w:val="Compact"/>
            </w:pPr>
            <w:r>
              <w:t xml:space="preserve">Every residential sale since 1995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NOMIS API (ONS)</w:t>
            </w:r>
          </w:p>
        </w:tc>
        <w:tc>
          <w:tcPr/>
          <w:p>
            <w:pPr>
              <w:pStyle w:val="Compact"/>
            </w:pPr>
            <w:r>
              <w:t xml:space="preserve">Birth registrations by area (forward demand modelling), census</w:t>
            </w:r>
          </w:p>
        </w:tc>
        <w:tc>
          <w:tcPr/>
          <w:p>
            <w:pPr>
              <w:pStyle w:val="Compact"/>
            </w:pPr>
            <w:r>
              <w:t xml:space="preserve">✅ API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NaPTAN (DfT)</w:t>
            </w:r>
          </w:p>
        </w:tc>
        <w:tc>
          <w:tcPr/>
          <w:p>
            <w:pPr>
              <w:pStyle w:val="Compact"/>
            </w:pPr>
            <w:r>
              <w:t xml:space="preserve">All UK transport stops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allocation statements / school admissions booklets</w:t>
            </w:r>
          </w:p>
        </w:tc>
        <w:tc>
          <w:tcPr/>
          <w:p>
            <w:pPr>
              <w:pStyle w:val="Compact"/>
            </w:pPr>
            <w:r>
              <w:t xml:space="preserve">Last-distance-offered, places, applications</w:t>
            </w:r>
          </w:p>
        </w:tc>
        <w:tc>
          <w:tcPr/>
          <w:p>
            <w:pPr>
              <w:pStyle w:val="Compact"/>
            </w:pPr>
            <w:r>
              <w:t xml:space="preserve">Public but fragmented; quality varies by LA; FOI fills gaps (WhatDoTheyKnow corpus exists; browser-only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Ofcom Connected Nations</w:t>
            </w:r>
          </w:p>
        </w:tc>
        <w:tc>
          <w:tcPr/>
          <w:p>
            <w:pPr>
              <w:pStyle w:val="Compact"/>
            </w:pPr>
            <w:r>
              <w:t xml:space="preserve">Broadband speeds by postcode</w:t>
            </w:r>
          </w:p>
        </w:tc>
        <w:tc>
          <w:tcPr/>
          <w:p>
            <w:pPr>
              <w:pStyle w:val="Compact"/>
            </w:pPr>
            <w:r>
              <w:t xml:space="preserve">Public download (not re-probed)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portals / Glenigan-style aggregates</w:t>
            </w:r>
          </w:p>
        </w:tc>
        <w:tc>
          <w:tcPr/>
          <w:p>
            <w:pPr>
              <w:pStyle w:val="Compact"/>
            </w:pPr>
            <w:r>
              <w:t xml:space="preserve">New housing pipeline</w:t>
            </w:r>
          </w:p>
        </w:tc>
        <w:tc>
          <w:tcPr/>
          <w:p>
            <w:pPr>
              <w:pStyle w:val="Compact"/>
            </w:pPr>
            <w:r>
              <w:t xml:space="preserve">Fragmented; Phase 3 concern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Pipeline architecture:</w:t>
      </w:r>
      <w:r>
        <w:t xml:space="preserve"> </w:t>
      </w:r>
      <w:r>
        <w:t xml:space="preserve">Python ingestion jobs (scheduled, per-source) → raw store → normalisation layer → PostGIS (Supabase or Neon) → static JSON/API generation for frontend. Per-source freshness monitors; failed-source alerts. Data is versioned so every figure on the site can carry</w:t>
      </w:r>
      <w:r>
        <w:t xml:space="preserve"> </w:t>
      </w:r>
      <w:r>
        <w:t xml:space="preserve">“as of”</w:t>
      </w:r>
      <w:r>
        <w:t xml:space="preserve"> </w:t>
      </w:r>
      <w:r>
        <w:t xml:space="preserve">provenance.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and-stack"/>
    <w:p>
      <w:pPr>
        <w:pStyle w:val="Heading2"/>
      </w:pPr>
      <w:r>
        <w:t xml:space="preserve">8. Architecture and stack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(App Router, RSC), TypeScript, Tailwind CSS + shadcn/ui, static-first with ISR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MapLibre GL + OpenFreeMap tiles (no Mapbox bill; self-host option at scale)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PostgreSQL/PostGIS (Supabase or Neon); Python pipelines (scheduled); Redis/Upstash if needed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Postgres FTS initially; Typesense when volume demands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Vercel (frontend) + Cloudflare (DNS/CDN) + Supabase/Neon (data). Estimated infra cost:</w:t>
      </w:r>
      <w:r>
        <w:t xml:space="preserve"> </w:t>
      </w:r>
      <w:r>
        <w:rPr>
          <w:b/>
          <w:bCs/>
        </w:rPr>
        <w:t xml:space="preserve">£0–100/month</w:t>
      </w:r>
      <w:r>
        <w:t xml:space="preserve"> </w:t>
      </w:r>
      <w:r>
        <w:t xml:space="preserve">through year 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 (v2):</w:t>
      </w:r>
      <w:r>
        <w:t xml:space="preserve"> </w:t>
      </w:r>
      <w:r>
        <w:t xml:space="preserve">Manifest V3, React, shared tokens/components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privacy-respecting (Plausible/Umami) + Search Console; no dark patterns</w:t>
      </w:r>
    </w:p>
    <w:p>
      <w:r>
        <w:pict>
          <v:rect style="width:0;height:1.5pt" o:hralign="center" o:hrstd="t" o:hr="t"/>
        </w:pict>
      </w:r>
    </w:p>
    <w:bookmarkEnd w:id="30"/>
    <w:bookmarkStart w:id="31" w:name="design-direction"/>
    <w:p>
      <w:pPr>
        <w:pStyle w:val="Heading2"/>
      </w:pPr>
      <w:r>
        <w:t xml:space="preserve">9. Design direction</w:t>
      </w:r>
    </w:p>
    <w:p>
      <w:pPr>
        <w:pStyle w:val="FirstParagraph"/>
      </w:pPr>
      <w:r>
        <w:t xml:space="preserve">The product must look like the future of the category, not a better version of the past.</w:t>
      </w:r>
    </w:p>
    <w:p>
      <w:pPr>
        <w:pStyle w:val="BodyText"/>
      </w:pPr>
      <w:r>
        <w:rPr>
          <w:b/>
          <w:bCs/>
        </w:rPr>
        <w:t xml:space="preserve">Direction:</w:t>
      </w:r>
      <w:r>
        <w:t xml:space="preserve"> </w:t>
      </w:r>
      <w:r>
        <w:t xml:space="preserve">calm, typography-led data design; Linear/Stripe-grade restraint applied to public information. Light-first theme (parent demographic = trust, print-friendly) with a first-class dark mode from day one — both driven by one token system. Mobile-first; the map is the home screen.</w:t>
      </w:r>
    </w:p>
    <w:p>
      <w:pPr>
        <w:pStyle w:val="BodyText"/>
      </w:pPr>
      <w:r>
        <w:rPr>
          <w:b/>
          <w:bCs/>
        </w:rPr>
        <w:t xml:space="preserve">Signature elements: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confidence gradient</w:t>
      </w:r>
      <w:r>
        <w:t xml:space="preserve"> </w:t>
      </w:r>
      <w:r>
        <w:t xml:space="preserve">— admission zones rendered as fading probability washes, never hard polygons. The visual language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brand.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Glass-box provenance</w:t>
      </w:r>
      <w:r>
        <w:t xml:space="preserve"> </w:t>
      </w:r>
      <w:r>
        <w:t xml:space="preserve">— source + date chips on every figure; methodology pages linked inline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typography</w:t>
      </w:r>
      <w:r>
        <w:t xml:space="preserve"> </w:t>
      </w:r>
      <w:r>
        <w:t xml:space="preserve">— tabular numerals, honest empty states, trend sparklines everywhere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Motion discipline</w:t>
      </w:r>
      <w:r>
        <w:t xml:space="preserve"> </w:t>
      </w:r>
      <w:r>
        <w:t xml:space="preserve">— motion communicates state change and causality only (per the fintech-plan motion principles); nothing playful near a high-stakes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 system as artifact</w:t>
      </w:r>
      <w:r>
        <w:t xml:space="preserve"> </w:t>
      </w:r>
      <w:r>
        <w:t xml:space="preserve">— tokens, components and map styles documented publicly; the system itself is portfolio evidence of the founder’s craft (feeds the distribution goal of the Studio Plan)</w:t>
      </w:r>
    </w:p>
    <w:p>
      <w:pPr>
        <w:pStyle w:val="BodyText"/>
      </w:pPr>
      <w:r>
        <w:t xml:space="preserve">Accessibility: WCAG 2.2 AA target; reduced-motion variants; the confidence gradient must also be readable in pattern/label form.</w:t>
      </w:r>
    </w:p>
    <w:p>
      <w:r>
        <w:pict>
          <v:rect style="width:0;height:1.5pt" o:hralign="center" o:hrstd="t" o:hr="t"/>
        </w:pict>
      </w:r>
    </w:p>
    <w:bookmarkEnd w:id="31"/>
    <w:bookmarkStart w:id="32" w:name="seo-and-distribution"/>
    <w:p>
      <w:pPr>
        <w:pStyle w:val="Heading2"/>
      </w:pPr>
      <w:r>
        <w:t xml:space="preserve">10. SEO and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Programmatic pages:</w:t>
      </w:r>
      <w:r>
        <w:t xml:space="preserve"> </w:t>
      </w:r>
      <w:r>
        <w:t xml:space="preserve">every school (~25k), postcode district, town, and</w:t>
      </w:r>
      <w:r>
        <w:t xml:space="preserve"> </w:t>
      </w:r>
      <w:r>
        <w:t xml:space="preserve">“best schools in X”</w:t>
      </w:r>
      <w:r>
        <w:t xml:space="preserve"> </w:t>
      </w:r>
      <w:r>
        <w:t xml:space="preserve">comparison — indexable, sub-second, schema.org (School, Place, FAQPage) markup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Long-tail thesis:</w:t>
      </w:r>
      <w:r>
        <w:t xml:space="preserve"> </w:t>
      </w:r>
      <w:r>
        <w:t xml:space="preserve">“school name + admissions”</w:t>
      </w:r>
      <w:r>
        <w:t xml:space="preserve">,</w:t>
      </w:r>
      <w:r>
        <w:t xml:space="preserve"> </w:t>
      </w:r>
      <w:r>
        <w:t xml:space="preserve">“postcode + schools”</w:t>
      </w:r>
      <w:r>
        <w:t xml:space="preserve">,</w:t>
      </w:r>
      <w:r>
        <w:t xml:space="preserve"> </w:t>
      </w:r>
      <w:r>
        <w:t xml:space="preserve">“town + catchment”</w:t>
      </w:r>
      <w:r>
        <w:t xml:space="preserve"> </w:t>
      </w:r>
      <w:r>
        <w:t xml:space="preserve">— the bustimes pattern applied to education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methodology essays, catchment-myth explainers, annual</w:t>
      </w:r>
      <w:r>
        <w:t xml:space="preserve"> </w:t>
      </w:r>
      <w:r>
        <w:t xml:space="preserve">“state of admissions”</w:t>
      </w:r>
      <w:r>
        <w:t xml:space="preserve"> </w:t>
      </w:r>
      <w:r>
        <w:t xml:space="preserve">data reports — distribution that reinforces the honesty brand (per Studio Plan: content as distribution, not product)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Communities:</w:t>
      </w:r>
      <w:r>
        <w:t xml:space="preserve"> </w:t>
      </w:r>
      <w:r>
        <w:t xml:space="preserve">Mumsnet, Reddit (r/UKParenting), Facebook relocation groups — the founder answers questions with data, never spams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Realistic expectation:</w:t>
      </w:r>
      <w:r>
        <w:t xml:space="preserve"> </w:t>
      </w:r>
      <w:r>
        <w:t xml:space="preserve">12–18 months to meaningful organic volume against a 15-year domain. Engagement-quality and long-tail coverage are the wedge.</w:t>
      </w:r>
    </w:p>
    <w:p>
      <w:r>
        <w:pict>
          <v:rect style="width:0;height:1.5pt" o:hralign="center" o:hrstd="t" o:hr="t"/>
        </w:pict>
      </w:r>
    </w:p>
    <w:bookmarkEnd w:id="32"/>
    <w:bookmarkStart w:id="33" w:name="monetisation-economics"/>
    <w:p>
      <w:pPr>
        <w:pStyle w:val="Heading2"/>
      </w:pPr>
      <w:r>
        <w:t xml:space="preserve">11. Monetisation economics</w:t>
      </w:r>
    </w:p>
    <w:p>
      <w:pPr>
        <w:pStyle w:val="FirstParagraph"/>
      </w:pPr>
      <w:r>
        <w:t xml:space="preserve">Audience = people actively moving house — among the highest-intent lead-gen audiences in the UK.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Indicative value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Conveyancing leads</w:t>
            </w:r>
          </w:p>
        </w:tc>
        <w:tc>
          <w:tcPr/>
          <w:p>
            <w:pPr>
              <w:pStyle w:val="Compact"/>
            </w:pPr>
            <w:r>
              <w:t xml:space="preserve">£10–30/lead</w:t>
            </w:r>
          </w:p>
        </w:tc>
        <w:tc>
          <w:tcPr/>
          <w:p>
            <w:pPr>
              <w:pStyle w:val="Compact"/>
            </w:pPr>
            <w:r>
              <w:t xml:space="preserve">Phase 2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switching CPA</w:t>
            </w:r>
          </w:p>
        </w:tc>
        <w:tc>
          <w:tcPr/>
          <w:p>
            <w:pPr>
              <w:pStyle w:val="Compact"/>
            </w:pPr>
            <w:r>
              <w:t xml:space="preserve">£30–60/signup</w:t>
            </w:r>
          </w:p>
        </w:tc>
        <w:tc>
          <w:tcPr/>
          <w:p>
            <w:pPr>
              <w:pStyle w:val="Compact"/>
            </w:pPr>
            <w:r>
              <w:t xml:space="preserve">Phase 2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Removals quotes</w:t>
            </w:r>
          </w:p>
        </w:tc>
        <w:tc>
          <w:tcPr/>
          <w:p>
            <w:pPr>
              <w:pStyle w:val="Compact"/>
            </w:pPr>
            <w:r>
              <w:t xml:space="preserve">£5–15/lead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Mortgage leads</w:t>
            </w:r>
          </w:p>
        </w:tc>
        <w:tc>
          <w:tcPr/>
          <w:p>
            <w:pPr>
              <w:pStyle w:val="Compact"/>
            </w:pPr>
            <w:r>
              <w:t xml:space="preserve">£20–80/lead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ads</w:t>
            </w:r>
          </w:p>
        </w:tc>
        <w:tc>
          <w:tcPr/>
          <w:p>
            <w:pPr>
              <w:pStyle w:val="Compact"/>
            </w:pPr>
            <w:r>
              <w:t xml:space="preserve">£5–15 RPM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 widgets/API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Conservative model:</w:t>
      </w:r>
      <w:r>
        <w:t xml:space="preserve"> </w:t>
      </w:r>
      <w:r>
        <w:t xml:space="preserve">100k monthly users → £3–8k/month blended. This asset is</w:t>
      </w:r>
      <w:r>
        <w:t xml:space="preserve"> </w:t>
      </w:r>
      <w:r>
        <w:rPr>
          <w:b/>
          <w:bCs/>
        </w:rPr>
        <w:t xml:space="preserve">year-2–3 money, not debt-clearance money</w:t>
      </w:r>
      <w:r>
        <w:t xml:space="preserve"> </w:t>
      </w:r>
      <w:r>
        <w:t xml:space="preserve">— the Studio Plan’s separate cash engine remains responsible for near-term income. Do not confuse the two.</w:t>
      </w:r>
    </w:p>
    <w:p>
      <w:r>
        <w:pict>
          <v:rect style="width:0;height:1.5pt" o:hralign="center" o:hrstd="t" o:hr="t"/>
        </w:pict>
      </w:r>
    </w:p>
    <w:bookmarkEnd w:id="33"/>
    <w:bookmarkStart w:id="34" w:name="metrics-and-kill-criteria"/>
    <w:p>
      <w:pPr>
        <w:pStyle w:val="Heading2"/>
      </w:pPr>
      <w:r>
        <w:t xml:space="preserve">12. Metrics and kill criteria</w:t>
      </w:r>
    </w:p>
    <w:p>
      <w:pPr>
        <w:pStyle w:val="FirstParagraph"/>
      </w:pPr>
      <w:r>
        <w:rPr>
          <w:b/>
          <w:bCs/>
        </w:rPr>
        <w:t xml:space="preserve">North-star metric:</w:t>
      </w:r>
      <w:r>
        <w:t xml:space="preserve"> </w:t>
      </w:r>
      <w:r>
        <w:t xml:space="preserve">weekly users who view an admission-likelihood or area report (the trust moments).</w:t>
      </w:r>
    </w:p>
    <w:p>
      <w:pPr>
        <w:pStyle w:val="BodyText"/>
      </w:pPr>
      <w:r>
        <w:t xml:space="preserve">Supporting metrics: organic sessions, pages/session, report generations, extension installs (v2), lead CTR, affiliate EPC, pipeline freshness SLA adherence.</w:t>
      </w:r>
    </w:p>
    <w:p>
      <w:pPr>
        <w:pStyle w:val="BodyText"/>
      </w:pPr>
      <w:r>
        <w:rPr>
          <w:b/>
          <w:bCs/>
        </w:rPr>
        <w:t xml:space="preserve">Month-6 decision gate (per Studio Plan — kill / maintain / double down):</w:t>
      </w:r>
      <w:r>
        <w:t xml:space="preserve"> </w:t>
      </w:r>
      <w:r>
        <w:t xml:space="preserve">- Kill if: &lt;15k monthly organic sessions AND no monetisation signal AND pipeline maintenance exceeds sustainable effort</w:t>
      </w:r>
      <w:r>
        <w:t xml:space="preserve"> </w:t>
      </w:r>
      <w:r>
        <w:t xml:space="preserve">- Double down if: &gt;50k monthly sessions with growing long-tail spread, first £1k+/month revenue, extension traction</w:t>
      </w:r>
      <w:r>
        <w:t xml:space="preserve"> </w:t>
      </w:r>
      <w:r>
        <w:t xml:space="preserve">- Between: maintain on minimum effort, reassess at month 9</w:t>
      </w:r>
    </w:p>
    <w:p>
      <w:r>
        <w:pict>
          <v:rect style="width:0;height:1.5pt" o:hralign="center" o:hrstd="t" o:hr="t"/>
        </w:pict>
      </w:r>
    </w:p>
    <w:bookmarkEnd w:id="34"/>
    <w:bookmarkStart w:id="35" w:name="roadmap-summary"/>
    <w:p>
      <w:pPr>
        <w:pStyle w:val="Heading2"/>
      </w:pPr>
      <w:r>
        <w:t xml:space="preserve">13. Roadmap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1–2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Data probe ✅; SEO study; 5 parent interviews; 3 LA admissions sampled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3–6</w:t>
            </w:r>
          </w:p>
        </w:tc>
        <w:tc>
          <w:tcPr/>
          <w:p>
            <w:pPr>
              <w:pStyle w:val="Compact"/>
            </w:pPr>
            <w:r>
              <w:t xml:space="preserve">MVP (Bath &amp; Bristol)</w:t>
            </w:r>
          </w:p>
        </w:tc>
        <w:tc>
          <w:tcPr/>
          <w:p>
            <w:pPr>
              <w:pStyle w:val="Compact"/>
            </w:pPr>
            <w:r>
              <w:t xml:space="preserve">Pilot region live end-to-end; design system v1; first organic impressions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7–14</w:t>
            </w:r>
          </w:p>
        </w:tc>
        <w:tc>
          <w:tcPr/>
          <w:p>
            <w:pPr>
              <w:pStyle w:val="Compact"/>
            </w:pPr>
            <w:r>
              <w:t xml:space="preserve">National v1</w:t>
            </w:r>
          </w:p>
        </w:tc>
        <w:tc>
          <w:tcPr/>
          <w:p>
            <w:pPr>
              <w:pStyle w:val="Compact"/>
            </w:pPr>
            <w:r>
              <w:t xml:space="preserve">Full pipeline; ~25k school pages; Likelihood Engine v1; first lead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4–6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Extension live; accounts/alerts; backtest published; month-6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7–12</w:t>
            </w:r>
          </w:p>
        </w:tc>
        <w:tc>
          <w:tcPr/>
          <w:p>
            <w:pPr>
              <w:pStyle w:val="Compact"/>
            </w:pPr>
            <w:r>
              <w:t xml:space="preserve">Grow the winner (if doubled down)</w:t>
            </w:r>
          </w:p>
        </w:tc>
        <w:tc>
          <w:tcPr/>
          <w:p>
            <w:pPr>
              <w:pStyle w:val="Compact"/>
            </w:pPr>
            <w:r>
              <w:t xml:space="preserve">100k+ monthly users; £3k+/month; second-asset thesis begins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open-questions"/>
    <w:p>
      <w:pPr>
        <w:pStyle w:val="Heading2"/>
      </w:pPr>
      <w:r>
        <w:t xml:space="preserve">14. Open questions</w:t>
      </w:r>
    </w:p>
    <w:p>
      <w:pPr>
        <w:pStyle w:val="Compact"/>
        <w:numPr>
          <w:ilvl w:val="0"/>
          <w:numId w:val="1014"/>
        </w:numPr>
      </w:pPr>
      <w:r>
        <w:t xml:space="preserve">SEO keyword volumes — validate</w:t>
      </w:r>
      <w:r>
        <w:t xml:space="preserve"> </w:t>
      </w:r>
      <w:r>
        <w:t xml:space="preserve">“catchment”</w:t>
      </w:r>
      <w:r>
        <w:t xml:space="preserve"> </w:t>
      </w:r>
      <w:r>
        <w:t xml:space="preserve">long-tail demand quantitatively (Week 1)</w:t>
      </w:r>
    </w:p>
    <w:p>
      <w:pPr>
        <w:pStyle w:val="Compact"/>
        <w:numPr>
          <w:ilvl w:val="0"/>
          <w:numId w:val="1014"/>
        </w:numPr>
      </w:pPr>
      <w:r>
        <w:t xml:space="preserve">LA admissions sampling — how bad is fragmentation really? (Week 1–2; 3 LAs)</w:t>
      </w:r>
    </w:p>
    <w:p>
      <w:pPr>
        <w:pStyle w:val="Compact"/>
        <w:numPr>
          <w:ilvl w:val="0"/>
          <w:numId w:val="1014"/>
        </w:numPr>
      </w:pPr>
      <w:r>
        <w:t xml:space="preserve">Ofsted report-card transition — exact data shape going forward (Week 2)</w:t>
      </w:r>
    </w:p>
    <w:p>
      <w:pPr>
        <w:pStyle w:val="Compact"/>
        <w:numPr>
          <w:ilvl w:val="0"/>
          <w:numId w:val="1014"/>
        </w:numPr>
      </w:pPr>
      <w:r>
        <w:t xml:space="preserve">Naming + domain availability (Week 2; separate pass)</w:t>
      </w:r>
    </w:p>
    <w:p>
      <w:pPr>
        <w:pStyle w:val="Compact"/>
        <w:numPr>
          <w:ilvl w:val="0"/>
          <w:numId w:val="1014"/>
        </w:numPr>
      </w:pPr>
      <w:r>
        <w:t xml:space="preserve">Extension overlay legality/ToS posture — legal read before v2 build (Month 3)</w:t>
      </w:r>
    </w:p>
    <w:p>
      <w:pPr>
        <w:pStyle w:val="Compact"/>
        <w:numPr>
          <w:ilvl w:val="0"/>
          <w:numId w:val="1014"/>
        </w:numPr>
      </w:pPr>
      <w:r>
        <w:t xml:space="preserve">Founder bandwidth against Treasure Spring commitments — weekly hour budget agreed in advance (ongoing; see Red Team R5)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pairs with the Red Team analysis:</w:t>
      </w:r>
      <w:r>
        <w:rPr>
          <w:i/>
          <w:iCs/>
        </w:rPr>
        <w:t xml:space="preserve"> </w:t>
      </w:r>
      <w:r>
        <w:rPr>
          <w:i/>
          <w:iCs/>
        </w:rPr>
        <w:t xml:space="preserve">“Project Prospectus — Red Team &amp; Pre-Mortem.”</w:t>
      </w:r>
      <w:r>
        <w:rPr>
          <w:i/>
          <w:iCs/>
        </w:rPr>
        <w:t xml:space="preserve"> </w:t>
      </w:r>
      <w:r>
        <w:rPr>
          <w:i/>
          <w:iCs/>
        </w:rPr>
        <w:t xml:space="preserve">Read both before committing build effort.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Prospectus — PRD</dc:title>
  <dc:creator/>
  <cp:keywords/>
  <dcterms:created xsi:type="dcterms:W3CDTF">2026-08-01T07:21:34Z</dcterms:created>
  <dcterms:modified xsi:type="dcterms:W3CDTF">2026-08-01T07:21:34Z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