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7B6" w:rsidRPr="00140B6C" w:rsidRDefault="00A737B6" w:rsidP="00B7264C">
      <w:pPr>
        <w:spacing w:after="0" w:line="480" w:lineRule="auto"/>
        <w:ind w:firstLine="720"/>
        <w:jc w:val="right"/>
        <w:rPr>
          <w:color w:val="000000" w:themeColor="text1"/>
        </w:rPr>
      </w:pPr>
      <w:r w:rsidRPr="00140B6C">
        <w:rPr>
          <w:color w:val="000000" w:themeColor="text1"/>
        </w:rPr>
        <w:t>Travis Moore</w:t>
      </w:r>
    </w:p>
    <w:p w:rsidR="00A737B6" w:rsidRPr="00140B6C" w:rsidRDefault="00A737B6" w:rsidP="00B7264C">
      <w:pPr>
        <w:spacing w:after="0" w:line="480" w:lineRule="auto"/>
        <w:ind w:firstLine="720"/>
        <w:jc w:val="right"/>
        <w:rPr>
          <w:color w:val="000000" w:themeColor="text1"/>
        </w:rPr>
      </w:pPr>
      <w:r w:rsidRPr="00140B6C">
        <w:rPr>
          <w:color w:val="000000" w:themeColor="text1"/>
        </w:rPr>
        <w:t>GAT120—F13</w:t>
      </w:r>
    </w:p>
    <w:p w:rsidR="00A737B6" w:rsidRPr="00140B6C" w:rsidRDefault="00A737B6" w:rsidP="003A15C4">
      <w:pPr>
        <w:spacing w:after="0" w:line="480" w:lineRule="auto"/>
        <w:jc w:val="center"/>
        <w:rPr>
          <w:color w:val="000000" w:themeColor="text1"/>
        </w:rPr>
      </w:pPr>
      <w:r w:rsidRPr="00140B6C">
        <w:rPr>
          <w:color w:val="000000" w:themeColor="text1"/>
        </w:rPr>
        <w:t>Paper #5—Portal: How to Teach the Player</w:t>
      </w:r>
    </w:p>
    <w:p w:rsidR="00140B6C" w:rsidRDefault="00A737B6" w:rsidP="00140B6C">
      <w:pPr>
        <w:spacing w:after="0" w:line="480" w:lineRule="auto"/>
        <w:rPr>
          <w:color w:val="000000" w:themeColor="text1"/>
        </w:rPr>
      </w:pPr>
      <w:r w:rsidRPr="00140B6C">
        <w:rPr>
          <w:color w:val="000000" w:themeColor="text1"/>
        </w:rPr>
        <w:tab/>
      </w:r>
      <w:r w:rsidR="006F1403" w:rsidRPr="00140B6C">
        <w:rPr>
          <w:color w:val="000000" w:themeColor="text1"/>
        </w:rPr>
        <w:t>With every new player to a game, there is a crucial moment right from the start that the game must do correctly: teach the player how to play the game. This is an important part of retaining a player’s attention in order that they do not get frustrated early and quit the game before they have even really started to play the game. For this reason, teaching the player how to play the game is something a game designer cannot ignore if they want their game to appeal to the masses. This is especially true if the game has difficult concepts for the player to learn, such as solving puzzles using</w:t>
      </w:r>
      <w:r w:rsidR="00B7264C" w:rsidRPr="00140B6C">
        <w:rPr>
          <w:color w:val="000000" w:themeColor="text1"/>
        </w:rPr>
        <w:t xml:space="preserve"> portals in Valve’s critically acclaimed game, </w:t>
      </w:r>
      <w:r w:rsidR="00B7264C" w:rsidRPr="00140B6C">
        <w:rPr>
          <w:i/>
          <w:color w:val="000000" w:themeColor="text1"/>
        </w:rPr>
        <w:t>Portal</w:t>
      </w:r>
      <w:r w:rsidR="00B7264C" w:rsidRPr="00140B6C">
        <w:rPr>
          <w:color w:val="000000" w:themeColor="text1"/>
        </w:rPr>
        <w:t xml:space="preserve">. By properly using several different teaching methods, the designers for </w:t>
      </w:r>
      <w:r w:rsidR="00B7264C" w:rsidRPr="00140B6C">
        <w:rPr>
          <w:i/>
          <w:color w:val="000000" w:themeColor="text1"/>
        </w:rPr>
        <w:t>Portal</w:t>
      </w:r>
      <w:r w:rsidR="00B7264C" w:rsidRPr="00140B6C">
        <w:rPr>
          <w:color w:val="000000" w:themeColor="text1"/>
        </w:rPr>
        <w:t xml:space="preserve"> are able to successfully train a player how to play game.</w:t>
      </w:r>
    </w:p>
    <w:p w:rsidR="00140B6C" w:rsidRDefault="00B7264C" w:rsidP="00140B6C">
      <w:pPr>
        <w:spacing w:after="0" w:line="480" w:lineRule="auto"/>
        <w:ind w:firstLine="720"/>
        <w:rPr>
          <w:rFonts w:eastAsia="Times New Roman" w:cs="Arial"/>
          <w:color w:val="000000" w:themeColor="text1"/>
        </w:rPr>
      </w:pPr>
      <w:r w:rsidRPr="00140B6C">
        <w:rPr>
          <w:color w:val="000000" w:themeColor="text1"/>
        </w:rPr>
        <w:t xml:space="preserve">Perhaps the most overt method of teaching, </w:t>
      </w:r>
      <w:r w:rsidRPr="00140B6C">
        <w:rPr>
          <w:i/>
          <w:color w:val="000000" w:themeColor="text1"/>
        </w:rPr>
        <w:t>Portal</w:t>
      </w:r>
      <w:r w:rsidRPr="00140B6C">
        <w:rPr>
          <w:color w:val="000000" w:themeColor="text1"/>
        </w:rPr>
        <w:t xml:space="preserve"> does not shy from simply telling the player how to play the game. Right from the start of the game, </w:t>
      </w:r>
      <w:r w:rsidRPr="00140B6C">
        <w:rPr>
          <w:i/>
          <w:color w:val="000000" w:themeColor="text1"/>
        </w:rPr>
        <w:t>Portal</w:t>
      </w:r>
      <w:r w:rsidRPr="00140B6C">
        <w:rPr>
          <w:color w:val="000000" w:themeColor="text1"/>
        </w:rPr>
        <w:t xml:space="preserve"> </w:t>
      </w:r>
      <w:r w:rsidR="008F1C15" w:rsidRPr="00140B6C">
        <w:rPr>
          <w:color w:val="000000" w:themeColor="text1"/>
        </w:rPr>
        <w:t xml:space="preserve">visually shows the player the controls on the screen using text (see Figure 1). While not subtle, this is important information that must be made as crystal clear as possible so visually showing this to the player ensures that they can begin to play the game.  </w:t>
      </w:r>
      <w:r w:rsidR="00884CD2" w:rsidRPr="00140B6C">
        <w:rPr>
          <w:i/>
          <w:color w:val="000000" w:themeColor="text1"/>
        </w:rPr>
        <w:t xml:space="preserve">Portal </w:t>
      </w:r>
      <w:r w:rsidR="00884CD2" w:rsidRPr="00140B6C">
        <w:rPr>
          <w:color w:val="000000" w:themeColor="text1"/>
        </w:rPr>
        <w:t xml:space="preserve">also communicates concepts to the player visually, such as having the player see </w:t>
      </w:r>
      <w:r w:rsidR="00884CD2">
        <w:rPr>
          <w:color w:val="000000" w:themeColor="text1"/>
        </w:rPr>
        <w:t xml:space="preserve">their own character </w:t>
      </w:r>
      <w:r w:rsidR="00884CD2" w:rsidRPr="00140B6C">
        <w:rPr>
          <w:color w:val="000000" w:themeColor="text1"/>
        </w:rPr>
        <w:t xml:space="preserve">go through a portal to understand how portals operate (see Figure 2). </w:t>
      </w:r>
      <w:r w:rsidR="008F1C15" w:rsidRPr="00140B6C">
        <w:rPr>
          <w:color w:val="000000" w:themeColor="text1"/>
        </w:rPr>
        <w:t xml:space="preserve">By showing the action to the player they are able to learn how going in one portal leads to exiting out the other portal. Aside from showing, </w:t>
      </w:r>
      <w:r w:rsidR="008F1C15" w:rsidRPr="00140B6C">
        <w:rPr>
          <w:i/>
          <w:color w:val="000000" w:themeColor="text1"/>
        </w:rPr>
        <w:t>Portal</w:t>
      </w:r>
      <w:r w:rsidR="008F1C15" w:rsidRPr="00140B6C">
        <w:rPr>
          <w:color w:val="000000" w:themeColor="text1"/>
        </w:rPr>
        <w:t xml:space="preserve"> also is not afraid to audibly explain to the pla</w:t>
      </w:r>
      <w:r w:rsidR="00140B6C" w:rsidRPr="00140B6C">
        <w:rPr>
          <w:color w:val="000000" w:themeColor="text1"/>
        </w:rPr>
        <w:t xml:space="preserve">yer how to accomplish tasks. For example, </w:t>
      </w:r>
      <w:r w:rsidR="00140B6C">
        <w:rPr>
          <w:color w:val="000000" w:themeColor="text1"/>
        </w:rPr>
        <w:t xml:space="preserve">in test chamber 10 </w:t>
      </w:r>
      <w:r w:rsidR="00140B6C" w:rsidRPr="00140B6C">
        <w:rPr>
          <w:color w:val="000000" w:themeColor="text1"/>
        </w:rPr>
        <w:t xml:space="preserve">GlaDOS </w:t>
      </w:r>
      <w:r w:rsidR="00140B6C">
        <w:rPr>
          <w:color w:val="000000" w:themeColor="text1"/>
        </w:rPr>
        <w:t>explains to the player</w:t>
      </w:r>
      <w:r w:rsidR="00140B6C" w:rsidRPr="00140B6C">
        <w:rPr>
          <w:color w:val="000000" w:themeColor="text1"/>
        </w:rPr>
        <w:t xml:space="preserve">, </w:t>
      </w:r>
      <w:r w:rsidR="00140B6C">
        <w:rPr>
          <w:color w:val="000000" w:themeColor="text1"/>
        </w:rPr>
        <w:t>“</w:t>
      </w:r>
      <w:hyperlink r:id="rId5" w:tooltip="GLaDOS 06 part1 success 2-1.wav" w:history="1">
        <w:r w:rsidR="00140B6C" w:rsidRPr="00140B6C">
          <w:rPr>
            <w:rFonts w:eastAsia="Times New Roman" w:cs="Arial"/>
            <w:color w:val="000000" w:themeColor="text1"/>
          </w:rPr>
          <w:t>Momentum, a function of mass and velocity, is conserved between portals. In layman's terms: Speedy-thing goes in, speedy-thing comes out.</w:t>
        </w:r>
        <w:r w:rsidR="00140B6C">
          <w:rPr>
            <w:rFonts w:eastAsia="Times New Roman" w:cs="Arial"/>
            <w:color w:val="000000" w:themeColor="text1"/>
          </w:rPr>
          <w:t>”</w:t>
        </w:r>
      </w:hyperlink>
      <w:r w:rsidR="00140B6C">
        <w:rPr>
          <w:rFonts w:eastAsia="Times New Roman" w:cs="Arial"/>
          <w:color w:val="000000" w:themeColor="text1"/>
        </w:rPr>
        <w:t xml:space="preserve"> This kind of reinforcement helps the learning process of the player as they proceed in the game.</w:t>
      </w:r>
    </w:p>
    <w:p w:rsidR="006518F3" w:rsidRDefault="006518F3" w:rsidP="006518F3">
      <w:pPr>
        <w:spacing w:after="0"/>
        <w:jc w:val="center"/>
        <w:rPr>
          <w:i/>
          <w:sz w:val="20"/>
          <w:szCs w:val="20"/>
        </w:rPr>
      </w:pPr>
      <w:r w:rsidRPr="00B7264C">
        <w:rPr>
          <w:i/>
          <w:noProof/>
          <w:sz w:val="20"/>
          <w:szCs w:val="20"/>
        </w:rPr>
        <w:lastRenderedPageBreak/>
        <w:drawing>
          <wp:inline distT="0" distB="0" distL="0" distR="0">
            <wp:extent cx="5716905" cy="3569970"/>
            <wp:effectExtent l="19050" t="0" r="0" b="0"/>
            <wp:docPr id="36" name="Picture 3" descr="D:\My Library\My Desktop\Digipen Fall2013\GAT-120-GameAnalysis\paper-5\images-to-use-in-paper\1-showingTelling-wasdControlsO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Library\My Desktop\Digipen Fall2013\GAT-120-GameAnalysis\paper-5\images-to-use-in-paper\1-showingTelling-wasdControlsOnScreen.jpg"/>
                    <pic:cNvPicPr>
                      <a:picLocks noChangeAspect="1" noChangeArrowheads="1"/>
                    </pic:cNvPicPr>
                  </pic:nvPicPr>
                  <pic:blipFill>
                    <a:blip r:embed="rId6"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1—</w:t>
      </w:r>
      <w:r w:rsidR="00884CD2">
        <w:rPr>
          <w:i/>
          <w:sz w:val="20"/>
          <w:szCs w:val="20"/>
        </w:rPr>
        <w:t>an</w:t>
      </w:r>
      <w:r>
        <w:rPr>
          <w:i/>
          <w:sz w:val="20"/>
          <w:szCs w:val="20"/>
        </w:rPr>
        <w:t xml:space="preserve"> example of visually showing the player the controls on the screen.</w:t>
      </w:r>
    </w:p>
    <w:p w:rsidR="006518F3" w:rsidRDefault="006518F3" w:rsidP="006518F3">
      <w:pPr>
        <w:spacing w:after="0"/>
        <w:jc w:val="center"/>
        <w:rPr>
          <w:i/>
          <w:sz w:val="20"/>
          <w:szCs w:val="20"/>
        </w:rPr>
      </w:pPr>
    </w:p>
    <w:p w:rsidR="006518F3" w:rsidRDefault="006518F3" w:rsidP="006518F3">
      <w:pPr>
        <w:spacing w:after="0"/>
        <w:jc w:val="center"/>
        <w:rPr>
          <w:i/>
          <w:sz w:val="20"/>
          <w:szCs w:val="20"/>
        </w:rPr>
      </w:pPr>
      <w:r w:rsidRPr="00B7264C">
        <w:rPr>
          <w:i/>
          <w:noProof/>
          <w:sz w:val="20"/>
          <w:szCs w:val="20"/>
        </w:rPr>
        <w:drawing>
          <wp:inline distT="0" distB="0" distL="0" distR="0">
            <wp:extent cx="5716905" cy="3569970"/>
            <wp:effectExtent l="19050" t="0" r="0" b="0"/>
            <wp:docPr id="37" name="Picture 2" descr="D:\My Library\My Desktop\Digipen Fall2013\GAT-120-GameAnalysis\paper-5\images-to-use-in-paper\1-showingTelling-playerSeesThemselvesGoThroughPor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Library\My Desktop\Digipen Fall2013\GAT-120-GameAnalysis\paper-5\images-to-use-in-paper\1-showingTelling-playerSeesThemselvesGoThroughPortal.jpg"/>
                    <pic:cNvPicPr>
                      <a:picLocks noChangeAspect="1" noChangeArrowheads="1"/>
                    </pic:cNvPicPr>
                  </pic:nvPicPr>
                  <pic:blipFill>
                    <a:blip r:embed="rId7"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2—</w:t>
      </w:r>
      <w:r w:rsidR="00884CD2">
        <w:rPr>
          <w:i/>
          <w:sz w:val="20"/>
          <w:szCs w:val="20"/>
        </w:rPr>
        <w:t>an</w:t>
      </w:r>
      <w:r>
        <w:rPr>
          <w:i/>
          <w:sz w:val="20"/>
          <w:szCs w:val="20"/>
        </w:rPr>
        <w:t xml:space="preserve"> example of how a player sees themselves entering through a portal to appear on the other side.</w:t>
      </w:r>
    </w:p>
    <w:p w:rsidR="006518F3" w:rsidRDefault="006518F3" w:rsidP="00140B6C">
      <w:pPr>
        <w:spacing w:after="0" w:line="480" w:lineRule="auto"/>
        <w:ind w:firstLine="720"/>
        <w:rPr>
          <w:rFonts w:eastAsia="Times New Roman" w:cs="Arial"/>
          <w:color w:val="000000" w:themeColor="text1"/>
        </w:rPr>
      </w:pPr>
    </w:p>
    <w:p w:rsidR="00140B6C" w:rsidRDefault="00140B6C" w:rsidP="00140B6C">
      <w:pPr>
        <w:spacing w:after="0" w:line="480" w:lineRule="auto"/>
        <w:ind w:firstLine="720"/>
        <w:rPr>
          <w:rFonts w:eastAsia="Times New Roman" w:cs="Arial"/>
          <w:color w:val="000000" w:themeColor="text1"/>
        </w:rPr>
      </w:pPr>
      <w:r>
        <w:rPr>
          <w:rFonts w:eastAsia="Times New Roman" w:cs="Arial"/>
          <w:color w:val="000000" w:themeColor="text1"/>
        </w:rPr>
        <w:lastRenderedPageBreak/>
        <w:t xml:space="preserve">Taking full advantage of </w:t>
      </w:r>
      <w:r>
        <w:rPr>
          <w:rFonts w:eastAsia="Times New Roman" w:cs="Arial"/>
          <w:i/>
          <w:color w:val="000000" w:themeColor="text1"/>
        </w:rPr>
        <w:t>Portal</w:t>
      </w:r>
      <w:r>
        <w:rPr>
          <w:rFonts w:eastAsia="Times New Roman" w:cs="Arial"/>
          <w:color w:val="000000" w:themeColor="text1"/>
        </w:rPr>
        <w:t xml:space="preserve"> mostly taking place in test chambers, </w:t>
      </w:r>
      <w:r>
        <w:rPr>
          <w:rFonts w:eastAsia="Times New Roman" w:cs="Arial"/>
          <w:i/>
          <w:color w:val="000000" w:themeColor="text1"/>
        </w:rPr>
        <w:t>Portal</w:t>
      </w:r>
      <w:r>
        <w:rPr>
          <w:rFonts w:eastAsia="Times New Roman" w:cs="Arial"/>
          <w:color w:val="000000" w:themeColor="text1"/>
        </w:rPr>
        <w:t xml:space="preserve"> also utilizes signage to help a player learn how to play the game. At the entrance to every test chamber there are large signs that help a player understand what kind of obstacles they will be up against (see Figure 3).</w:t>
      </w:r>
      <w:r w:rsidR="008927F6">
        <w:rPr>
          <w:rFonts w:eastAsia="Times New Roman" w:cs="Arial"/>
          <w:color w:val="000000" w:themeColor="text1"/>
        </w:rPr>
        <w:t xml:space="preserve"> Along with this, </w:t>
      </w:r>
      <w:r w:rsidR="008927F6">
        <w:rPr>
          <w:rFonts w:eastAsia="Times New Roman" w:cs="Arial"/>
          <w:i/>
          <w:color w:val="000000" w:themeColor="text1"/>
        </w:rPr>
        <w:t>Portal</w:t>
      </w:r>
      <w:r w:rsidR="008927F6">
        <w:rPr>
          <w:rFonts w:eastAsia="Times New Roman" w:cs="Arial"/>
          <w:color w:val="000000" w:themeColor="text1"/>
        </w:rPr>
        <w:t xml:space="preserve"> test chambers make prominent use of floor and wall signage that explain every significant element of a test chamber (see Figure 4). </w:t>
      </w:r>
      <w:r w:rsidR="00145CBB">
        <w:rPr>
          <w:rFonts w:eastAsia="Times New Roman" w:cs="Arial"/>
          <w:color w:val="000000" w:themeColor="text1"/>
        </w:rPr>
        <w:t xml:space="preserve">There are even signs explaining concepts, such as flinging through portals, step-by-step </w:t>
      </w:r>
      <w:r w:rsidR="006C587F">
        <w:rPr>
          <w:rFonts w:eastAsia="Times New Roman" w:cs="Arial"/>
          <w:color w:val="000000" w:themeColor="text1"/>
        </w:rPr>
        <w:t xml:space="preserve">to the player (see Figure 5). </w:t>
      </w:r>
      <w:r w:rsidR="008927F6">
        <w:rPr>
          <w:rFonts w:eastAsia="Times New Roman" w:cs="Arial"/>
          <w:color w:val="000000" w:themeColor="text1"/>
        </w:rPr>
        <w:t>This excessive signage not only fits the obsessive testing environment well, but also establishes a pattern to the player that they are able to learn quickly.</w:t>
      </w:r>
    </w:p>
    <w:p w:rsidR="006518F3" w:rsidRDefault="006518F3" w:rsidP="006518F3">
      <w:pPr>
        <w:spacing w:after="0"/>
        <w:jc w:val="center"/>
        <w:rPr>
          <w:i/>
          <w:sz w:val="20"/>
          <w:szCs w:val="20"/>
        </w:rPr>
      </w:pPr>
      <w:r w:rsidRPr="00140B6C">
        <w:rPr>
          <w:i/>
          <w:noProof/>
          <w:sz w:val="20"/>
          <w:szCs w:val="20"/>
        </w:rPr>
        <w:drawing>
          <wp:inline distT="0" distB="0" distL="0" distR="0">
            <wp:extent cx="5716905" cy="3569970"/>
            <wp:effectExtent l="19050" t="0" r="0" b="0"/>
            <wp:docPr id="38" name="Picture 8" descr="D:\My Library\My Desktop\Digipen Fall2013\GAT-120-GameAnalysis\paper-5\images-to-use-in-paper\2-signage-testChamber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Library\My Desktop\Digipen Fall2013\GAT-120-GameAnalysis\paper-5\images-to-use-in-paper\2-signage-testChamberSign.jpg"/>
                    <pic:cNvPicPr>
                      <a:picLocks noChangeAspect="1" noChangeArrowheads="1"/>
                    </pic:cNvPicPr>
                  </pic:nvPicPr>
                  <pic:blipFill>
                    <a:blip r:embed="rId8"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3—</w:t>
      </w:r>
      <w:r w:rsidR="00884CD2">
        <w:rPr>
          <w:i/>
          <w:sz w:val="20"/>
          <w:szCs w:val="20"/>
        </w:rPr>
        <w:t>an</w:t>
      </w:r>
      <w:r>
        <w:rPr>
          <w:i/>
          <w:sz w:val="20"/>
          <w:szCs w:val="20"/>
        </w:rPr>
        <w:t xml:space="preserve"> example test chamber sign that shows companion cubes will be featured in this test chamber 00.</w:t>
      </w:r>
    </w:p>
    <w:p w:rsidR="006518F3" w:rsidRDefault="006518F3" w:rsidP="006518F3">
      <w:pPr>
        <w:spacing w:after="0"/>
        <w:jc w:val="center"/>
        <w:rPr>
          <w:i/>
          <w:sz w:val="20"/>
          <w:szCs w:val="20"/>
        </w:rPr>
      </w:pPr>
    </w:p>
    <w:p w:rsidR="006518F3" w:rsidRDefault="006518F3" w:rsidP="006518F3">
      <w:pPr>
        <w:spacing w:after="0"/>
        <w:jc w:val="center"/>
        <w:rPr>
          <w:i/>
          <w:sz w:val="20"/>
          <w:szCs w:val="20"/>
        </w:rPr>
      </w:pPr>
      <w:r w:rsidRPr="00B7264C">
        <w:rPr>
          <w:i/>
          <w:noProof/>
          <w:sz w:val="20"/>
          <w:szCs w:val="20"/>
        </w:rPr>
        <w:lastRenderedPageBreak/>
        <w:drawing>
          <wp:inline distT="0" distB="0" distL="0" distR="0">
            <wp:extent cx="5713840" cy="3568640"/>
            <wp:effectExtent l="19050" t="0" r="1160" b="0"/>
            <wp:docPr id="39" name="Picture 5" descr="D:\My Library\My Desktop\Digipen Fall2013\GAT-120-GameAnalysis\paper-5\images-to-use-in-paper\2-signage-buttonInstru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Library\My Desktop\Digipen Fall2013\GAT-120-GameAnalysis\paper-5\images-to-use-in-paper\2-signage-buttonInstructions.jpg"/>
                    <pic:cNvPicPr>
                      <a:picLocks noChangeAspect="1" noChangeArrowheads="1"/>
                    </pic:cNvPicPr>
                  </pic:nvPicPr>
                  <pic:blipFill>
                    <a:blip r:embed="rId9" cstate="print"/>
                    <a:srcRect/>
                    <a:stretch>
                      <a:fillRect/>
                    </a:stretch>
                  </pic:blipFill>
                  <pic:spPr bwMode="auto">
                    <a:xfrm>
                      <a:off x="0" y="0"/>
                      <a:ext cx="5722026" cy="3573753"/>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4—</w:t>
      </w:r>
      <w:r w:rsidR="00884CD2">
        <w:rPr>
          <w:i/>
          <w:sz w:val="20"/>
          <w:szCs w:val="20"/>
        </w:rPr>
        <w:t>an</w:t>
      </w:r>
      <w:r>
        <w:rPr>
          <w:i/>
          <w:sz w:val="20"/>
          <w:szCs w:val="20"/>
        </w:rPr>
        <w:t xml:space="preserve"> example of signage where a Fifteen Hundred Megawatt Aperture Science Heavy Duty Super-Colliding Super Button shows that a Weighted Storage Cube must be placed upon it.</w:t>
      </w:r>
    </w:p>
    <w:p w:rsidR="006518F3" w:rsidRDefault="006518F3" w:rsidP="006518F3">
      <w:pPr>
        <w:spacing w:after="0"/>
        <w:jc w:val="center"/>
        <w:rPr>
          <w:i/>
          <w:sz w:val="20"/>
          <w:szCs w:val="20"/>
        </w:rPr>
      </w:pPr>
    </w:p>
    <w:p w:rsidR="006518F3" w:rsidRDefault="006518F3" w:rsidP="006518F3">
      <w:pPr>
        <w:spacing w:after="0"/>
        <w:jc w:val="center"/>
        <w:rPr>
          <w:i/>
          <w:sz w:val="20"/>
          <w:szCs w:val="20"/>
        </w:rPr>
      </w:pPr>
    </w:p>
    <w:p w:rsidR="006518F3" w:rsidRDefault="006518F3" w:rsidP="006518F3">
      <w:pPr>
        <w:spacing w:after="0"/>
        <w:jc w:val="center"/>
        <w:rPr>
          <w:i/>
          <w:sz w:val="20"/>
          <w:szCs w:val="20"/>
        </w:rPr>
      </w:pPr>
      <w:r w:rsidRPr="00B7264C">
        <w:rPr>
          <w:i/>
          <w:noProof/>
          <w:sz w:val="20"/>
          <w:szCs w:val="20"/>
        </w:rPr>
        <w:drawing>
          <wp:inline distT="0" distB="0" distL="0" distR="0">
            <wp:extent cx="5716905" cy="3569970"/>
            <wp:effectExtent l="19050" t="0" r="0" b="0"/>
            <wp:docPr id="40" name="Picture 4" descr="D:\My Library\My Desktop\Digipen Fall2013\GAT-120-GameAnalysis\paper-5\images-to-use-in-paper\2-signage-3-environment-divin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Library\My Desktop\Digipen Fall2013\GAT-120-GameAnalysis\paper-5\images-to-use-in-paper\2-signage-3-environment-divingBoard.jpg"/>
                    <pic:cNvPicPr>
                      <a:picLocks noChangeAspect="1" noChangeArrowheads="1"/>
                    </pic:cNvPicPr>
                  </pic:nvPicPr>
                  <pic:blipFill>
                    <a:blip r:embed="rId10"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5—</w:t>
      </w:r>
      <w:r w:rsidR="00884CD2">
        <w:rPr>
          <w:i/>
          <w:sz w:val="20"/>
          <w:szCs w:val="20"/>
        </w:rPr>
        <w:t>an</w:t>
      </w:r>
      <w:r>
        <w:rPr>
          <w:i/>
          <w:sz w:val="20"/>
          <w:szCs w:val="20"/>
        </w:rPr>
        <w:t xml:space="preserve"> example of signage that explains the concept of flinging through a portal.</w:t>
      </w:r>
    </w:p>
    <w:p w:rsidR="006518F3" w:rsidRDefault="006518F3" w:rsidP="00140B6C">
      <w:pPr>
        <w:spacing w:after="0" w:line="480" w:lineRule="auto"/>
        <w:ind w:firstLine="720"/>
        <w:rPr>
          <w:rFonts w:eastAsia="Times New Roman" w:cs="Arial"/>
          <w:color w:val="000000" w:themeColor="text1"/>
        </w:rPr>
      </w:pPr>
    </w:p>
    <w:p w:rsidR="00B7264C" w:rsidRDefault="00FE785C" w:rsidP="002728AB">
      <w:pPr>
        <w:spacing w:after="0" w:line="480" w:lineRule="auto"/>
        <w:ind w:firstLine="720"/>
        <w:rPr>
          <w:rFonts w:eastAsia="Times New Roman" w:cs="Arial"/>
          <w:color w:val="000000" w:themeColor="text1"/>
        </w:rPr>
      </w:pPr>
      <w:r>
        <w:rPr>
          <w:rFonts w:eastAsia="Times New Roman" w:cs="Arial"/>
          <w:color w:val="000000" w:themeColor="text1"/>
        </w:rPr>
        <w:t xml:space="preserve">While so far the methods of teaching a player in </w:t>
      </w:r>
      <w:r>
        <w:rPr>
          <w:rFonts w:eastAsia="Times New Roman" w:cs="Arial"/>
          <w:i/>
          <w:color w:val="000000" w:themeColor="text1"/>
        </w:rPr>
        <w:t>Portal</w:t>
      </w:r>
      <w:r>
        <w:rPr>
          <w:rFonts w:eastAsia="Times New Roman" w:cs="Arial"/>
          <w:color w:val="000000" w:themeColor="text1"/>
        </w:rPr>
        <w:t xml:space="preserve"> have not been subtle, the use of design consistently throughout </w:t>
      </w:r>
      <w:r>
        <w:rPr>
          <w:rFonts w:eastAsia="Times New Roman" w:cs="Arial"/>
          <w:i/>
          <w:color w:val="000000" w:themeColor="text1"/>
        </w:rPr>
        <w:t>Portal</w:t>
      </w:r>
      <w:r>
        <w:rPr>
          <w:rFonts w:eastAsia="Times New Roman" w:cs="Arial"/>
          <w:color w:val="000000" w:themeColor="text1"/>
        </w:rPr>
        <w:t xml:space="preserve"> is perhaps something that is not noticeable until one looks for it. </w:t>
      </w:r>
      <w:r>
        <w:rPr>
          <w:rFonts w:eastAsia="Times New Roman" w:cs="Arial"/>
          <w:i/>
          <w:color w:val="000000" w:themeColor="text1"/>
        </w:rPr>
        <w:t>Portal</w:t>
      </w:r>
      <w:r>
        <w:rPr>
          <w:rFonts w:eastAsia="Times New Roman" w:cs="Arial"/>
          <w:color w:val="000000" w:themeColor="text1"/>
        </w:rPr>
        <w:t xml:space="preserve"> is an amazing example of how you can teach a player to associate shapes and colors in a game. Shapes in </w:t>
      </w:r>
      <w:r>
        <w:rPr>
          <w:rFonts w:eastAsia="Times New Roman" w:cs="Arial"/>
          <w:i/>
          <w:color w:val="000000" w:themeColor="text1"/>
        </w:rPr>
        <w:t>Portal</w:t>
      </w:r>
      <w:r>
        <w:rPr>
          <w:rFonts w:eastAsia="Times New Roman" w:cs="Arial"/>
          <w:color w:val="000000" w:themeColor="text1"/>
        </w:rPr>
        <w:t xml:space="preserve"> are used in a consistent manor so as to help the player quickly recognize objects and their purpose. The iconic oval shape of </w:t>
      </w:r>
      <w:r w:rsidR="00846EDD">
        <w:rPr>
          <w:rFonts w:eastAsia="Times New Roman" w:cs="Arial"/>
          <w:color w:val="000000" w:themeColor="text1"/>
        </w:rPr>
        <w:t>the portal</w:t>
      </w:r>
      <w:r>
        <w:rPr>
          <w:rFonts w:eastAsia="Times New Roman" w:cs="Arial"/>
          <w:color w:val="000000" w:themeColor="text1"/>
        </w:rPr>
        <w:t xml:space="preserve"> </w:t>
      </w:r>
      <w:r w:rsidR="00846EDD">
        <w:rPr>
          <w:rFonts w:eastAsia="Times New Roman" w:cs="Arial"/>
          <w:color w:val="000000" w:themeColor="text1"/>
        </w:rPr>
        <w:t>is</w:t>
      </w:r>
      <w:r>
        <w:rPr>
          <w:rFonts w:eastAsia="Times New Roman" w:cs="Arial"/>
          <w:color w:val="000000" w:themeColor="text1"/>
        </w:rPr>
        <w:t xml:space="preserve"> unique to portals and portals only, helping the player see them when they are placed in the environment (see Figure 6). </w:t>
      </w:r>
      <w:r w:rsidR="00846EDD">
        <w:rPr>
          <w:rFonts w:eastAsia="Times New Roman" w:cs="Arial"/>
          <w:color w:val="000000" w:themeColor="text1"/>
        </w:rPr>
        <w:t xml:space="preserve">Buttons are always circular and require something to push them, usually a cube; which exists only to be placed on buttons and not for any other use (see Figure 7). Trailing power lines are also consistently colored so the player knows if they need to solve a puzzle or have already solved it (see Figure 8). </w:t>
      </w:r>
      <w:r w:rsidR="00884CD2">
        <w:rPr>
          <w:rFonts w:eastAsia="Times New Roman" w:cs="Arial"/>
          <w:color w:val="000000" w:themeColor="text1"/>
        </w:rPr>
        <w:t xml:space="preserve">Consistency helps a player understand how to play a game, and </w:t>
      </w:r>
      <w:r w:rsidR="00884CD2">
        <w:rPr>
          <w:rFonts w:eastAsia="Times New Roman" w:cs="Arial"/>
          <w:i/>
          <w:color w:val="000000" w:themeColor="text1"/>
        </w:rPr>
        <w:t>Portal</w:t>
      </w:r>
      <w:r w:rsidR="00884CD2">
        <w:rPr>
          <w:rFonts w:eastAsia="Times New Roman" w:cs="Arial"/>
          <w:color w:val="000000" w:themeColor="text1"/>
        </w:rPr>
        <w:t xml:space="preserve"> is exceptional at establishing consistent shapes and colors early in </w:t>
      </w:r>
      <w:r w:rsidR="00884CD2">
        <w:rPr>
          <w:rFonts w:eastAsia="Times New Roman" w:cs="Arial"/>
          <w:i/>
          <w:color w:val="000000" w:themeColor="text1"/>
        </w:rPr>
        <w:t>Portal</w:t>
      </w:r>
      <w:r w:rsidR="00884CD2">
        <w:rPr>
          <w:rFonts w:eastAsia="Times New Roman" w:cs="Arial"/>
          <w:color w:val="000000" w:themeColor="text1"/>
        </w:rPr>
        <w:t>.</w:t>
      </w:r>
    </w:p>
    <w:p w:rsidR="006518F3" w:rsidRDefault="006518F3" w:rsidP="006518F3">
      <w:pPr>
        <w:spacing w:after="0"/>
        <w:jc w:val="center"/>
        <w:rPr>
          <w:i/>
          <w:sz w:val="20"/>
          <w:szCs w:val="20"/>
        </w:rPr>
      </w:pPr>
      <w:r>
        <w:rPr>
          <w:i/>
          <w:noProof/>
          <w:sz w:val="20"/>
          <w:szCs w:val="20"/>
        </w:rPr>
        <w:drawing>
          <wp:inline distT="0" distB="0" distL="0" distR="0">
            <wp:extent cx="5716905" cy="3569970"/>
            <wp:effectExtent l="19050" t="0" r="0" b="0"/>
            <wp:docPr id="41" name="Picture 19" descr="D:\My Library\My Desktop\Digipen Fall2013\GAT-120-GameAnalysis\paper-5\images-to-use-in-paper\4-consistancy-port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Library\My Desktop\Digipen Fall2013\GAT-120-GameAnalysis\paper-5\images-to-use-in-paper\4-consistancy-portals.jpg"/>
                    <pic:cNvPicPr>
                      <a:picLocks noChangeAspect="1" noChangeArrowheads="1"/>
                    </pic:cNvPicPr>
                  </pic:nvPicPr>
                  <pic:blipFill>
                    <a:blip r:embed="rId11"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6—</w:t>
      </w:r>
      <w:r w:rsidR="00884CD2">
        <w:rPr>
          <w:i/>
          <w:sz w:val="20"/>
          <w:szCs w:val="20"/>
        </w:rPr>
        <w:t>an</w:t>
      </w:r>
      <w:r>
        <w:rPr>
          <w:i/>
          <w:sz w:val="20"/>
          <w:szCs w:val="20"/>
        </w:rPr>
        <w:t xml:space="preserve"> example of how the oval shape of a portal stands out in such a geometric environment.</w:t>
      </w:r>
    </w:p>
    <w:p w:rsidR="006518F3" w:rsidRDefault="006518F3" w:rsidP="006518F3">
      <w:pPr>
        <w:spacing w:after="0"/>
        <w:jc w:val="center"/>
        <w:rPr>
          <w:i/>
          <w:sz w:val="20"/>
          <w:szCs w:val="20"/>
        </w:rPr>
      </w:pPr>
    </w:p>
    <w:p w:rsidR="006518F3" w:rsidRDefault="006518F3" w:rsidP="006518F3">
      <w:pPr>
        <w:spacing w:after="0"/>
        <w:jc w:val="center"/>
        <w:rPr>
          <w:i/>
          <w:sz w:val="20"/>
          <w:szCs w:val="20"/>
        </w:rPr>
      </w:pPr>
      <w:r w:rsidRPr="002728AB">
        <w:rPr>
          <w:i/>
          <w:noProof/>
          <w:sz w:val="20"/>
          <w:szCs w:val="20"/>
        </w:rPr>
        <w:lastRenderedPageBreak/>
        <w:drawing>
          <wp:inline distT="0" distB="0" distL="0" distR="0">
            <wp:extent cx="5716905" cy="7140575"/>
            <wp:effectExtent l="19050" t="0" r="0" b="0"/>
            <wp:docPr id="42" name="Picture 7" descr="D:\My Library\My Desktop\Digipen Fall2013\GAT-120-GameAnalysis\paper-5\images-to-use-in-paper\2-signage-powerT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Library\My Desktop\Digipen Fall2013\GAT-120-GameAnalysis\paper-5\images-to-use-in-paper\2-signage-powerTrail.jpg"/>
                    <pic:cNvPicPr>
                      <a:picLocks noChangeAspect="1" noChangeArrowheads="1"/>
                    </pic:cNvPicPr>
                  </pic:nvPicPr>
                  <pic:blipFill>
                    <a:blip r:embed="rId12" cstate="print"/>
                    <a:srcRect/>
                    <a:stretch>
                      <a:fillRect/>
                    </a:stretch>
                  </pic:blipFill>
                  <pic:spPr bwMode="auto">
                    <a:xfrm>
                      <a:off x="0" y="0"/>
                      <a:ext cx="5716905" cy="7140575"/>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7—</w:t>
      </w:r>
      <w:r w:rsidR="00884CD2">
        <w:rPr>
          <w:i/>
          <w:sz w:val="20"/>
          <w:szCs w:val="20"/>
        </w:rPr>
        <w:t>an</w:t>
      </w:r>
      <w:r>
        <w:rPr>
          <w:i/>
          <w:sz w:val="20"/>
          <w:szCs w:val="20"/>
        </w:rPr>
        <w:t xml:space="preserve"> example of the shape of button and cubes and how they relate to their function in solving puzzles.</w:t>
      </w:r>
    </w:p>
    <w:p w:rsidR="006518F3" w:rsidRDefault="006518F3" w:rsidP="006518F3">
      <w:pPr>
        <w:spacing w:after="0"/>
        <w:jc w:val="center"/>
        <w:rPr>
          <w:i/>
          <w:sz w:val="20"/>
          <w:szCs w:val="20"/>
        </w:rPr>
      </w:pPr>
    </w:p>
    <w:p w:rsidR="006518F3" w:rsidRDefault="006518F3" w:rsidP="006518F3">
      <w:pPr>
        <w:spacing w:after="0"/>
        <w:jc w:val="center"/>
        <w:rPr>
          <w:i/>
          <w:sz w:val="20"/>
          <w:szCs w:val="20"/>
        </w:rPr>
      </w:pPr>
      <w:r w:rsidRPr="002728AB">
        <w:rPr>
          <w:i/>
          <w:noProof/>
          <w:sz w:val="20"/>
          <w:szCs w:val="20"/>
        </w:rPr>
        <w:lastRenderedPageBreak/>
        <w:drawing>
          <wp:inline distT="0" distB="0" distL="0" distR="0">
            <wp:extent cx="5716905" cy="7140575"/>
            <wp:effectExtent l="19050" t="0" r="0" b="0"/>
            <wp:docPr id="43" name="Picture 6" descr="D:\My Library\My Desktop\Digipen Fall2013\GAT-120-GameAnalysis\paper-5\images-to-use-in-paper\2-signage-good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Library\My Desktop\Digipen Fall2013\GAT-120-GameAnalysis\paper-5\images-to-use-in-paper\2-signage-goodBad.jpg"/>
                    <pic:cNvPicPr>
                      <a:picLocks noChangeAspect="1" noChangeArrowheads="1"/>
                    </pic:cNvPicPr>
                  </pic:nvPicPr>
                  <pic:blipFill>
                    <a:blip r:embed="rId13" cstate="print"/>
                    <a:srcRect/>
                    <a:stretch>
                      <a:fillRect/>
                    </a:stretch>
                  </pic:blipFill>
                  <pic:spPr bwMode="auto">
                    <a:xfrm>
                      <a:off x="0" y="0"/>
                      <a:ext cx="5716905" cy="7140575"/>
                    </a:xfrm>
                    <a:prstGeom prst="rect">
                      <a:avLst/>
                    </a:prstGeom>
                    <a:noFill/>
                    <a:ln w="9525">
                      <a:noFill/>
                      <a:miter lim="800000"/>
                      <a:headEnd/>
                      <a:tailEnd/>
                    </a:ln>
                  </pic:spPr>
                </pic:pic>
              </a:graphicData>
            </a:graphic>
          </wp:inline>
        </w:drawing>
      </w:r>
      <w:r>
        <w:rPr>
          <w:i/>
          <w:sz w:val="20"/>
          <w:szCs w:val="20"/>
        </w:rPr>
        <w:t>Figure 8—an example of how the colors blue and orange are used to indicate a puzzle being solved.</w:t>
      </w:r>
    </w:p>
    <w:p w:rsidR="006518F3" w:rsidRDefault="006518F3" w:rsidP="002728AB">
      <w:pPr>
        <w:spacing w:after="0" w:line="480" w:lineRule="auto"/>
        <w:ind w:firstLine="720"/>
        <w:rPr>
          <w:rFonts w:eastAsia="Times New Roman" w:cs="Arial"/>
          <w:color w:val="000000" w:themeColor="text1"/>
        </w:rPr>
      </w:pPr>
    </w:p>
    <w:p w:rsidR="002728AB" w:rsidRDefault="002728AB" w:rsidP="002728AB">
      <w:pPr>
        <w:spacing w:after="0" w:line="480" w:lineRule="auto"/>
        <w:ind w:firstLine="720"/>
        <w:rPr>
          <w:rFonts w:eastAsia="Times New Roman" w:cs="Arial"/>
          <w:color w:val="000000" w:themeColor="text1"/>
        </w:rPr>
      </w:pPr>
      <w:r>
        <w:rPr>
          <w:rFonts w:eastAsia="Times New Roman" w:cs="Arial"/>
          <w:color w:val="000000" w:themeColor="text1"/>
        </w:rPr>
        <w:t>Even the environment is a teaching tool</w:t>
      </w:r>
      <w:r w:rsidR="006518F3">
        <w:rPr>
          <w:rFonts w:eastAsia="Times New Roman" w:cs="Arial"/>
          <w:color w:val="000000" w:themeColor="text1"/>
        </w:rPr>
        <w:t xml:space="preserve"> for players </w:t>
      </w:r>
      <w:r>
        <w:rPr>
          <w:rFonts w:eastAsia="Times New Roman" w:cs="Arial"/>
          <w:color w:val="000000" w:themeColor="text1"/>
        </w:rPr>
        <w:t xml:space="preserve">in </w:t>
      </w:r>
      <w:r>
        <w:rPr>
          <w:rFonts w:eastAsia="Times New Roman" w:cs="Arial"/>
          <w:i/>
          <w:color w:val="000000" w:themeColor="text1"/>
        </w:rPr>
        <w:t>Portal</w:t>
      </w:r>
      <w:r>
        <w:rPr>
          <w:rFonts w:eastAsia="Times New Roman" w:cs="Arial"/>
          <w:color w:val="000000" w:themeColor="text1"/>
        </w:rPr>
        <w:t xml:space="preserve">. </w:t>
      </w:r>
      <w:r w:rsidR="00884CD2">
        <w:rPr>
          <w:rFonts w:eastAsia="Times New Roman" w:cs="Arial"/>
          <w:color w:val="000000" w:themeColor="text1"/>
        </w:rPr>
        <w:t xml:space="preserve">By extending a platform over a pit so that it looks like a diving board encourages the player to place a portal into it and jump through it </w:t>
      </w:r>
      <w:r w:rsidR="00884CD2">
        <w:rPr>
          <w:rFonts w:eastAsia="Times New Roman" w:cs="Arial"/>
          <w:color w:val="000000" w:themeColor="text1"/>
        </w:rPr>
        <w:lastRenderedPageBreak/>
        <w:t xml:space="preserve">(see Figure 9). </w:t>
      </w:r>
      <w:r w:rsidR="006518F3">
        <w:rPr>
          <w:rFonts w:eastAsia="Times New Roman" w:cs="Arial"/>
          <w:color w:val="000000" w:themeColor="text1"/>
        </w:rPr>
        <w:t xml:space="preserve">Jumping into a pit might seem counter-intuitive to an experienced gamer, but the diving board shape invites the player to jump into the pit like jumping into a pit of water. Test chambers also extend panels from the wall to help teach the player to use great heights to help solve puzzles (see Figure 10). A common motif in </w:t>
      </w:r>
      <w:r w:rsidR="006518F3">
        <w:rPr>
          <w:rFonts w:eastAsia="Times New Roman" w:cs="Arial"/>
          <w:i/>
          <w:color w:val="000000" w:themeColor="text1"/>
        </w:rPr>
        <w:t>Portal</w:t>
      </w:r>
      <w:r w:rsidR="006518F3">
        <w:rPr>
          <w:rFonts w:eastAsia="Times New Roman" w:cs="Arial"/>
          <w:color w:val="000000" w:themeColor="text1"/>
        </w:rPr>
        <w:t xml:space="preserve">, this teaches the player to place portals in high places to help learn the flinging concept in a way where maybe the player would not have looked up to place a portal before. </w:t>
      </w:r>
    </w:p>
    <w:p w:rsidR="006518F3" w:rsidRDefault="006518F3" w:rsidP="006518F3">
      <w:pPr>
        <w:spacing w:after="0"/>
        <w:jc w:val="center"/>
        <w:rPr>
          <w:i/>
          <w:sz w:val="20"/>
          <w:szCs w:val="20"/>
        </w:rPr>
      </w:pPr>
      <w:r w:rsidRPr="006518F3">
        <w:rPr>
          <w:i/>
          <w:noProof/>
          <w:sz w:val="20"/>
          <w:szCs w:val="20"/>
        </w:rPr>
        <w:drawing>
          <wp:inline distT="0" distB="0" distL="0" distR="0">
            <wp:extent cx="5716905" cy="3569970"/>
            <wp:effectExtent l="19050" t="0" r="0" b="0"/>
            <wp:docPr id="44" name="Picture 9" descr="D:\My Library\My Desktop\Digipen Fall2013\GAT-120-GameAnalysis\paper-5\images-to-use-in-paper\3-environment-divin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Library\My Desktop\Digipen Fall2013\GAT-120-GameAnalysis\paper-5\images-to-use-in-paper\3-environment-divingBoard.jpg"/>
                    <pic:cNvPicPr>
                      <a:picLocks noChangeAspect="1" noChangeArrowheads="1"/>
                    </pic:cNvPicPr>
                  </pic:nvPicPr>
                  <pic:blipFill>
                    <a:blip r:embed="rId14"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Default="006518F3" w:rsidP="006518F3">
      <w:pPr>
        <w:spacing w:after="0"/>
        <w:jc w:val="center"/>
        <w:rPr>
          <w:i/>
          <w:sz w:val="20"/>
          <w:szCs w:val="20"/>
        </w:rPr>
      </w:pPr>
      <w:r>
        <w:rPr>
          <w:i/>
          <w:sz w:val="20"/>
          <w:szCs w:val="20"/>
        </w:rPr>
        <w:t>Figure 9—</w:t>
      </w:r>
      <w:r w:rsidR="00884CD2">
        <w:rPr>
          <w:i/>
          <w:sz w:val="20"/>
          <w:szCs w:val="20"/>
        </w:rPr>
        <w:t>an</w:t>
      </w:r>
      <w:r>
        <w:rPr>
          <w:i/>
          <w:sz w:val="20"/>
          <w:szCs w:val="20"/>
        </w:rPr>
        <w:t xml:space="preserve"> example of the diving board-like platform with an accompanying sign help teach flinging by jumping through portals places into a pit.</w:t>
      </w:r>
    </w:p>
    <w:p w:rsidR="006518F3" w:rsidRDefault="006518F3" w:rsidP="006518F3">
      <w:pPr>
        <w:spacing w:after="0"/>
        <w:jc w:val="center"/>
        <w:rPr>
          <w:i/>
          <w:sz w:val="20"/>
          <w:szCs w:val="20"/>
        </w:rPr>
      </w:pPr>
    </w:p>
    <w:p w:rsidR="006518F3" w:rsidRDefault="006518F3" w:rsidP="006518F3">
      <w:pPr>
        <w:spacing w:after="0" w:line="480" w:lineRule="auto"/>
        <w:jc w:val="center"/>
        <w:rPr>
          <w:i/>
          <w:sz w:val="20"/>
          <w:szCs w:val="20"/>
        </w:rPr>
      </w:pPr>
      <w:r w:rsidRPr="00B7264C">
        <w:rPr>
          <w:i/>
          <w:noProof/>
          <w:sz w:val="20"/>
          <w:szCs w:val="20"/>
        </w:rPr>
        <w:lastRenderedPageBreak/>
        <w:drawing>
          <wp:inline distT="0" distB="0" distL="0" distR="0">
            <wp:extent cx="5716905" cy="3569970"/>
            <wp:effectExtent l="19050" t="0" r="0" b="0"/>
            <wp:docPr id="45" name="Picture 1" descr="D:\My Library\My Desktop\Digipen Fall2013\GAT-120-GameAnalysis\paper-5\images-to-use-in-paper\3-environment-pu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Library\My Desktop\Digipen Fall2013\GAT-120-GameAnalysis\paper-5\images-to-use-in-paper\3-environment-pushBoard.jpg"/>
                    <pic:cNvPicPr>
                      <a:picLocks noChangeAspect="1" noChangeArrowheads="1"/>
                    </pic:cNvPicPr>
                  </pic:nvPicPr>
                  <pic:blipFill>
                    <a:blip r:embed="rId15" cstate="print"/>
                    <a:srcRect/>
                    <a:stretch>
                      <a:fillRect/>
                    </a:stretch>
                  </pic:blipFill>
                  <pic:spPr bwMode="auto">
                    <a:xfrm>
                      <a:off x="0" y="0"/>
                      <a:ext cx="5716905" cy="3569970"/>
                    </a:xfrm>
                    <a:prstGeom prst="rect">
                      <a:avLst/>
                    </a:prstGeom>
                    <a:noFill/>
                    <a:ln w="9525">
                      <a:noFill/>
                      <a:miter lim="800000"/>
                      <a:headEnd/>
                      <a:tailEnd/>
                    </a:ln>
                  </pic:spPr>
                </pic:pic>
              </a:graphicData>
            </a:graphic>
          </wp:inline>
        </w:drawing>
      </w:r>
    </w:p>
    <w:p w:rsidR="006518F3" w:rsidRPr="00B7264C" w:rsidRDefault="006518F3" w:rsidP="006518F3">
      <w:pPr>
        <w:spacing w:after="0" w:line="480" w:lineRule="auto"/>
        <w:jc w:val="center"/>
        <w:rPr>
          <w:i/>
          <w:sz w:val="20"/>
          <w:szCs w:val="20"/>
        </w:rPr>
      </w:pPr>
      <w:r>
        <w:rPr>
          <w:i/>
          <w:sz w:val="20"/>
          <w:szCs w:val="20"/>
        </w:rPr>
        <w:t>Figure 10—</w:t>
      </w:r>
      <w:r w:rsidR="00884CD2">
        <w:rPr>
          <w:i/>
          <w:sz w:val="20"/>
          <w:szCs w:val="20"/>
        </w:rPr>
        <w:t>an</w:t>
      </w:r>
      <w:r>
        <w:rPr>
          <w:i/>
          <w:sz w:val="20"/>
          <w:szCs w:val="20"/>
        </w:rPr>
        <w:t xml:space="preserve"> example of panels pushing out from the wall to invite the player to place a portal up high.</w:t>
      </w:r>
    </w:p>
    <w:p w:rsidR="006518F3" w:rsidRPr="002728AB" w:rsidRDefault="006518F3" w:rsidP="002728AB">
      <w:pPr>
        <w:spacing w:after="0" w:line="480" w:lineRule="auto"/>
        <w:ind w:firstLine="720"/>
        <w:rPr>
          <w:rFonts w:eastAsia="Times New Roman" w:cs="Arial"/>
          <w:color w:val="000000" w:themeColor="text1"/>
        </w:rPr>
      </w:pPr>
    </w:p>
    <w:p w:rsidR="008927F6" w:rsidRPr="006518F3" w:rsidRDefault="002728AB" w:rsidP="006518F3">
      <w:pPr>
        <w:spacing w:after="0" w:line="480" w:lineRule="auto"/>
        <w:ind w:firstLine="720"/>
        <w:rPr>
          <w:color w:val="000000" w:themeColor="text1"/>
        </w:rPr>
      </w:pPr>
      <w:r>
        <w:rPr>
          <w:rFonts w:eastAsia="Times New Roman" w:cs="Arial"/>
          <w:color w:val="000000" w:themeColor="text1"/>
        </w:rPr>
        <w:t xml:space="preserve">Make no mistake, while </w:t>
      </w:r>
      <w:r>
        <w:rPr>
          <w:rFonts w:eastAsia="Times New Roman" w:cs="Arial"/>
          <w:i/>
          <w:color w:val="000000" w:themeColor="text1"/>
        </w:rPr>
        <w:t xml:space="preserve">Portal </w:t>
      </w:r>
      <w:r>
        <w:rPr>
          <w:rFonts w:eastAsia="Times New Roman" w:cs="Arial"/>
          <w:color w:val="000000" w:themeColor="text1"/>
        </w:rPr>
        <w:t xml:space="preserve">is a challenging game, it would be needlessly difficult if the game did not handle teaching the player properly. There is so much teaching happening in </w:t>
      </w:r>
      <w:r>
        <w:rPr>
          <w:rFonts w:eastAsia="Times New Roman" w:cs="Arial"/>
          <w:i/>
          <w:color w:val="000000" w:themeColor="text1"/>
        </w:rPr>
        <w:t>Portal</w:t>
      </w:r>
      <w:r>
        <w:rPr>
          <w:rFonts w:eastAsia="Times New Roman" w:cs="Arial"/>
          <w:color w:val="000000" w:themeColor="text1"/>
        </w:rPr>
        <w:t xml:space="preserve">, whether it is or is not subtle, that the player cannot help but learn how to master playing the game. </w:t>
      </w:r>
      <w:r>
        <w:rPr>
          <w:rFonts w:eastAsia="Times New Roman" w:cs="Arial"/>
          <w:i/>
          <w:color w:val="000000" w:themeColor="text1"/>
        </w:rPr>
        <w:t>Portal</w:t>
      </w:r>
      <w:r>
        <w:rPr>
          <w:rFonts w:eastAsia="Times New Roman" w:cs="Arial"/>
          <w:color w:val="000000" w:themeColor="text1"/>
        </w:rPr>
        <w:t xml:space="preserve"> proves that even difficult concepts can be taught if a game designer knows how to teach them in a game the right way.</w:t>
      </w:r>
    </w:p>
    <w:sectPr w:rsidR="008927F6" w:rsidRPr="006518F3" w:rsidSect="002805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5822F5"/>
    <w:multiLevelType w:val="multilevel"/>
    <w:tmpl w:val="23C6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737B6"/>
    <w:rsid w:val="00140B6C"/>
    <w:rsid w:val="00145CBB"/>
    <w:rsid w:val="002728AB"/>
    <w:rsid w:val="0028054E"/>
    <w:rsid w:val="003A15C4"/>
    <w:rsid w:val="006518F3"/>
    <w:rsid w:val="006C587F"/>
    <w:rsid w:val="006F1403"/>
    <w:rsid w:val="0075339B"/>
    <w:rsid w:val="00846EDD"/>
    <w:rsid w:val="00884CD2"/>
    <w:rsid w:val="008927F6"/>
    <w:rsid w:val="008F1C15"/>
    <w:rsid w:val="00A737B6"/>
    <w:rsid w:val="00B7264C"/>
    <w:rsid w:val="00FE78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7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64C"/>
    <w:rPr>
      <w:rFonts w:ascii="Tahoma" w:hAnsi="Tahoma" w:cs="Tahoma"/>
      <w:sz w:val="16"/>
      <w:szCs w:val="16"/>
    </w:rPr>
  </w:style>
  <w:style w:type="character" w:styleId="Hyperlink">
    <w:name w:val="Hyperlink"/>
    <w:basedOn w:val="DefaultParagraphFont"/>
    <w:uiPriority w:val="99"/>
    <w:semiHidden/>
    <w:unhideWhenUsed/>
    <w:rsid w:val="00140B6C"/>
    <w:rPr>
      <w:color w:val="0000FF"/>
      <w:u w:val="single"/>
    </w:rPr>
  </w:style>
</w:styles>
</file>

<file path=word/webSettings.xml><?xml version="1.0" encoding="utf-8"?>
<w:webSettings xmlns:r="http://schemas.openxmlformats.org/officeDocument/2006/relationships" xmlns:w="http://schemas.openxmlformats.org/wordprocessingml/2006/main">
  <w:divs>
    <w:div w:id="600991307">
      <w:bodyDiv w:val="1"/>
      <w:marLeft w:val="0"/>
      <w:marRight w:val="0"/>
      <w:marTop w:val="0"/>
      <w:marBottom w:val="0"/>
      <w:divBdr>
        <w:top w:val="none" w:sz="0" w:space="0" w:color="auto"/>
        <w:left w:val="none" w:sz="0" w:space="0" w:color="auto"/>
        <w:bottom w:val="none" w:sz="0" w:space="0" w:color="auto"/>
        <w:right w:val="none" w:sz="0" w:space="0" w:color="auto"/>
      </w:divBdr>
    </w:div>
    <w:div w:id="143636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i1.theportalwiki.net/img/b/b1/GLaDOS_06_part1_success_2-1.wav"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9</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#5—Portal: Teaching the Player</dc:title>
  <dc:creator>TheDevilsWaffle</dc:creator>
  <cp:keywords>GAT-120;Portal;Teaching the Player;F13</cp:keywords>
  <cp:lastModifiedBy>TheDevilsWaffle</cp:lastModifiedBy>
  <cp:revision>6</cp:revision>
  <dcterms:created xsi:type="dcterms:W3CDTF">2013-10-09T03:21:00Z</dcterms:created>
  <dcterms:modified xsi:type="dcterms:W3CDTF">2013-10-09T04:59:00Z</dcterms:modified>
</cp:coreProperties>
</file>