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cs="Arial"/>
          <w:b/>
          <w:sz w:val="24"/>
        </w:rPr>
        <w:t>REPÚBLICA BOLIVARIANA DE VENEZUELA</w:t>
      </w:r>
    </w:p>
    <w:p>
      <w:pPr>
        <w:pStyle w:val="Normal"/>
        <w:spacing w:lineRule="auto" w:line="240"/>
        <w:jc w:val="center"/>
        <w:rPr/>
      </w:pPr>
      <w:r>
        <w:rPr>
          <w:rFonts w:cs="Arial"/>
          <w:b/>
          <w:sz w:val="24"/>
        </w:rPr>
        <w:t>MINISTERIO DEL PODER POPULAR PARA LA EDUCACIÓN SUPERIOR</w:t>
      </w:r>
    </w:p>
    <w:p>
      <w:pPr>
        <w:pStyle w:val="Normal"/>
        <w:spacing w:lineRule="auto" w:line="240"/>
        <w:jc w:val="center"/>
        <w:rPr/>
      </w:pPr>
      <w:r>
        <w:rPr>
          <w:rFonts w:cs="Arial"/>
          <w:b/>
          <w:sz w:val="24"/>
        </w:rPr>
        <w:t>UNIVERSIDAD NACIONAL EXPERIMENTAL</w:t>
      </w:r>
    </w:p>
    <w:p>
      <w:pPr>
        <w:pStyle w:val="Normal"/>
        <w:spacing w:lineRule="auto" w:line="240"/>
        <w:jc w:val="center"/>
        <w:rPr/>
      </w:pPr>
      <w:r>
        <w:rPr>
          <w:rFonts w:cs="Arial"/>
          <w:b/>
          <w:sz w:val="24"/>
        </w:rPr>
        <w:t>DE LAS TELECOMUNICACIONES E INFORMÁTICA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>
          <w:rFonts w:cs="Arial"/>
          <w:b/>
          <w:sz w:val="32"/>
        </w:rPr>
        <w:t>Pawcare: App móvil para atención veterinaria a domicilio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76"/>
        <w:jc w:val="right"/>
        <w:rPr/>
      </w:pPr>
      <w:r>
        <w:rPr>
          <w:rFonts w:cs="Arial"/>
          <w:b/>
          <w:sz w:val="24"/>
        </w:rPr>
        <w:t>Miguel Figuera C.I: 23.558.789</w:t>
      </w:r>
    </w:p>
    <w:p>
      <w:pPr>
        <w:pStyle w:val="Normal"/>
        <w:spacing w:lineRule="auto" w:line="276"/>
        <w:jc w:val="right"/>
        <w:rPr/>
      </w:pPr>
      <w:r>
        <w:rPr>
          <w:rFonts w:cs="Arial"/>
          <w:b/>
          <w:sz w:val="24"/>
        </w:rPr>
        <w:t>Iromy León C.I: V-30.243.131</w:t>
      </w:r>
    </w:p>
    <w:p>
      <w:pPr>
        <w:pStyle w:val="Normal"/>
        <w:spacing w:lineRule="auto" w:line="276"/>
        <w:jc w:val="right"/>
        <w:rPr/>
      </w:pPr>
      <w:r>
        <w:rPr>
          <w:rFonts w:cs="Arial"/>
          <w:b/>
          <w:sz w:val="24"/>
        </w:rPr>
        <w:t>Alejandra Herde C.I: V-23.711.974</w:t>
      </w:r>
    </w:p>
    <w:p>
      <w:pPr>
        <w:pStyle w:val="Normal"/>
        <w:spacing w:lineRule="auto" w:line="276"/>
        <w:jc w:val="right"/>
        <w:rPr/>
      </w:pPr>
      <w:r>
        <w:rPr>
          <w:rFonts w:cs="Arial"/>
          <w:b/>
          <w:sz w:val="24"/>
        </w:rPr>
        <w:t>Tutor: Yuly Delgado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>
          <w:rFonts w:cs="Arial"/>
          <w:b/>
          <w:sz w:val="24"/>
        </w:rPr>
        <w:t>Caracas, Mayo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cs="Arial"/>
          <w:b/>
          <w:sz w:val="28"/>
        </w:rPr>
        <w:t>Nombre del proyecto</w:t>
      </w:r>
    </w:p>
    <w:p>
      <w:pPr>
        <w:pStyle w:val="Normal"/>
        <w:jc w:val="both"/>
        <w:rPr/>
      </w:pPr>
      <w:r>
        <w:rPr>
          <w:rFonts w:cs="Arial"/>
          <w:b/>
          <w:sz w:val="24"/>
        </w:rPr>
        <w:t>Pawcare: App móvil para atención veterinaria a domicilio.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Pawcare es una plataforma de gestión de relaciones con los clientes (CRM) para el consultorio veterinario Pawcare, cuyo componente central es una aplicación móvil que habilita la atención veterinaria a domicilio. El sistema digitaliza y optimiza la gestión de citas (en local o a domicilio), historias clínicas, control de vacunación, comunicación con los clientes y registro de pagos, sustituyendo los procesos manuales actuales por un canal digital accesible desde el teléfono del dueño y del personal de la clínica.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Alcance de la investigación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investigación abarca el diseño de un sistema compuesto por un backend (API) y una aplicación móvil que sirve como canal de atención veterinaria a domicilio. La aplicación móvil permite a los dueños descubrir servicios, agendar y gestionar visitas (presenciales o a domicilio), consultar el historial clínico de sus mascotas, registrar pagos y dar seguimiento a vacunas y tratamientos; mientras que el personal autorizado gestiona pacientes, agenda, consultas y reportes desde el mismo dispositivo.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El dominio funcional considerado dentro del alcance incluye: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datos de clientes (dueños) y sus mascotas.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integral de la agenda de citas, en local o a domicilio (creación, modificación, cancelación, recordatorios y confirmaciones).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esquemas de vacunación: recordatorios, costos y agenda.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la historia clínica electrónica (consultas, diagnósticos, tratamientos, vacunaciones, desparasitaciones y archivos adjuntos como exámenes).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Prescripción de tratamientos y generación de récipes.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Solicitud de exámenes de laboratorio.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Registro básico de ingresos y egresos por servicios y productos vinculados a la consulta.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recordatorios (citas, vacunas, desparasitaciones).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servicios de atención (hospedaje, cirugía, hospitalización, grooming).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personal, roles y turnos.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Quedan fuera del alcance: la contabilidad financiera avanzada, el marketing y las campañas publicitarias complejas, la gestión avanzada de proveedores y compras, y la integración directa con equipos de laboratorio para la recepción automática de resultados.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En el plano técnico, la aplicación móvil se desarrolla para Android (Expo SDK 56 / React Native) y consume exclusivamente las 157 rutas del API documentadas para el cliente móvil, distribuidas en los dominios Público (19), Dueño/Owner (54) y Administrador/Admin (84).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Importancia de la investigación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El consultorio Pawcare, liderado por la Dra. Génesis Conesa, ofrece servicios de consulta, hospedaje y peluquería canina a precios accesibles, y constituye un pilar comunitario al participar con regularidad en campañas de vacunación y consultas veterinarias en servicios comunitarios. Atiende a una cantidad considerable de pacientes de la ciudad de La Victoria, abarcando personas de distintos grupos socioeconómicos.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importancia del proyecto radica en que la atención a domicilio, soportada por una aplicación móvil, acerca el servicio veterinario al hogar del paciente, fomenta la atención constante de las mascotas y favorece la detección temprana de enfermedades, el control de al menos dos consultas al año y los recordatorios de vacunación. Asimismo, resuelve problemas concretos del proceso manual actual: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Gestión de citas manual, propensa a errores, duplicaciones y dificultades para optimizar la agenda.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Historias clínicas en papel, con acceso lento, riesgo de extravío y dificultad para el seguimiento de enfermedades crónicas.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Control de vacunación manual, con riesgo de olvidar fechas y refuerzos.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Comunicación con clientes poco proactiva (recordatorios, seguimiento).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Coordinación y registro de resultados de laboratorio de forma manual.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Falta de diferenciación clara entre servicios (peluquería, hospedaje, consulta) y sus costos.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Registro de pagos manual, sin visibilidad rápida del flujo de caja.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participación activa de la Dra. Génesis y su asistente es fundamental para garantizar que la herramienta resultante sea verdaderamente útil y sostenible para la comunidad.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Informantes claves del diseño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Los informantes clave que alimentaron el diseño mediante el diagnóstico participativo son: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Dra. Génesis Conesa</w:t>
      </w:r>
      <w:r>
        <w:rPr>
          <w:rFonts w:cs="Arial"/>
          <w:b w:val="false"/>
          <w:sz w:val="24"/>
        </w:rPr>
        <w:t xml:space="preserve"> — veterinaria principal y líder del consultorio Pawcare. Principal fuente sobre los procesos clínicos y administrativos, prioridades y expectativas.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Asistente del consultorio</w:t>
      </w:r>
      <w:r>
        <w:rPr>
          <w:rFonts w:cs="Arial"/>
          <w:b w:val="false"/>
          <w:sz w:val="24"/>
        </w:rPr>
        <w:t xml:space="preserve"> — informante sobre la operación diaria, la gestión de citas y el registro de información.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Clientes / dueños de mascotas</w:t>
      </w:r>
      <w:r>
        <w:rPr>
          <w:rFonts w:cs="Arial"/>
          <w:b w:val="false"/>
          <w:sz w:val="24"/>
        </w:rPr>
        <w:t xml:space="preserve"> — usuarios finales del canal móvil; aportan las necesidades de uso de la atención a domicilio.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Su intervención se canalizó a través de entrevistas individuales, observación directa del flujo de trabajo, análisis de los documentos existentes (formatos de historias clínicas y hojas de citas) y un taller participativo de validación de requerimientos.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Metodología de Ingeniería del software utilizada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El proyecto combina un enfoque de </w:t>
      </w:r>
      <w:r>
        <w:rPr>
          <w:rFonts w:cs="Arial"/>
          <w:b/>
          <w:sz w:val="24"/>
        </w:rPr>
        <w:t>diagnóstico participativo iterativo</w:t>
      </w:r>
      <w:r>
        <w:rPr>
          <w:rFonts w:cs="Arial"/>
          <w:b w:val="false"/>
          <w:sz w:val="24"/>
        </w:rPr>
        <w:t xml:space="preserve"> con el marco ágil </w:t>
      </w:r>
      <w:r>
        <w:rPr>
          <w:rFonts w:cs="Arial"/>
          <w:b/>
          <w:sz w:val="24"/>
        </w:rPr>
        <w:t>Scrum</w:t>
      </w:r>
      <w:r>
        <w:rPr>
          <w:rFonts w:cs="Arial"/>
          <w:b w:val="false"/>
          <w:sz w:val="24"/>
        </w:rPr>
        <w:t xml:space="preserve"> para el desarrollo del software.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El </w:t>
      </w:r>
      <w:r>
        <w:rPr>
          <w:rFonts w:cs="Arial"/>
          <w:b/>
          <w:sz w:val="24"/>
        </w:rPr>
        <w:t>diagnóstico participativo iterativo</w:t>
      </w:r>
      <w:r>
        <w:rPr>
          <w:rFonts w:cs="Arial"/>
          <w:b w:val="false"/>
          <w:sz w:val="24"/>
        </w:rPr>
        <w:t xml:space="preserve"> estructura el levantamiento y la validación de requerimientos en fases que se recorren de forma incremental, con retroalimentación continua de los informantes clave:</w:t>
      </w:r>
    </w:p>
    <w:p>
      <w:pPr>
        <w:pStyle w:val="ListNumber"/>
        <w:numPr>
          <w:ilvl w:val="0"/>
          <w:numId w:val="4"/>
        </w:numPr>
        <w:jc w:val="left"/>
        <w:rPr/>
      </w:pPr>
      <w:r>
        <w:rPr>
          <w:rFonts w:cs="Arial"/>
          <w:b/>
          <w:sz w:val="24"/>
        </w:rPr>
        <w:t>Preparación.</w:t>
      </w:r>
      <w:r>
        <w:rPr>
          <w:rFonts w:cs="Arial"/>
          <w:b w:val="false"/>
          <w:sz w:val="24"/>
        </w:rPr>
        <w:t xml:space="preserve"> Reunión inicial, definición de roles y del alcance del CRM, elaboración de la guía de entrevista y de las plantillas de documentación.</w:t>
      </w:r>
    </w:p>
    <w:p>
      <w:pPr>
        <w:pStyle w:val="ListNumber"/>
        <w:numPr>
          <w:ilvl w:val="0"/>
          <w:numId w:val="4"/>
        </w:numPr>
        <w:jc w:val="left"/>
        <w:rPr/>
      </w:pPr>
      <w:r>
        <w:rPr>
          <w:rFonts w:cs="Arial"/>
          <w:b/>
          <w:sz w:val="24"/>
        </w:rPr>
        <w:t>Recopilación de información.</w:t>
      </w:r>
      <w:r>
        <w:rPr>
          <w:rFonts w:cs="Arial"/>
          <w:b w:val="false"/>
          <w:sz w:val="24"/>
        </w:rPr>
        <w:t xml:space="preserve"> Entrevistas individuales con la Dra. Génesis y su asistente, observación directa del flujo de trabajo y análisis de documentos existentes.</w:t>
      </w:r>
    </w:p>
    <w:p>
      <w:pPr>
        <w:pStyle w:val="ListNumber"/>
        <w:numPr>
          <w:ilvl w:val="0"/>
          <w:numId w:val="4"/>
        </w:numPr>
        <w:jc w:val="left"/>
        <w:rPr/>
      </w:pPr>
      <w:r>
        <w:rPr>
          <w:rFonts w:cs="Arial"/>
          <w:b/>
          <w:sz w:val="24"/>
        </w:rPr>
        <w:t>Análisis y documentación de requerimientos.</w:t>
      </w:r>
      <w:r>
        <w:rPr>
          <w:rFonts w:cs="Arial"/>
          <w:b w:val="false"/>
          <w:sz w:val="24"/>
        </w:rPr>
        <w:t xml:space="preserve"> Taller participativo, creación de casos de uso y priorización (alta, media, baja).</w:t>
      </w:r>
    </w:p>
    <w:p>
      <w:pPr>
        <w:pStyle w:val="ListNumber"/>
        <w:numPr>
          <w:ilvl w:val="0"/>
          <w:numId w:val="4"/>
        </w:numPr>
        <w:jc w:val="left"/>
        <w:rPr/>
      </w:pPr>
      <w:r>
        <w:rPr>
          <w:rFonts w:cs="Arial"/>
          <w:b/>
          <w:sz w:val="24"/>
        </w:rPr>
        <w:t>Validación y ajuste.</w:t>
      </w:r>
      <w:r>
        <w:rPr>
          <w:rFonts w:cs="Arial"/>
          <w:b w:val="false"/>
          <w:sz w:val="24"/>
        </w:rPr>
        <w:t xml:space="preserve"> Presentación de los requerimientos documentados, sesión de retroalimentación y ajuste según los comentarios.</w:t>
      </w:r>
    </w:p>
    <w:p>
      <w:pPr>
        <w:pStyle w:val="ListNumber"/>
        <w:numPr>
          <w:ilvl w:val="0"/>
          <w:numId w:val="4"/>
        </w:numPr>
        <w:jc w:val="left"/>
        <w:rPr/>
      </w:pPr>
      <w:r>
        <w:rPr>
          <w:rFonts w:cs="Arial"/>
          <w:b/>
          <w:sz w:val="24"/>
        </w:rPr>
        <w:t>Desarrollo, implementación y evaluación.</w:t>
      </w:r>
      <w:r>
        <w:rPr>
          <w:rFonts w:cs="Arial"/>
          <w:b w:val="false"/>
          <w:sz w:val="24"/>
        </w:rPr>
        <w:t xml:space="preserve"> Construcción del sistema, pruebas, capacitación, implementación y mejora continua.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Sobre esta base, el desarrollo se organiza con </w:t>
      </w:r>
      <w:r>
        <w:rPr>
          <w:rFonts w:cs="Arial"/>
          <w:b/>
          <w:sz w:val="24"/>
        </w:rPr>
        <w:t>Scrum</w:t>
      </w:r>
      <w:r>
        <w:rPr>
          <w:rFonts w:cs="Arial"/>
          <w:b w:val="false"/>
          <w:sz w:val="24"/>
        </w:rPr>
        <w:t>: el trabajo se divide en sprints cortos e iterativos, con un product backlog derivado de los requerimientos priorizados, reuniones de planificación y revisión por sprint, y entregas incrementales que se validan con el consultorio. Esta combinación permite incorporar la retroalimentación de los usuarios de forma temprana y frecuente, reduciendo el riesgo de construir funcionalidades que no respondan a las necesidades reales de la atención a domicilio.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Criterios básicos del diseño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filosofía de diseño busca un sistema robusto, mantenible y fácil de instalar y desplegar, capaz de escalar desde una implementación inicial en un único servidor hasta una arquitectura distribuida conforme crezca la demanda. Los criterios básicos que guían el diseño son: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Robustez y mantenibilidad.</w:t>
      </w:r>
      <w:r>
        <w:rPr>
          <w:rFonts w:cs="Arial"/>
          <w:b w:val="false"/>
          <w:sz w:val="24"/>
        </w:rPr>
        <w:t xml:space="preserve"> Diseño modular que facilita actualizaciones y pruebas automatizadas.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Facilidad de despliegue.</w:t>
      </w:r>
      <w:r>
        <w:rPr>
          <w:rFonts w:cs="Arial"/>
          <w:b w:val="false"/>
          <w:sz w:val="24"/>
        </w:rPr>
        <w:t xml:space="preserve"> Empaquetado en contenedores (Docker) para una instalación reproducible.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Escalabilidad.</w:t>
      </w:r>
      <w:r>
        <w:rPr>
          <w:rFonts w:cs="Arial"/>
          <w:b w:val="false"/>
          <w:sz w:val="24"/>
        </w:rPr>
        <w:t xml:space="preserve"> Capacidad de crecer en usuarios y volumen de datos sin re-arquitectura.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Mobile-first.</w:t>
      </w:r>
      <w:r>
        <w:rPr>
          <w:rFonts w:cs="Arial"/>
          <w:b w:val="false"/>
          <w:sz w:val="24"/>
        </w:rPr>
        <w:t xml:space="preserve"> La interfaz se concibe primero para el teléfono (uso a una mano, orientación vertical, áreas táctiles ≥ 48 dp, tipografía ≥ 16 px y respeto de las áreas seguras).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Operación offline / offline-first.</w:t>
      </w:r>
      <w:r>
        <w:rPr>
          <w:rFonts w:cs="Arial"/>
          <w:b w:val="false"/>
          <w:sz w:val="24"/>
        </w:rPr>
        <w:t xml:space="preserve"> La app permite consultar la última copia local y encolar acciones de escritura cuando no hay conexión, con sincronización bajo consentimiento del usuario.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Seguridad por roles.</w:t>
      </w:r>
      <w:r>
        <w:rPr>
          <w:rFonts w:cs="Arial"/>
          <w:b w:val="false"/>
          <w:sz w:val="24"/>
        </w:rPr>
        <w:t xml:space="preserve"> Control de acceso diferenciado para los dominios público, dueño y administrador, con almacenamiento seguro de tokens y comunicación cifrada.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Consistencia visual.</w:t>
      </w:r>
      <w:r>
        <w:rPr>
          <w:rFonts w:cs="Arial"/>
          <w:b w:val="false"/>
          <w:sz w:val="24"/>
        </w:rPr>
        <w:t xml:space="preserve"> Uso de un sistema de tokens de diseño (colores, espaciado, tipografía, sombras) con modo claro y oscuro.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Estilos arquitectónicos a utilizar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El sistema adopta una </w:t>
      </w:r>
      <w:r>
        <w:rPr>
          <w:rFonts w:cs="Arial"/>
          <w:b/>
          <w:sz w:val="24"/>
        </w:rPr>
        <w:t>arquitectura de tres capas contenerizada con Docker</w:t>
      </w:r>
      <w:r>
        <w:rPr>
          <w:rFonts w:cs="Arial"/>
          <w:b w:val="false"/>
          <w:sz w:val="24"/>
        </w:rPr>
        <w:t xml:space="preserve">, bajo un estilo </w:t>
      </w:r>
      <w:r>
        <w:rPr>
          <w:rFonts w:cs="Arial"/>
          <w:b/>
          <w:sz w:val="24"/>
        </w:rPr>
        <w:t>cliente-servidor</w:t>
      </w:r>
      <w:r>
        <w:rPr>
          <w:rFonts w:cs="Arial"/>
          <w:b w:val="false"/>
          <w:sz w:val="24"/>
        </w:rPr>
        <w:t>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Capa de backend (servidor).</w:t>
      </w:r>
      <w:r>
        <w:rPr>
          <w:rFonts w:cs="Arial"/>
          <w:b w:val="false"/>
          <w:sz w:val="24"/>
        </w:rPr>
        <w:t xml:space="preserve"> Implementada en Ruby on Rails en modo API (`api_only`), expone una </w:t>
      </w:r>
      <w:r>
        <w:rPr>
          <w:rFonts w:cs="Arial"/>
          <w:b/>
          <w:sz w:val="24"/>
        </w:rPr>
        <w:t>API RESTful</w:t>
      </w:r>
      <w:r>
        <w:rPr>
          <w:rFonts w:cs="Arial"/>
          <w:b w:val="false"/>
          <w:sz w:val="24"/>
        </w:rPr>
        <w:t xml:space="preserve"> que entrega y recibe JSON. Internamente sigue el patrón </w:t>
      </w:r>
      <w:r>
        <w:rPr>
          <w:rFonts w:cs="Arial"/>
          <w:b/>
          <w:sz w:val="24"/>
        </w:rPr>
        <w:t>MVC</w:t>
      </w:r>
      <w:r>
        <w:rPr>
          <w:rFonts w:cs="Arial"/>
          <w:b w:val="false"/>
          <w:sz w:val="24"/>
        </w:rPr>
        <w:t xml:space="preserve"> con la lógica de negocio encapsulada en clases de acción que devuelven un resultado explícito (</w:t>
      </w:r>
      <w:r>
        <w:rPr>
          <w:rFonts w:cs="Arial"/>
          <w:b/>
          <w:sz w:val="24"/>
        </w:rPr>
        <w:t>Action Pattern / Result</w:t>
      </w:r>
      <w:r>
        <w:rPr>
          <w:rFonts w:cs="Arial"/>
          <w:b w:val="false"/>
          <w:sz w:val="24"/>
        </w:rPr>
        <w:t xml:space="preserve">: `Result.success(...)` o `Result.failure(error:)`), manteniendo los controladores delgados. La autenticación es </w:t>
      </w:r>
      <w:r>
        <w:rPr>
          <w:rFonts w:cs="Arial"/>
          <w:b/>
          <w:sz w:val="24"/>
        </w:rPr>
        <w:t>JWT stateless</w:t>
      </w:r>
      <w:r>
        <w:rPr>
          <w:rFonts w:cs="Arial"/>
          <w:b w:val="false"/>
          <w:sz w:val="24"/>
        </w:rPr>
        <w:t>. Emplea ActiveRecord como ORM y ActiveStorage para archivos multimedia, además de borrado lógico (soft delete) y relaciones polimórficas.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Capa de cliente móvil.</w:t>
      </w:r>
      <w:r>
        <w:rPr>
          <w:rFonts w:cs="Arial"/>
          <w:b w:val="false"/>
          <w:sz w:val="24"/>
        </w:rPr>
        <w:t xml:space="preserve"> Aplicación React Native (Expo SDK 56, TypeScript) organizada </w:t>
      </w:r>
      <w:r>
        <w:rPr>
          <w:rFonts w:cs="Arial"/>
          <w:b/>
          <w:sz w:val="24"/>
        </w:rPr>
        <w:t>por capas</w:t>
      </w:r>
      <w:r>
        <w:rPr>
          <w:rFonts w:cs="Arial"/>
          <w:b w:val="false"/>
          <w:sz w:val="24"/>
        </w:rPr>
        <w:t>: navegación → pantallas (orquestación) → componentes de UI → servicios (cliente HTTP) → hooks (lógica reutilizable) → tipos y tema. Es un cliente que consume la API por HTTPS y mantiene una cola local para la operación offline.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Capa de persistencia.</w:t>
      </w:r>
      <w:r>
        <w:rPr>
          <w:rFonts w:cs="Arial"/>
          <w:b w:val="false"/>
          <w:sz w:val="24"/>
        </w:rPr>
        <w:t xml:space="preserve"> Base de datos relacional </w:t>
      </w:r>
      <w:r>
        <w:rPr>
          <w:rFonts w:cs="Arial"/>
          <w:b/>
          <w:sz w:val="24"/>
        </w:rPr>
        <w:t>MySQL</w:t>
      </w:r>
      <w:r>
        <w:rPr>
          <w:rFonts w:cs="Arial"/>
          <w:b w:val="false"/>
          <w:sz w:val="24"/>
        </w:rPr>
        <w:t xml:space="preserve"> normalizada, con respaldos automáticos y volúmenes persistentes para multimedia.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estrategia de escalamiento contempla una primera fase de escalamiento vertical (incremento de recursos del servidor e introducción de caché) y una segunda fase de escalamiento horizontal (CDN, balanceador de carga, flotas de servidores de frontend y backend, y base de datos en modo primario-réplica).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Trazabilidad del diseño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La trazabilidad asegura que cada necesidad quede cubierta por un artefacto de diseño y prueba, evitando requisitos huérfanos. Se mantienen los siguientes instrumentos: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Cadena requisito → ruta → pantalla → componente.</w:t>
      </w:r>
      <w:r>
        <w:rPr>
          <w:rFonts w:cs="Arial"/>
          <w:b w:val="false"/>
          <w:sz w:val="24"/>
        </w:rPr>
        <w:t xml:space="preserve"> Cada requisito funcional se vincula con las rutas del API que lo implementan, las pantallas que lo presentan y los componentes de UI que lo construyen (criterio de mantenibilidad RNF-MAINT-001).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Apéndice de cobertura endpoint → requisito.</w:t>
      </w:r>
      <w:r>
        <w:rPr>
          <w:rFonts w:cs="Arial"/>
          <w:b w:val="false"/>
          <w:sz w:val="24"/>
        </w:rPr>
        <w:t xml:space="preserve"> Las 157 rutas móviles se mapean a su requisito funcional; la cobertura es de </w:t>
      </w:r>
      <w:r>
        <w:rPr>
          <w:rFonts w:cs="Arial"/>
          <w:b/>
          <w:sz w:val="24"/>
        </w:rPr>
        <w:t>156 de 157</w:t>
      </w:r>
      <w:r>
        <w:rPr>
          <w:rFonts w:cs="Arial"/>
          <w:b w:val="false"/>
          <w:sz w:val="24"/>
        </w:rPr>
        <w:t xml:space="preserve"> endpoints, con un único endpoint sin requisito (`GET /auth/debug`, de diagnóstico).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Matriz Requisito ↔ Caso de Uso ↔ Prueba.</w:t>
      </w:r>
      <w:r>
        <w:rPr>
          <w:rFonts w:cs="Arial"/>
          <w:b w:val="false"/>
          <w:sz w:val="24"/>
        </w:rPr>
        <w:t xml:space="preserve"> Garantiza que todos los RF/RNF estén cubiertos por casos de uso y pruebas de aceptación.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Matrices de negocio.</w:t>
      </w:r>
      <w:r>
        <w:rPr>
          <w:rFonts w:cs="Arial"/>
          <w:b w:val="false"/>
          <w:sz w:val="24"/>
        </w:rPr>
        <w:t xml:space="preserve"> Matriz Objetos vs. Procesos (CRUD) y matriz Actores/Unidades vs. Procesos (RACI) para ubicar responsabilidades.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Los documentos de requisitos y matrices se mantienen bajo control de versiones, lo que permite auditoría completa y reversión.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Atributos del diseño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Los atributos de calidad que orientan el diseño se alinean con el modelo </w:t>
      </w:r>
      <w:r>
        <w:rPr>
          <w:rFonts w:cs="Arial"/>
          <w:b/>
          <w:sz w:val="24"/>
        </w:rPr>
        <w:t>ISO/IEC 25010</w:t>
      </w:r>
      <w:r>
        <w:rPr>
          <w:rFonts w:cs="Arial"/>
          <w:b w:val="false"/>
          <w:sz w:val="24"/>
        </w:rPr>
        <w:t>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Usabilidad.</w:t>
      </w:r>
      <w:r>
        <w:rPr>
          <w:rFonts w:cs="Arial"/>
          <w:b w:val="false"/>
          <w:sz w:val="24"/>
        </w:rPr>
        <w:t xml:space="preserve"> Facilidad de aprendizaje (menos de 2 horas de formación), eficiencia (tareas comunes en 3–5 interacciones), satisfacción del usuario y prevención y recuperación de errores.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Rendimiento.</w:t>
      </w:r>
      <w:r>
        <w:rPr>
          <w:rFonts w:cs="Arial"/>
          <w:b w:val="false"/>
          <w:sz w:val="24"/>
        </w:rPr>
        <w:t xml:space="preserve"> Transiciones entre pantallas en menos de 1 segundo en conexión normal; tiempos de respuesta acotados para cargar historiales, guardar entradas y buscar pacientes.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Escalabilidad.</w:t>
      </w:r>
      <w:r>
        <w:rPr>
          <w:rFonts w:cs="Arial"/>
          <w:b w:val="false"/>
          <w:sz w:val="24"/>
        </w:rPr>
        <w:t xml:space="preserve"> Soporte de crecimiento de usuarios y datos sin re-arquitectura.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Disponibilidad y fiabilidad.</w:t>
      </w:r>
      <w:r>
        <w:rPr>
          <w:rFonts w:cs="Arial"/>
          <w:b w:val="false"/>
          <w:sz w:val="24"/>
        </w:rPr>
        <w:t xml:space="preserve"> Alta disponibilidad en horario operativo, integridad de datos con transacciones atómicas, objetivos de respaldo y recuperación (RPO/RTO) y tolerancia a fallos con preservación de los datos del usuario.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Seguridad.</w:t>
      </w:r>
      <w:r>
        <w:rPr>
          <w:rFonts w:cs="Arial"/>
          <w:b w:val="false"/>
          <w:sz w:val="24"/>
        </w:rPr>
        <w:t xml:space="preserve"> Control de acceso por roles, cifrado en tránsito y en reposo, pistas de auditoría y validación de entradas (prevención de inyección SQL y XSS).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Mantenibilidad y compatibilidad.</w:t>
      </w:r>
      <w:r>
        <w:rPr>
          <w:rFonts w:cs="Arial"/>
          <w:b w:val="false"/>
          <w:sz w:val="24"/>
        </w:rPr>
        <w:t xml:space="preserve"> Modularidad, testeabilidad, compatibilidad con las versiones de Android soportadas por Expo SDK 56 y exportación de datos.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Requisitos funcionales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Los requisitos funcionales se documentan en `docs/mobile-requirements.md` y suman </w:t>
      </w:r>
      <w:r>
        <w:rPr>
          <w:rFonts w:cs="Arial"/>
          <w:b/>
          <w:sz w:val="24"/>
        </w:rPr>
        <w:t>26 requisitos</w:t>
      </w:r>
      <w:r>
        <w:rPr>
          <w:rFonts w:cs="Arial"/>
          <w:b w:val="false"/>
          <w:sz w:val="24"/>
        </w:rPr>
        <w:t xml:space="preserve"> organizados por dominio.</w:t>
      </w:r>
    </w:p>
    <w:p>
      <w:pPr>
        <w:pStyle w:val="Normal"/>
        <w:spacing w:before="240" w:after="120"/>
        <w:jc w:val="left"/>
        <w:rPr/>
      </w:pPr>
      <w:r>
        <w:rPr>
          <w:rFonts w:cs="Arial"/>
          <w:b/>
          <w:sz w:val="24"/>
        </w:rPr>
        <w:t>Dominio Público (sin autenticación)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RF-PUB-01</w:t>
      </w:r>
      <w:r>
        <w:rPr>
          <w:rFonts w:cs="Arial"/>
          <w:b w:val="false"/>
          <w:sz w:val="24"/>
        </w:rPr>
        <w:t xml:space="preserve"> — Información de servicios clínicos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RF-PUB-02</w:t>
      </w:r>
      <w:r>
        <w:rPr>
          <w:rFonts w:cs="Arial"/>
          <w:b w:val="false"/>
          <w:sz w:val="24"/>
        </w:rPr>
        <w:t xml:space="preserve"> — Tienda de productos y checkout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RF-PUB-03</w:t>
      </w:r>
      <w:r>
        <w:rPr>
          <w:rFonts w:cs="Arial"/>
          <w:b w:val="false"/>
          <w:sz w:val="24"/>
        </w:rPr>
        <w:t xml:space="preserve"> — Adopción de mascotas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RF-PUB-04</w:t>
      </w:r>
      <w:r>
        <w:rPr>
          <w:rFonts w:cs="Arial"/>
          <w:b w:val="false"/>
          <w:sz w:val="24"/>
        </w:rPr>
        <w:t xml:space="preserve"> — Patrocinios, acceso público (Baja).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RF-PUB-05</w:t>
      </w:r>
      <w:r>
        <w:rPr>
          <w:rFonts w:cs="Arial"/>
          <w:b w:val="false"/>
          <w:sz w:val="24"/>
        </w:rPr>
        <w:t xml:space="preserve"> — Contacto y contenido legal (Alta).</w:t>
      </w:r>
    </w:p>
    <w:p>
      <w:pPr>
        <w:pStyle w:val="Normal"/>
        <w:spacing w:before="240" w:after="120"/>
        <w:jc w:val="left"/>
        <w:rPr/>
      </w:pPr>
      <w:r>
        <w:rPr>
          <w:rFonts w:cs="Arial"/>
          <w:b/>
          <w:sz w:val="24"/>
        </w:rPr>
        <w:t>Dominio Dueño (Owner)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RF-OWN-01</w:t>
      </w:r>
      <w:r>
        <w:rPr>
          <w:rFonts w:cs="Arial"/>
          <w:b w:val="false"/>
          <w:sz w:val="24"/>
        </w:rPr>
        <w:t xml:space="preserve"> — Autenticación y gestión de sesión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RF-OWN-02</w:t>
      </w:r>
      <w:r>
        <w:rPr>
          <w:rFonts w:cs="Arial"/>
          <w:b w:val="false"/>
          <w:sz w:val="24"/>
        </w:rPr>
        <w:t xml:space="preserve"> — Registro de dueño y recuperación de contraseña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RF-OWN-03</w:t>
      </w:r>
      <w:r>
        <w:rPr>
          <w:rFonts w:cs="Arial"/>
          <w:b w:val="false"/>
          <w:sz w:val="24"/>
        </w:rPr>
        <w:t xml:space="preserve"> — Perfil del dueño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RF-OWN-04</w:t>
      </w:r>
      <w:r>
        <w:rPr>
          <w:rFonts w:cs="Arial"/>
          <w:b w:val="false"/>
          <w:sz w:val="24"/>
        </w:rPr>
        <w:t xml:space="preserve"> — Dashboard del dueño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RF-OWN-05</w:t>
      </w:r>
      <w:r>
        <w:rPr>
          <w:rFonts w:cs="Arial"/>
          <w:b w:val="false"/>
          <w:sz w:val="24"/>
        </w:rPr>
        <w:t xml:space="preserve"> — Gestión de mascotas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RF-OWN-06</w:t>
      </w:r>
      <w:r>
        <w:rPr>
          <w:rFonts w:cs="Arial"/>
          <w:b w:val="false"/>
          <w:sz w:val="24"/>
        </w:rPr>
        <w:t xml:space="preserve"> — Citas veterinarias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RF-OWN-07</w:t>
      </w:r>
      <w:r>
        <w:rPr>
          <w:rFonts w:cs="Arial"/>
          <w:b w:val="false"/>
          <w:sz w:val="24"/>
        </w:rPr>
        <w:t xml:space="preserve"> — Pagos del dueño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RF-OWN-08</w:t>
      </w:r>
      <w:r>
        <w:rPr>
          <w:rFonts w:cs="Arial"/>
          <w:b w:val="false"/>
          <w:sz w:val="24"/>
        </w:rPr>
        <w:t xml:space="preserve"> — Historial médico, consultas y resumen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RF-OWN-09</w:t>
      </w:r>
      <w:r>
        <w:rPr>
          <w:rFonts w:cs="Arial"/>
          <w:b w:val="false"/>
          <w:sz w:val="24"/>
        </w:rPr>
        <w:t xml:space="preserve"> — Perfil médico, vacunas y desparasitaciones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RF-OWN-10</w:t>
      </w:r>
      <w:r>
        <w:rPr>
          <w:rFonts w:cs="Arial"/>
          <w:b w:val="false"/>
          <w:sz w:val="24"/>
        </w:rPr>
        <w:t xml:space="preserve"> — Reportes médicos y exámenes de laboratorio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RF-OWN-11</w:t>
      </w:r>
      <w:r>
        <w:rPr>
          <w:rFonts w:cs="Arial"/>
          <w:b w:val="false"/>
          <w:sz w:val="24"/>
        </w:rPr>
        <w:t xml:space="preserve"> — Patrocinios del dueño (Baja).</w:t>
      </w:r>
    </w:p>
    <w:p>
      <w:pPr>
        <w:pStyle w:val="Normal"/>
        <w:spacing w:before="240" w:after="120"/>
        <w:jc w:val="left"/>
        <w:rPr/>
      </w:pPr>
      <w:r>
        <w:rPr>
          <w:rFonts w:cs="Arial"/>
          <w:b/>
          <w:sz w:val="24"/>
        </w:rPr>
        <w:t>Dominio Administrador (Admin)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RF-ADM-01</w:t>
      </w:r>
      <w:r>
        <w:rPr>
          <w:rFonts w:cs="Arial"/>
          <w:b w:val="false"/>
          <w:sz w:val="24"/>
        </w:rPr>
        <w:t xml:space="preserve"> — Gestión de mascotas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RF-ADM-02</w:t>
      </w:r>
      <w:r>
        <w:rPr>
          <w:rFonts w:cs="Arial"/>
          <w:b w:val="false"/>
          <w:sz w:val="24"/>
        </w:rPr>
        <w:t xml:space="preserve"> — Gestión de adopciones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RF-ADM-03</w:t>
      </w:r>
      <w:r>
        <w:rPr>
          <w:rFonts w:cs="Arial"/>
          <w:b w:val="false"/>
          <w:sz w:val="24"/>
        </w:rPr>
        <w:t xml:space="preserve"> — Consultas clínicas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RF-ADM-04</w:t>
      </w:r>
      <w:r>
        <w:rPr>
          <w:rFonts w:cs="Arial"/>
          <w:b w:val="false"/>
          <w:sz w:val="24"/>
        </w:rPr>
        <w:t xml:space="preserve"> — Recetas y exámenes de laboratorio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RF-ADM-05</w:t>
      </w:r>
      <w:r>
        <w:rPr>
          <w:rFonts w:cs="Arial"/>
          <w:b w:val="false"/>
          <w:sz w:val="24"/>
        </w:rPr>
        <w:t xml:space="preserve"> — Vacunas, desparasitaciones y esquemas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RF-ADM-06</w:t>
      </w:r>
      <w:r>
        <w:rPr>
          <w:rFonts w:cs="Arial"/>
          <w:b w:val="false"/>
          <w:sz w:val="24"/>
        </w:rPr>
        <w:t xml:space="preserve"> — Agenda y citas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RF-ADM-07</w:t>
      </w:r>
      <w:r>
        <w:rPr>
          <w:rFonts w:cs="Arial"/>
          <w:b w:val="false"/>
          <w:sz w:val="24"/>
        </w:rPr>
        <w:t xml:space="preserve"> — Pagos (Alta).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RF-ADM-08</w:t>
      </w:r>
      <w:r>
        <w:rPr>
          <w:rFonts w:cs="Arial"/>
          <w:b w:val="false"/>
          <w:sz w:val="24"/>
        </w:rPr>
        <w:t xml:space="preserve"> — Perfil médico de mascotas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RF-ADM-09</w:t>
      </w:r>
      <w:r>
        <w:rPr>
          <w:rFonts w:cs="Arial"/>
          <w:b w:val="false"/>
          <w:sz w:val="24"/>
        </w:rPr>
        <w:t xml:space="preserve"> — Mascotas de dueños (Media).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RF-ADM-10</w:t>
      </w:r>
      <w:r>
        <w:rPr>
          <w:rFonts w:cs="Arial"/>
          <w:b w:val="false"/>
          <w:sz w:val="24"/>
        </w:rPr>
        <w:t xml:space="preserve"> — Reportes médicos (Media).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Requisitos no funcionales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Los 17 requisitos no funcionales, también documentados en `docs/mobile-requirements.md`, se agrupan por categoría: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RNF-ARQ-001</w:t>
      </w:r>
      <w:r>
        <w:rPr>
          <w:rFonts w:cs="Arial"/>
          <w:b w:val="false"/>
          <w:sz w:val="24"/>
        </w:rPr>
        <w:t xml:space="preserve"> — Plataforma móvil Android (Expo SDK 56, React Native, TypeScript).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RNF-ARQ-002</w:t>
      </w:r>
      <w:r>
        <w:rPr>
          <w:rFonts w:cs="Arial"/>
          <w:b w:val="false"/>
          <w:sz w:val="24"/>
        </w:rPr>
        <w:t xml:space="preserve"> — Integración con API mediante un cliente HTTP centralizado (157 rutas).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RNF-MOB-001</w:t>
      </w:r>
      <w:r>
        <w:rPr>
          <w:rFonts w:cs="Arial"/>
          <w:b w:val="false"/>
          <w:sz w:val="24"/>
        </w:rPr>
        <w:t xml:space="preserve"> — Mobile First desde 320 px de ancho lógico.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RNF-MOB-002</w:t>
      </w:r>
      <w:r>
        <w:rPr>
          <w:rFonts w:cs="Arial"/>
          <w:b w:val="false"/>
          <w:sz w:val="24"/>
        </w:rPr>
        <w:t xml:space="preserve"> — Auto-sincronización bajo consentimiento del usuario (WiFi o datos).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RNF-SEC-001</w:t>
      </w:r>
      <w:r>
        <w:rPr>
          <w:rFonts w:cs="Arial"/>
          <w:b w:val="false"/>
          <w:sz w:val="24"/>
        </w:rPr>
        <w:t xml:space="preserve"> — Seguridad de sesión y almacenamiento seguro de tokens (HTTPS).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RNF-SEC-002</w:t>
      </w:r>
      <w:r>
        <w:rPr>
          <w:rFonts w:cs="Arial"/>
          <w:b w:val="false"/>
          <w:sz w:val="24"/>
        </w:rPr>
        <w:t xml:space="preserve"> — Control de acceso por rol y dominio (público, dueño, admin).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RNF-UX-001</w:t>
      </w:r>
      <w:r>
        <w:rPr>
          <w:rFonts w:cs="Arial"/>
          <w:b w:val="false"/>
          <w:sz w:val="24"/>
        </w:rPr>
        <w:t xml:space="preserve"> — Experiencia de usuario móvil (táctil 48 dp, fuente ≥ 16 px, estados de carga/vacío/error).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RNF-UX-002</w:t>
      </w:r>
      <w:r>
        <w:rPr>
          <w:rFonts w:cs="Arial"/>
          <w:b w:val="false"/>
          <w:sz w:val="24"/>
        </w:rPr>
        <w:t xml:space="preserve"> — Design system y tema claro/oscuro.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RNF-REL-001</w:t>
      </w:r>
      <w:r>
        <w:rPr>
          <w:rFonts w:cs="Arial"/>
          <w:b w:val="false"/>
          <w:sz w:val="24"/>
        </w:rPr>
        <w:t xml:space="preserve"> — Tolerancia a fallos con preservación de datos.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RNF-REL-002</w:t>
      </w:r>
      <w:r>
        <w:rPr>
          <w:rFonts w:cs="Arial"/>
          <w:b w:val="false"/>
          <w:sz w:val="24"/>
        </w:rPr>
        <w:t xml:space="preserve"> — Copia de seguridad local y recuperación (RPO/RTO).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RNF-REL-003</w:t>
      </w:r>
      <w:r>
        <w:rPr>
          <w:rFonts w:cs="Arial"/>
          <w:b w:val="false"/>
          <w:sz w:val="24"/>
        </w:rPr>
        <w:t xml:space="preserve"> — Operación offline controlada.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RNF-PERF-001</w:t>
      </w:r>
      <w:r>
        <w:rPr>
          <w:rFonts w:cs="Arial"/>
          <w:b w:val="false"/>
          <w:sz w:val="24"/>
        </w:rPr>
        <w:t xml:space="preserve"> — Rendimiento en red móvil (transiciones &lt; 1 s, paginación).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RNF-ARC-001</w:t>
      </w:r>
      <w:r>
        <w:rPr>
          <w:rFonts w:cs="Arial"/>
          <w:b w:val="false"/>
          <w:sz w:val="24"/>
        </w:rPr>
        <w:t xml:space="preserve"> — Manejo de archivos y multimedia (cámara, galería, PDF).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RNF-PRI-001</w:t>
      </w:r>
      <w:r>
        <w:rPr>
          <w:rFonts w:cs="Arial"/>
          <w:b w:val="false"/>
          <w:sz w:val="24"/>
        </w:rPr>
        <w:t xml:space="preserve"> — Privacidad y datos de salud animal (mínima exposición).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RNF-OBS-001</w:t>
      </w:r>
      <w:r>
        <w:rPr>
          <w:rFonts w:cs="Arial"/>
          <w:b w:val="false"/>
          <w:sz w:val="24"/>
        </w:rPr>
        <w:t xml:space="preserve"> — Observabilidad y registro de errores.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RNF-CMP-001</w:t>
      </w:r>
      <w:r>
        <w:rPr>
          <w:rFonts w:cs="Arial"/>
          <w:b w:val="false"/>
          <w:sz w:val="24"/>
        </w:rPr>
        <w:t xml:space="preserve"> — Compatibilidad de dispositivos Android.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RNF-MAINT-001</w:t>
      </w:r>
      <w:r>
        <w:rPr>
          <w:rFonts w:cs="Arial"/>
          <w:b w:val="false"/>
          <w:sz w:val="24"/>
        </w:rPr>
        <w:t xml:space="preserve"> — Mantenibilidad y trazabilidad documental.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Estándares de calidad empleados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El proyecto no persigue una certificación formal, pero se alinea con estándares y buenas prácticas reconocidas: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ISO/IEC 25010</w:t>
      </w:r>
      <w:r>
        <w:rPr>
          <w:rFonts w:cs="Arial"/>
          <w:b w:val="false"/>
          <w:sz w:val="24"/>
        </w:rPr>
        <w:t xml:space="preserve"> — modelo de calidad del producto de software, marco de los atributos de calidad descritos.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IEEE 830</w:t>
      </w:r>
      <w:r>
        <w:rPr>
          <w:rFonts w:cs="Arial"/>
          <w:b w:val="false"/>
          <w:sz w:val="24"/>
        </w:rPr>
        <w:t xml:space="preserve"> — estilo de especificación de requisitos de software (organización de RF y RNF).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Material Design</w:t>
      </w:r>
      <w:r>
        <w:rPr>
          <w:rFonts w:cs="Arial"/>
          <w:b w:val="false"/>
          <w:sz w:val="24"/>
        </w:rPr>
        <w:t xml:space="preserve"> — guías de interacción y áreas táctiles (48 dp) para la interfaz Android.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HTTPS / TLS 1.2–1.3</w:t>
      </w:r>
      <w:r>
        <w:rPr>
          <w:rFonts w:cs="Arial"/>
          <w:b w:val="false"/>
          <w:sz w:val="24"/>
        </w:rPr>
        <w:t xml:space="preserve"> — cifrado del transporte, con Perfect Forward Secrecy y certificados Let's Encrypt.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Política de contraseñas</w:t>
      </w:r>
      <w:r>
        <w:rPr>
          <w:rFonts w:cs="Arial"/>
          <w:b w:val="false"/>
          <w:sz w:val="24"/>
        </w:rPr>
        <w:t xml:space="preserve"> — longitud mínima, combinación de mayúsculas, minúsculas y números, y bloqueo tras intentos fallidos.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Normas APA (7.ª edición)</w:t>
      </w:r>
      <w:r>
        <w:rPr>
          <w:rFonts w:cs="Arial"/>
          <w:b w:val="false"/>
          <w:sz w:val="24"/>
        </w:rPr>
        <w:t xml:space="preserve"> — formato de la documentación del proyecto.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Convenciones de Rails y ActiveRecord</w:t>
      </w:r>
      <w:r>
        <w:rPr>
          <w:rFonts w:cs="Arial"/>
          <w:b w:val="false"/>
          <w:sz w:val="24"/>
        </w:rPr>
        <w:t xml:space="preserve"> — integridad de datos, validaciones a nivel de modelo y auditoría de cambios.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Marco legal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El marco legal que sustenta el proyecto se compone de las siguientes normativas venezolanas: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Constitución de la República Bolivariana de Venezuela (1999),</w:t>
      </w:r>
      <w:r>
        <w:rPr>
          <w:rFonts w:cs="Arial"/>
          <w:b w:val="false"/>
          <w:sz w:val="24"/>
        </w:rPr>
        <w:t xml:space="preserve"> Gaceta Oficial Extraordinaria N.° 5.453 del 24 de marzo de 2000. Artículo 110 (interés público de la ciencia, la tecnología y la innovación), Artículo 108 (incorporación de nuevas tecnologías en los centros educativos) y Artículo 98 (libertad de creación y divulgación científica, que respalda la publicación como software de código abierto).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Ley Orgánica de Ciencia, Tecnología e Innovación (LOCTI),</w:t>
      </w:r>
      <w:r>
        <w:rPr>
          <w:rFonts w:cs="Arial"/>
          <w:b w:val="false"/>
          <w:sz w:val="24"/>
        </w:rPr>
        <w:t xml:space="preserve"> Gaceta Oficial N.° 38.242 del 3 de agosto de 2005 (reformas de 2010 y 2014). Artículos 1 y 2: generación de ciencia y tecnología al servicio de la soberanía nacional y declaratoria de interés público de estas actividades.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Ley de Infogobierno,</w:t>
      </w:r>
      <w:r>
        <w:rPr>
          <w:rFonts w:cs="Arial"/>
          <w:b w:val="false"/>
          <w:sz w:val="24"/>
        </w:rPr>
        <w:t xml:space="preserve"> Gaceta Oficial N.° 40.274 del 17 de octubre de 2013. Artículos 1 y 34: promoción de las tecnologías de información libres y del conocimiento abierto, principios que inspiran la filosofía de código abierto del proyecto.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Ley de Ejercicio de la Medicina Veterinaria,</w:t>
      </w:r>
      <w:r>
        <w:rPr>
          <w:rFonts w:cs="Arial"/>
          <w:b w:val="false"/>
          <w:sz w:val="24"/>
        </w:rPr>
        <w:t xml:space="preserve"> Gaceta Oficial del 19 de septiembre de 1968. Artículos 1 y 2: el ejercicio de la profesión se rige por la ley y las normas de ética del Colegio de Médicos Veterinarios, lo que orienta los procesos de registro clínico del sistema.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Código Deontológico de la Medicina Veterinaria,</w:t>
      </w:r>
      <w:r>
        <w:rPr>
          <w:rFonts w:cs="Arial"/>
          <w:b w:val="false"/>
          <w:sz w:val="24"/>
        </w:rPr>
        <w:t xml:space="preserve"> emitido por la Federación de Colegios de Médicos Veterinarios de Venezuela (FCMVV).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Plan de la Patria 2025–2031</w:t>
      </w:r>
      <w:r>
        <w:rPr>
          <w:rFonts w:cs="Arial"/>
          <w:b w:val="false"/>
          <w:sz w:val="24"/>
        </w:rPr>
        <w:t xml:space="preserve"> (Ley Orgánica, Gaceta Oficial N.° 6.907 Extraordinario del 24 de mayo de 2025) y </w:t>
      </w:r>
      <w:r>
        <w:rPr>
          <w:rFonts w:cs="Arial"/>
          <w:b/>
          <w:sz w:val="24"/>
        </w:rPr>
        <w:t>Plan de la Patria 2019–2025</w:t>
      </w:r>
      <w:r>
        <w:rPr>
          <w:rFonts w:cs="Arial"/>
          <w:b w:val="false"/>
          <w:sz w:val="24"/>
        </w:rPr>
        <w:t xml:space="preserve"> (Gaceta Oficial Extraordinaria N.° 6.442 del 3 de abril de 2019), con los que el proyecto se vincula en materia de desarrollo tecnológico al servicio de la sociedad.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>En materia de protección de datos, el diseño adopta de forma voluntaria principios alineados con normativas internacionales (LGPD/GDPR), como la minimización de la exposición de datos, el cifrado en tránsito y en reposo, y las pistas de auditoría.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Participantes investigadores y Organizaciones</w:t>
      </w:r>
    </w:p>
    <w:p>
      <w:pPr>
        <w:pStyle w:val="Normal"/>
        <w:jc w:val="both"/>
        <w:rPr/>
      </w:pPr>
      <w:r>
        <w:rPr>
          <w:rFonts w:cs="Arial"/>
          <w:b/>
          <w:sz w:val="24"/>
        </w:rPr>
        <w:t>Equipo investigador (autores):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Miguel Figuera — C.I: 23.558.789.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Iromy León — C.I: V-30.243.131.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Alejandra Herde — C.I: V-23.711.974.</w:t>
      </w:r>
    </w:p>
    <w:p>
      <w:pPr>
        <w:pStyle w:val="Normal"/>
        <w:jc w:val="both"/>
        <w:rPr/>
      </w:pPr>
      <w:r>
        <w:rPr>
          <w:rFonts w:cs="Arial"/>
          <w:b/>
          <w:sz w:val="24"/>
        </w:rPr>
        <w:t>Tutor:</w:t>
      </w:r>
      <w:r>
        <w:rPr>
          <w:rFonts w:cs="Arial"/>
          <w:b w:val="false"/>
          <w:sz w:val="24"/>
        </w:rPr>
        <w:t xml:space="preserve"> Yuly Delgado.</w:t>
      </w:r>
    </w:p>
    <w:p>
      <w:pPr>
        <w:pStyle w:val="Normal"/>
        <w:jc w:val="both"/>
        <w:rPr/>
      </w:pPr>
      <w:r>
        <w:rPr>
          <w:rFonts w:cs="Arial"/>
          <w:b/>
          <w:sz w:val="24"/>
        </w:rPr>
        <w:t>Organizaciones: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Universidad Nacional Experimental de las Telecomunicaciones e Informática (UNETI)</w:t>
      </w:r>
      <w:r>
        <w:rPr>
          <w:rFonts w:cs="Arial"/>
          <w:b w:val="false"/>
          <w:sz w:val="24"/>
        </w:rPr>
        <w:t xml:space="preserve"> — institución académica que enmarca el Proyecto Socio Tecnológico.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 xml:space="preserve">Consultorio Veterinario </w:t>
      </w:r>
      <w:r>
        <w:rPr>
          <w:rFonts w:cs="Arial"/>
          <w:b/>
          <w:sz w:val="24"/>
        </w:rPr>
        <w:t>Peludog</w:t>
      </w:r>
      <w:r>
        <w:rPr>
          <w:rFonts w:cs="Arial"/>
          <w:b w:val="false"/>
          <w:sz w:val="24"/>
        </w:rPr>
        <w:t xml:space="preserve"> — institución beneficiaria, dirigida por la Dra. Génesis Conesa (La Mora I, La Victoria, estado Aragua).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/>
          <w:sz w:val="24"/>
        </w:rPr>
        <w:t>Comunidad de software libre de Ruby on Rails</w:t>
      </w:r>
      <w:r>
        <w:rPr>
          <w:rFonts w:cs="Arial"/>
          <w:b w:val="false"/>
          <w:sz w:val="24"/>
        </w:rPr>
        <w:t xml:space="preserve"> — ecosistema técnico de soporte.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Comentarios</w:t>
      </w:r>
    </w:p>
    <w:p>
      <w:pPr>
        <w:pStyle w:val="Normal"/>
        <w:jc w:val="both"/>
        <w:rPr/>
      </w:pPr>
      <w:r>
        <w:rPr>
          <w:rFonts w:cs="Arial"/>
          <w:b w:val="false"/>
          <w:sz w:val="24"/>
        </w:rPr>
        <w:t xml:space="preserve">El presente documento se centra en el diseño del </w:t>
      </w:r>
      <w:r>
        <w:rPr>
          <w:rFonts w:cs="Arial"/>
          <w:b/>
          <w:sz w:val="24"/>
        </w:rPr>
        <w:t>backend (API)</w:t>
      </w:r>
      <w:r>
        <w:rPr>
          <w:rFonts w:cs="Arial"/>
          <w:b w:val="false"/>
          <w:sz w:val="24"/>
        </w:rPr>
        <w:t xml:space="preserve"> y de la </w:t>
      </w:r>
      <w:r>
        <w:rPr>
          <w:rFonts w:cs="Arial"/>
          <w:b/>
          <w:sz w:val="24"/>
        </w:rPr>
        <w:t>aplicación móvil Android</w:t>
      </w:r>
      <w:r>
        <w:rPr>
          <w:rFonts w:cs="Arial"/>
          <w:b w:val="false"/>
          <w:sz w:val="24"/>
        </w:rPr>
        <w:t xml:space="preserve"> que habilita la atención veterinaria a domicilio; se excluye expresamente el cliente web. Los requisitos funcionales y no funcionales provienen de la especificación móvil (`docs/mobile-requirements.md`), que cubre 157 rutas del API con una trazabilidad verificada de 156/157 endpoints hacia algún requisito. El diseño prioriza la operación offline y la sincronización bajo consentimiento, por ser determinantes para un servicio que ocurre fuera de la clínica.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Observaciones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La validación final de requerimientos con el consultorio (Fase 4 del diagnóstico participativo) debe mantenerse viva en cada sprint para incorporar ajustes.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Existe una diferencia de versiones del backend entre fuentes (Rails 7 en modo API y Rails 8); debe unificarse al iniciar la implementación.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>El escalamiento horizontal (CDN, balanceador, réplica de base de datos) se plantea como trabajo futuro, una vez superada la capacidad de la fase de escalamiento vertical.</w:t>
      </w:r>
    </w:p>
    <w:p>
      <w:pPr>
        <w:pStyle w:val="ListBullet"/>
        <w:numPr>
          <w:ilvl w:val="0"/>
          <w:numId w:val="1"/>
        </w:numPr>
        <w:jc w:val="left"/>
        <w:rPr/>
      </w:pPr>
      <w:r>
        <w:rPr>
          <w:rFonts w:cs="Arial"/>
          <w:b w:val="false"/>
          <w:sz w:val="24"/>
        </w:rPr>
        <w:t xml:space="preserve">La marca del proyecto es </w:t>
      </w:r>
      <w:r>
        <w:rPr>
          <w:rFonts w:cs="Arial"/>
          <w:b/>
          <w:sz w:val="24"/>
        </w:rPr>
        <w:t>Pawcare</w:t>
      </w:r>
      <w:r>
        <w:rPr>
          <w:rFonts w:cs="Arial"/>
          <w:b w:val="false"/>
          <w:sz w:val="24"/>
        </w:rPr>
        <w:t>; cualquier referencia heredada a nombres anteriores debe normalizarse.</w:t>
      </w:r>
    </w:p>
    <w:p>
      <w:pPr>
        <w:pStyle w:val="Normal"/>
        <w:spacing w:before="240" w:after="120"/>
        <w:jc w:val="center"/>
        <w:rPr/>
      </w:pPr>
      <w:r>
        <w:rPr>
          <w:rFonts w:cs="Arial"/>
          <w:b/>
          <w:sz w:val="28"/>
        </w:rPr>
        <w:t>Referencias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Constitución de la República Bolivariana de Venezuela. (2000). Gaceta Oficial Extraordinaria N.° 5.453 del 24 de marzo de 2000.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Federación de Colegios de Médicos Veterinarios de Venezuela. (s. f.). Código Deontológico de la Medicina Veterinaria.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Ley de Ejercicio de la Medicina Veterinaria. (1968). Gaceta Oficial del 19 de septiembre de 1968.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Ley de Infogobierno. (2013). Gaceta Oficial N.° 40.274 del 17 de octubre de 2013.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Ley Orgánica de Ciencia, Tecnología e Innovación (LOCTI). (2005). Gaceta Oficial N.° 38.242 del 3 de agosto de 2005, con reformas de 2010 y 2014.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Plan de la Patria 2019–2025. Tercer Plan Socialista de Desarrollo Económico y Social de la Nación. (2019). Gaceta Oficial Extraordinaria N.° 6.442 del 3 de abril de 2019.</w:t>
      </w:r>
    </w:p>
    <w:p>
      <w:pPr>
        <w:pStyle w:val="Normal"/>
        <w:ind w:hanging="720" w:left="720"/>
        <w:jc w:val="left"/>
        <w:rPr/>
      </w:pPr>
      <w:r>
        <w:rPr>
          <w:rFonts w:cs="Arial"/>
          <w:b w:val="false"/>
          <w:sz w:val="24"/>
        </w:rPr>
        <w:t>Plan de la Patria de las 7 Grandes Transformaciones 2025–2031. (2025). Ley Orgánica publicada en Gaceta Oficial N.° 6.907 Extraordinario del 24 de mayo de 2025.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480" w:before="0" w:after="0"/>
      <w:jc w:val="left"/>
    </w:pPr>
    <w:rPr>
      <w:rFonts w:ascii="Arial" w:hAnsi="Arial" w:cs="Arial" w:eastAsia="ＭＳ 明朝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16</Pages>
  <Words>2928</Words>
  <Characters>17125</Characters>
  <CharactersWithSpaces>19817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2026-05-31T19:44:18Z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