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194019"/>
        <w:docPartObj>
          <w:docPartGallery w:val="Cover Pages"/>
          <w:docPartUnique/>
        </w:docPartObj>
      </w:sdtPr>
      <w:sdtEndPr>
        <w:rPr>
          <w:b/>
          <w:bCs/>
        </w:rPr>
      </w:sdtEndPr>
      <w:sdtContent>
        <w:p w14:paraId="0A2AC8F1" w14:textId="022C1AA4" w:rsidR="00C66DB6" w:rsidRDefault="00C66DB6">
          <w:r>
            <w:rPr>
              <w:noProof/>
            </w:rPr>
            <w:pict w14:anchorId="2F375237">
              <v:group id="Group 157" o:spid="_x0000_s1034"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5"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6"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w14:anchorId="1F72EFD1">
              <v:shapetype id="_x0000_t202" coordsize="21600,21600" o:spt="202" path="m,l,21600r21600,l21600,xe">
                <v:stroke joinstyle="miter"/>
                <v:path gradientshapeok="t" o:connecttype="rect"/>
              </v:shapetype>
              <v:shape id="Text Box 159" o:spid="_x0000_s1033"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BB3D16" w14:textId="76D943AD" w:rsidR="00C66DB6" w:rsidRDefault="00C66DB6">
                          <w:pPr>
                            <w:pStyle w:val="NoSpacing"/>
                            <w:jc w:val="right"/>
                            <w:rPr>
                              <w:color w:val="595959" w:themeColor="text1" w:themeTint="A6"/>
                              <w:sz w:val="28"/>
                              <w:szCs w:val="28"/>
                            </w:rPr>
                          </w:pPr>
                          <w:r>
                            <w:rPr>
                              <w:color w:val="595959" w:themeColor="text1" w:themeTint="A6"/>
                              <w:sz w:val="28"/>
                              <w:szCs w:val="28"/>
                            </w:rPr>
                            <w:t>VALENZUELA, Keisha</w:t>
                          </w:r>
                        </w:p>
                      </w:sdtContent>
                    </w:sdt>
                    <w:p w14:paraId="5F2334AE" w14:textId="2BCD7397" w:rsidR="00C66DB6" w:rsidRDefault="00C66D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91C6B">
                            <w:rPr>
                              <w:color w:val="595959" w:themeColor="text1" w:themeTint="A6"/>
                              <w:sz w:val="18"/>
                              <w:szCs w:val="18"/>
                            </w:rPr>
                            <w:t>Valenzuela.keisha07@gmail.com</w:t>
                          </w:r>
                        </w:sdtContent>
                      </w:sdt>
                    </w:p>
                  </w:txbxContent>
                </v:textbox>
                <w10:wrap type="square" anchorx="page" anchory="page"/>
              </v:shape>
            </w:pict>
          </w:r>
          <w:r>
            <w:rPr>
              <w:noProof/>
            </w:rPr>
            <w:pict w14:anchorId="25C7F4C3">
              <v:shape id="Text Box 161" o:spid="_x0000_s1032"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AD5745" w14:textId="77777777" w:rsidR="00C66DB6" w:rsidRDefault="00C66DB6">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DF9D6FF" w14:textId="77777777" w:rsidR="00C66DB6" w:rsidRDefault="00C66DB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w:r>
        </w:p>
        <w:p w14:paraId="4685DDEC" w14:textId="7106B41B" w:rsidR="00C66DB6" w:rsidRDefault="00C66DB6">
          <w:pPr>
            <w:rPr>
              <w:b/>
              <w:bCs/>
            </w:rPr>
          </w:pPr>
          <w:r>
            <w:rPr>
              <w:noProof/>
            </w:rPr>
            <w:pict w14:anchorId="06F30AE3">
              <v:shape id="Text Box 163" o:spid="_x0000_s1031" type="#_x0000_t202" style="position:absolute;margin-left:-146.5pt;margin-top:262.9pt;width:781.95pt;height:306.15pt;z-index:251659264;visibility:visible;mso-wrap-distance-left:9pt;mso-wrap-distance-top:0;mso-wrap-distance-right:9pt;mso-wrap-distance-bottom:0;mso-position-horizontal-relative:page;mso-position-vertical-relative:page;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63" inset="126pt,0,54pt,0">
                  <w:txbxContent>
                    <w:p w14:paraId="554D25D9" w14:textId="691CFDF4" w:rsidR="00C66DB6" w:rsidRPr="00191C6B" w:rsidRDefault="00191C6B">
                      <w:pPr>
                        <w:jc w:val="right"/>
                        <w:rPr>
                          <w:color w:val="156082" w:themeColor="accent1"/>
                          <w:sz w:val="52"/>
                          <w:szCs w:val="52"/>
                        </w:rPr>
                      </w:pPr>
                      <w:sdt>
                        <w:sdtPr>
                          <w:rPr>
                            <w:caps/>
                            <w:color w:val="156082" w:themeColor="accent1"/>
                            <w:kern w:val="0"/>
                            <w:sz w:val="52"/>
                            <w:szCs w:val="52"/>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91C6B">
                            <w:rPr>
                              <w:caps/>
                              <w:color w:val="156082" w:themeColor="accent1"/>
                              <w:kern w:val="0"/>
                              <w:sz w:val="52"/>
                              <w:szCs w:val="52"/>
                              <w14:ligatures w14:val="none"/>
                            </w:rPr>
                            <w:t>CONSTRUCTING</w:t>
                          </w:r>
                          <w:r w:rsidRPr="00191C6B">
                            <w:rPr>
                              <w:caps/>
                              <w:color w:val="156082" w:themeColor="accent1"/>
                              <w:kern w:val="0"/>
                              <w:sz w:val="52"/>
                              <w:szCs w:val="52"/>
                              <w14:ligatures w14:val="none"/>
                            </w:rPr>
                            <w:t xml:space="preserve"> a </w:t>
                          </w:r>
                          <w:r w:rsidRPr="00191C6B">
                            <w:rPr>
                              <w:caps/>
                              <w:color w:val="156082" w:themeColor="accent1"/>
                              <w:kern w:val="0"/>
                              <w:sz w:val="52"/>
                              <w:szCs w:val="52"/>
                              <w14:ligatures w14:val="none"/>
                            </w:rPr>
                            <w:t xml:space="preserve">Mach-zender </w:t>
                          </w:r>
                          <w:r w:rsidRPr="00191C6B">
                            <w:rPr>
                              <w:caps/>
                              <w:color w:val="156082" w:themeColor="accent1"/>
                              <w:kern w:val="0"/>
                              <w:sz w:val="52"/>
                              <w:szCs w:val="52"/>
                              <w14:ligatures w14:val="none"/>
                            </w:rPr>
                            <w:t>INTERFEROMETER WITH</w:t>
                          </w:r>
                          <w:r w:rsidRPr="00191C6B">
                            <w:rPr>
                              <w:caps/>
                              <w:color w:val="156082" w:themeColor="accent1"/>
                              <w:kern w:val="0"/>
                              <w:sz w:val="52"/>
                              <w:szCs w:val="52"/>
                              <w14:ligatures w14:val="none"/>
                            </w:rPr>
                            <w:t xml:space="preserve"> a Variable Beam Path Using a Translation Stage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1D525" w14:textId="64CA39A6" w:rsidR="00C66DB6" w:rsidRDefault="00191C6B">
                          <w:pPr>
                            <w:jc w:val="right"/>
                            <w:rPr>
                              <w:smallCaps/>
                              <w:color w:val="404040" w:themeColor="text1" w:themeTint="BF"/>
                              <w:sz w:val="36"/>
                              <w:szCs w:val="36"/>
                            </w:rPr>
                          </w:pPr>
                          <w:r w:rsidRPr="00191C6B">
                            <w:rPr>
                              <w:color w:val="404040" w:themeColor="text1" w:themeTint="BF"/>
                              <w:sz w:val="36"/>
                              <w:szCs w:val="36"/>
                            </w:rPr>
                            <w:t xml:space="preserve">Keisha </w:t>
                          </w:r>
                          <w:proofErr w:type="spellStart"/>
                          <w:r>
                            <w:rPr>
                              <w:color w:val="404040" w:themeColor="text1" w:themeTint="BF"/>
                              <w:sz w:val="36"/>
                              <w:szCs w:val="36"/>
                            </w:rPr>
                            <w:t>V</w:t>
                          </w:r>
                          <w:r w:rsidRPr="00191C6B">
                            <w:rPr>
                              <w:color w:val="404040" w:themeColor="text1" w:themeTint="BF"/>
                              <w:sz w:val="36"/>
                              <w:szCs w:val="36"/>
                            </w:rPr>
                            <w:t>alenzu</w:t>
                          </w:r>
                          <w:r>
                            <w:rPr>
                              <w:color w:val="404040" w:themeColor="text1" w:themeTint="BF"/>
                              <w:sz w:val="36"/>
                              <w:szCs w:val="36"/>
                            </w:rPr>
                            <w:t>e</w:t>
                          </w:r>
                          <w:r w:rsidRPr="00191C6B">
                            <w:rPr>
                              <w:color w:val="404040" w:themeColor="text1" w:themeTint="BF"/>
                              <w:sz w:val="36"/>
                              <w:szCs w:val="36"/>
                            </w:rPr>
                            <w:t>la,</w:t>
                          </w:r>
                          <w:proofErr w:type="spellEnd"/>
                          <w:r w:rsidRPr="00191C6B">
                            <w:rPr>
                              <w:color w:val="404040" w:themeColor="text1" w:themeTint="BF"/>
                              <w:sz w:val="36"/>
                              <w:szCs w:val="36"/>
                            </w:rPr>
                            <w:t xml:space="preserve"> </w:t>
                          </w:r>
                          <w:r>
                            <w:rPr>
                              <w:color w:val="404040" w:themeColor="text1" w:themeTint="BF"/>
                              <w:sz w:val="36"/>
                              <w:szCs w:val="36"/>
                            </w:rPr>
                            <w:t>J</w:t>
                          </w:r>
                          <w:r w:rsidRPr="00191C6B">
                            <w:rPr>
                              <w:color w:val="404040" w:themeColor="text1" w:themeTint="BF"/>
                              <w:sz w:val="36"/>
                              <w:szCs w:val="36"/>
                            </w:rPr>
                            <w:t>avier</w:t>
                          </w:r>
                        </w:p>
                      </w:sdtContent>
                    </w:sdt>
                  </w:txbxContent>
                </v:textbox>
                <w10:wrap type="square" anchorx="page" anchory="page"/>
              </v:shape>
            </w:pict>
          </w:r>
          <w:r>
            <w:rPr>
              <w:b/>
              <w:bCs/>
            </w:rPr>
            <w:br w:type="page"/>
          </w:r>
        </w:p>
      </w:sdtContent>
    </w:sdt>
    <w:p w14:paraId="795B9EF8" w14:textId="77777777" w:rsidR="00553637" w:rsidRPr="00553637" w:rsidRDefault="00553637" w:rsidP="00553637">
      <w:pPr>
        <w:rPr>
          <w:b/>
          <w:bCs/>
        </w:rPr>
      </w:pPr>
      <w:r w:rsidRPr="00553637">
        <w:rPr>
          <w:b/>
          <w:bCs/>
        </w:rPr>
        <w:lastRenderedPageBreak/>
        <w:t>Introduction</w:t>
      </w:r>
    </w:p>
    <w:p w14:paraId="09469BA1" w14:textId="47BE483A" w:rsidR="00B96847" w:rsidRDefault="00B96847" w:rsidP="00B96847">
      <w:r>
        <w:t xml:space="preserve">The </w:t>
      </w:r>
      <w:r w:rsidR="001F72A0">
        <w:t>purpose</w:t>
      </w:r>
      <w:r>
        <w:t xml:space="preserve"> of th</w:t>
      </w:r>
      <w:r w:rsidR="001F72A0">
        <w:t>is</w:t>
      </w:r>
      <w:r>
        <w:t xml:space="preserve"> experiment was</w:t>
      </w:r>
      <w:r w:rsidR="00FD025A">
        <w:t xml:space="preserve"> to utilise wave</w:t>
      </w:r>
      <w:r>
        <w:t xml:space="preserve"> interference phenomena</w:t>
      </w:r>
      <w:r w:rsidR="00E02CEA">
        <w:t xml:space="preserve"> </w:t>
      </w:r>
      <w:r w:rsidR="00FD025A">
        <w:t>to identify possible impacts on an interference pattern</w:t>
      </w:r>
      <w:r w:rsidR="001F72A0">
        <w:t xml:space="preserve"> using a</w:t>
      </w:r>
      <w:r>
        <w:t xml:space="preserve"> </w:t>
      </w:r>
      <w:r w:rsidR="00785247" w:rsidRPr="00785247">
        <w:t>Michelson interferometer</w:t>
      </w:r>
      <w:r>
        <w:t xml:space="preserve"> </w:t>
      </w:r>
      <w:r w:rsidR="00560E2D">
        <w:t>with an adjustable</w:t>
      </w:r>
      <w:r w:rsidR="0051282A">
        <w:t xml:space="preserve"> beam length and a Helium Neon (HeNe) laser.</w:t>
      </w:r>
    </w:p>
    <w:p w14:paraId="37C049E6" w14:textId="77777777" w:rsidR="00976748" w:rsidRDefault="00BE6E71" w:rsidP="00B96847">
      <w:r>
        <w:t>Interfero</w:t>
      </w:r>
      <w:r w:rsidR="007114DB">
        <w:t xml:space="preserve">metry is a measurement method of wave interference </w:t>
      </w:r>
      <w:r w:rsidR="0032571D">
        <w:t xml:space="preserve">utilising the principle of superposition. This principle states that when </w:t>
      </w:r>
      <w:r w:rsidR="00A609EA">
        <w:t>two (</w:t>
      </w:r>
      <w:r w:rsidR="00965415">
        <w:t>or more)</w:t>
      </w:r>
      <w:r w:rsidR="00F45211">
        <w:t xml:space="preserve"> waves</w:t>
      </w:r>
      <w:r w:rsidR="00965415">
        <w:t xml:space="preserve"> cross at </w:t>
      </w:r>
      <w:r w:rsidR="00F94BB1">
        <w:t>a point, the d</w:t>
      </w:r>
      <w:r w:rsidR="005D66AA">
        <w:t xml:space="preserve">isplacement </w:t>
      </w:r>
      <w:r w:rsidR="00FF2C85">
        <w:t xml:space="preserve">of </w:t>
      </w:r>
      <w:r w:rsidR="00E623FC">
        <w:t xml:space="preserve">the </w:t>
      </w:r>
      <w:r w:rsidR="004A255A">
        <w:t>point</w:t>
      </w:r>
      <w:r w:rsidR="00FF2C85">
        <w:t xml:space="preserve"> is </w:t>
      </w:r>
      <w:r w:rsidR="006861D5">
        <w:t xml:space="preserve">the </w:t>
      </w:r>
      <w:r w:rsidR="00E623FC">
        <w:t>sum</w:t>
      </w:r>
      <w:r w:rsidR="006861D5">
        <w:t xml:space="preserve"> of the</w:t>
      </w:r>
      <w:r w:rsidR="00E73E07">
        <w:t xml:space="preserve"> two waves displacement</w:t>
      </w:r>
      <w:r w:rsidR="00EA237D">
        <w:t xml:space="preserve"> </w:t>
      </w:r>
      <w:r w:rsidR="00EA237D" w:rsidRPr="00CE3066">
        <w:t>(Bryan &amp; Hellemans, 2004, p. 695)</w:t>
      </w:r>
      <w:r w:rsidR="00272E5D">
        <w:t>.</w:t>
      </w:r>
      <w:r w:rsidR="0004653D">
        <w:t xml:space="preserve"> </w:t>
      </w:r>
      <w:r w:rsidR="002A5DA5">
        <w:t>Interferometers work with electromagnetic waves to measure the inference pattern, when the waves are at peak construction or deconstruction.</w:t>
      </w:r>
      <w:r w:rsidR="00406336">
        <w:t xml:space="preserve"> </w:t>
      </w:r>
    </w:p>
    <w:p w14:paraId="2D15EC09" w14:textId="774BF343" w:rsidR="00DE6748" w:rsidRDefault="00406336" w:rsidP="00B96847">
      <w:r>
        <w:t>The design relies on the superposition principal and nature of light waves to produce interference fringes visualised as dark spaces in projected light.</w:t>
      </w:r>
      <w:r>
        <w:t xml:space="preserve"> </w:t>
      </w:r>
      <w:r w:rsidR="002B13C3">
        <w:t>The experiment relies on the symmetry of all elements</w:t>
      </w:r>
      <w:r w:rsidR="002B13C3">
        <w:t>; if the two beams intensity are unequal, t</w:t>
      </w:r>
      <w:r w:rsidR="00DE6748">
        <w:t xml:space="preserve">he conclusion you draw from changing variables </w:t>
      </w:r>
      <w:r w:rsidR="006C1D2C">
        <w:t xml:space="preserve">would be unreliable </w:t>
      </w:r>
      <w:r w:rsidR="00443AD1">
        <w:t xml:space="preserve">due to the absence of a </w:t>
      </w:r>
      <w:r w:rsidR="006275C1">
        <w:t>base measurement</w:t>
      </w:r>
      <w:r w:rsidR="00443AD1">
        <w:t xml:space="preserve">. In this experiment the ‘base </w:t>
      </w:r>
      <w:r w:rsidR="006275C1">
        <w:t>measurement</w:t>
      </w:r>
      <w:r w:rsidR="00443AD1">
        <w:t xml:space="preserve">’ would be when the beams align </w:t>
      </w:r>
      <w:r w:rsidR="00967523">
        <w:t>at all peaks, showing equal fringes</w:t>
      </w:r>
      <w:r w:rsidR="00C435D2">
        <w:t xml:space="preserve">. This cannot happen if the beams are </w:t>
      </w:r>
      <w:r w:rsidR="006275C1">
        <w:t>different</w:t>
      </w:r>
      <w:r w:rsidR="00C435D2">
        <w:t xml:space="preserve"> </w:t>
      </w:r>
      <w:r w:rsidR="006275C1">
        <w:t>intensities</w:t>
      </w:r>
      <w:r w:rsidR="000E4F83">
        <w:t xml:space="preserve"> as the </w:t>
      </w:r>
      <w:r w:rsidR="00E079F2">
        <w:t xml:space="preserve">beams do not equally contribute to the peaks. </w:t>
      </w:r>
    </w:p>
    <w:p w14:paraId="71D2DD63" w14:textId="729FD4B7" w:rsidR="00553637" w:rsidRDefault="001348C6" w:rsidP="00553637">
      <w:r>
        <w:t xml:space="preserve">In this experiment we </w:t>
      </w:r>
      <w:r w:rsidR="007E0609">
        <w:t>explored the impact of beam length</w:t>
      </w:r>
      <w:r w:rsidR="00EF4B9F">
        <w:t xml:space="preserve"> and </w:t>
      </w:r>
      <w:r w:rsidR="00AD40F7">
        <w:t xml:space="preserve">horizontal shift </w:t>
      </w:r>
      <w:r w:rsidR="00EF4B9F">
        <w:t xml:space="preserve">on the </w:t>
      </w:r>
      <w:r w:rsidR="00AD40F7">
        <w:t>interference pattern.</w:t>
      </w:r>
      <w:r w:rsidR="006B189D">
        <w:t xml:space="preserve"> </w:t>
      </w:r>
    </w:p>
    <w:p w14:paraId="316A180D" w14:textId="0FC8A6C2" w:rsidR="003E690D" w:rsidRPr="00553637" w:rsidRDefault="003E690D" w:rsidP="00553637">
      <w:r>
        <w:t xml:space="preserve">After constructing the </w:t>
      </w:r>
      <w:r w:rsidR="006E3E70">
        <w:t>interferometer</w:t>
      </w:r>
      <w:r w:rsidR="007846C3">
        <w:t>, the po</w:t>
      </w:r>
      <w:r w:rsidR="00743701">
        <w:t xml:space="preserve">wer measured of the final </w:t>
      </w:r>
      <w:r w:rsidR="00D9605A">
        <w:t>interference</w:t>
      </w:r>
      <w:r w:rsidR="00743701">
        <w:t xml:space="preserve"> beam had major </w:t>
      </w:r>
      <w:r w:rsidR="00D9605A">
        <w:t>fluctuations</w:t>
      </w:r>
      <w:r w:rsidR="00743701">
        <w:t xml:space="preserve"> between </w:t>
      </w:r>
      <w:r w:rsidR="008D2F4A">
        <w:t>0.3 and 0.7 micro watts</w:t>
      </w:r>
      <w:r w:rsidR="00D9605A">
        <w:t xml:space="preserve">. To determine the </w:t>
      </w:r>
      <w:r w:rsidR="00A55757">
        <w:t>major contributing factors to the fluctuation a Fast F</w:t>
      </w:r>
      <w:r w:rsidR="00231113">
        <w:t>ourie</w:t>
      </w:r>
      <w:r w:rsidR="00A55757">
        <w:t xml:space="preserve">r Transform (FFT) was applied to the recorded </w:t>
      </w:r>
      <w:r w:rsidR="00A40F74">
        <w:t>data</w:t>
      </w:r>
      <w:r w:rsidR="00767E46">
        <w:t xml:space="preserve">. </w:t>
      </w:r>
    </w:p>
    <w:p w14:paraId="41841427" w14:textId="77777777" w:rsidR="00553637" w:rsidRPr="00553637" w:rsidRDefault="00553637" w:rsidP="00553637">
      <w:pPr>
        <w:rPr>
          <w:b/>
          <w:bCs/>
        </w:rPr>
      </w:pPr>
      <w:r w:rsidRPr="00553637">
        <w:rPr>
          <w:b/>
          <w:bCs/>
        </w:rPr>
        <w:t>Materials and Methods</w:t>
      </w:r>
    </w:p>
    <w:p w14:paraId="0305F94F" w14:textId="77777777" w:rsidR="00553637" w:rsidRPr="00553637" w:rsidRDefault="00553637" w:rsidP="00553637">
      <w:pPr>
        <w:rPr>
          <w:b/>
          <w:bCs/>
        </w:rPr>
      </w:pPr>
      <w:r w:rsidRPr="00553637">
        <w:rPr>
          <w:b/>
          <w:bCs/>
        </w:rPr>
        <w:t>Materials</w:t>
      </w:r>
    </w:p>
    <w:p w14:paraId="1739F6B6" w14:textId="77777777" w:rsidR="00553637" w:rsidRPr="00553637" w:rsidRDefault="00553637" w:rsidP="00553637">
      <w:r w:rsidRPr="00553637">
        <w:t>List the components used, including:</w:t>
      </w:r>
    </w:p>
    <w:p w14:paraId="25BA61A3" w14:textId="77777777" w:rsidR="00553637" w:rsidRPr="00553637" w:rsidRDefault="00553637" w:rsidP="00553637">
      <w:pPr>
        <w:numPr>
          <w:ilvl w:val="0"/>
          <w:numId w:val="2"/>
        </w:numPr>
      </w:pPr>
      <w:r w:rsidRPr="00553637">
        <w:t>Laser source</w:t>
      </w:r>
    </w:p>
    <w:p w14:paraId="7A407990" w14:textId="77777777" w:rsidR="00553637" w:rsidRPr="00553637" w:rsidRDefault="00553637" w:rsidP="00553637">
      <w:pPr>
        <w:numPr>
          <w:ilvl w:val="0"/>
          <w:numId w:val="2"/>
        </w:numPr>
      </w:pPr>
      <w:r w:rsidRPr="00553637">
        <w:t>Beam splitter</w:t>
      </w:r>
    </w:p>
    <w:p w14:paraId="168470DE" w14:textId="77777777" w:rsidR="00553637" w:rsidRPr="00553637" w:rsidRDefault="00553637" w:rsidP="00553637">
      <w:pPr>
        <w:numPr>
          <w:ilvl w:val="0"/>
          <w:numId w:val="2"/>
        </w:numPr>
      </w:pPr>
      <w:r w:rsidRPr="00553637">
        <w:t>Mirrors</w:t>
      </w:r>
    </w:p>
    <w:p w14:paraId="71EAA952" w14:textId="77777777" w:rsidR="00553637" w:rsidRPr="00553637" w:rsidRDefault="00553637" w:rsidP="00553637">
      <w:pPr>
        <w:numPr>
          <w:ilvl w:val="0"/>
          <w:numId w:val="2"/>
        </w:numPr>
      </w:pPr>
      <w:r w:rsidRPr="00553637">
        <w:t>Adjustable translation stage</w:t>
      </w:r>
    </w:p>
    <w:p w14:paraId="526EA33A" w14:textId="77777777" w:rsidR="00553637" w:rsidRPr="00553637" w:rsidRDefault="00553637" w:rsidP="00553637">
      <w:pPr>
        <w:numPr>
          <w:ilvl w:val="0"/>
          <w:numId w:val="2"/>
        </w:numPr>
      </w:pPr>
      <w:r w:rsidRPr="00553637">
        <w:t>Power meter</w:t>
      </w:r>
    </w:p>
    <w:p w14:paraId="7978CC65" w14:textId="60A66BEC" w:rsidR="00553637" w:rsidRPr="00553637" w:rsidRDefault="00553637" w:rsidP="00553637">
      <w:pPr>
        <w:numPr>
          <w:ilvl w:val="0"/>
          <w:numId w:val="2"/>
        </w:numPr>
      </w:pPr>
      <w:r w:rsidRPr="00553637">
        <w:t>Mounts, screws</w:t>
      </w:r>
    </w:p>
    <w:p w14:paraId="4F653001" w14:textId="084F4769" w:rsidR="007E68EE" w:rsidRDefault="00553637" w:rsidP="007E68EE">
      <w:pPr>
        <w:rPr>
          <w:b/>
          <w:bCs/>
        </w:rPr>
      </w:pPr>
      <w:r w:rsidRPr="00553637">
        <w:rPr>
          <w:b/>
          <w:bCs/>
        </w:rPr>
        <w:t>Setup Construction</w:t>
      </w:r>
    </w:p>
    <w:p w14:paraId="41B23A3A" w14:textId="701CED3D" w:rsidR="00E718D3" w:rsidRDefault="0071724D" w:rsidP="00E718D3">
      <w:pPr>
        <w:keepNext/>
      </w:pPr>
      <w:r w:rsidRPr="0071724D">
        <w:rPr>
          <w:noProof/>
        </w:rPr>
        <w:lastRenderedPageBreak/>
        <w:drawing>
          <wp:inline distT="0" distB="0" distL="0" distR="0" wp14:anchorId="20C6217E" wp14:editId="0071420D">
            <wp:extent cx="5731510" cy="3295618"/>
            <wp:effectExtent l="0" t="0" r="0" b="0"/>
            <wp:docPr id="192118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8837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295618"/>
                    </a:xfrm>
                    <a:prstGeom prst="rect">
                      <a:avLst/>
                    </a:prstGeom>
                  </pic:spPr>
                </pic:pic>
              </a:graphicData>
            </a:graphic>
          </wp:inline>
        </w:drawing>
      </w:r>
    </w:p>
    <w:p w14:paraId="032337A3" w14:textId="548E671B" w:rsidR="00B52B10" w:rsidRDefault="00E718D3" w:rsidP="00B651A1">
      <w:pPr>
        <w:pStyle w:val="Caption"/>
      </w:pPr>
      <w:r>
        <w:t xml:space="preserve">Figure </w:t>
      </w:r>
      <w:fldSimple w:instr=" SEQ Figure \* ARABIC ">
        <w:r>
          <w:rPr>
            <w:noProof/>
          </w:rPr>
          <w:t>1</w:t>
        </w:r>
      </w:fldSimple>
      <w:r>
        <w:t xml:space="preserve">. </w:t>
      </w:r>
      <w:r w:rsidR="00F32003">
        <w:t>M</w:t>
      </w:r>
      <w:r w:rsidR="00955CD5">
        <w:t>a</w:t>
      </w:r>
      <w:r>
        <w:t xml:space="preserve">ch-Zender Beam splitter diagram slightly modified from: </w:t>
      </w:r>
      <w:r w:rsidRPr="00514C40">
        <w:t>(</w:t>
      </w:r>
      <w:proofErr w:type="spellStart"/>
      <w:r w:rsidRPr="00514C40">
        <w:t>ChaosFlaws</w:t>
      </w:r>
      <w:proofErr w:type="spellEnd"/>
      <w:r w:rsidRPr="00514C40">
        <w:t>, 2016)</w:t>
      </w:r>
    </w:p>
    <w:p w14:paraId="3EC79C01" w14:textId="37640C83" w:rsidR="00435471" w:rsidRPr="00435471" w:rsidRDefault="00DB2F89" w:rsidP="00435471">
      <w:r>
        <w:t xml:space="preserve">The </w:t>
      </w:r>
      <w:r w:rsidR="00152A2C">
        <w:t>approximate</w:t>
      </w:r>
      <w:r w:rsidR="00217486">
        <w:t xml:space="preserve"> location of the first mirror of arm one was </w:t>
      </w:r>
      <w:r w:rsidR="00CB69FE">
        <w:t>identified.</w:t>
      </w:r>
      <w:r>
        <w:t xml:space="preserve"> This </w:t>
      </w:r>
      <w:r w:rsidR="00152A2C">
        <w:t>was marked and the translation stage was screwed into the table</w:t>
      </w:r>
      <w:r w:rsidR="002823B4">
        <w:t xml:space="preserve">. The first mirror was screwed into the </w:t>
      </w:r>
      <w:r w:rsidR="003367CD">
        <w:t xml:space="preserve">right of the translation </w:t>
      </w:r>
      <w:r w:rsidR="002518D2">
        <w:t>stage,</w:t>
      </w:r>
      <w:r w:rsidR="006346F6">
        <w:t xml:space="preserve"> and it was rotated </w:t>
      </w:r>
      <w:r w:rsidR="009826BD">
        <w:t xml:space="preserve">slightly left. To track the beams movement a white card was held up and moved alongside the mirror. After reaching an </w:t>
      </w:r>
      <w:r w:rsidR="00AB455B">
        <w:t>approximate</w:t>
      </w:r>
      <w:r w:rsidR="009826BD">
        <w:t xml:space="preserve"> right angle</w:t>
      </w:r>
      <w:r w:rsidR="00AB455B">
        <w:t xml:space="preserve"> the second mirror was </w:t>
      </w:r>
      <w:r w:rsidR="002518D2">
        <w:t xml:space="preserve">placed in the beams path. This was a challenge due to the </w:t>
      </w:r>
      <w:r w:rsidR="0090460B">
        <w:t xml:space="preserve">translation stage not being wide enough to accommodate both the </w:t>
      </w:r>
      <w:r w:rsidR="00061BCD">
        <w:t>mirrors’</w:t>
      </w:r>
      <w:r w:rsidR="0090460B">
        <w:t xml:space="preserve"> bases. </w:t>
      </w:r>
      <w:r w:rsidR="007B282F">
        <w:t xml:space="preserve">This was fixed by </w:t>
      </w:r>
      <w:r w:rsidR="0030676A">
        <w:t xml:space="preserve">increasing the angle that the first mirror faced at </w:t>
      </w:r>
      <w:r w:rsidR="00757279">
        <w:t>to</w:t>
      </w:r>
      <w:r w:rsidR="0030676A">
        <w:t xml:space="preserve"> take up less horizontal space</w:t>
      </w:r>
      <w:r w:rsidR="00061BCD">
        <w:t xml:space="preserve">. </w:t>
      </w:r>
      <w:r w:rsidR="006B5B3B">
        <w:t>To ensure simplicity in construction, a</w:t>
      </w:r>
      <w:r w:rsidR="00C8317A">
        <w:t>n initial position was chosen for the second beamsplitter</w:t>
      </w:r>
      <w:r w:rsidR="00DF7827">
        <w:t xml:space="preserve">. The third mirror of arm </w:t>
      </w:r>
      <w:r w:rsidR="00085F78">
        <w:t>two</w:t>
      </w:r>
      <w:r w:rsidR="00DF7827">
        <w:t xml:space="preserve"> </w:t>
      </w:r>
      <w:r w:rsidR="008D74C9">
        <w:t xml:space="preserve">was positioned along the same </w:t>
      </w:r>
      <w:r w:rsidR="00967173">
        <w:t>row as the second beamsplitter</w:t>
      </w:r>
      <w:r w:rsidR="00DD6FFB">
        <w:t xml:space="preserve"> </w:t>
      </w:r>
    </w:p>
    <w:p w14:paraId="1471CD06" w14:textId="65B07D66" w:rsidR="00553637" w:rsidRPr="00553637" w:rsidRDefault="00553637" w:rsidP="00435471">
      <w:r w:rsidRPr="00553637">
        <w:rPr>
          <w:b/>
          <w:bCs/>
        </w:rPr>
        <w:t>Incorporation of Translation Stage</w:t>
      </w:r>
      <w:r w:rsidRPr="00553637">
        <w:t>: Explain how the adjustable translation stage was integrated into one path.</w:t>
      </w:r>
    </w:p>
    <w:p w14:paraId="6CD30C5C" w14:textId="77777777" w:rsidR="00553637" w:rsidRPr="00553637" w:rsidRDefault="00553637" w:rsidP="00553637">
      <w:pPr>
        <w:numPr>
          <w:ilvl w:val="0"/>
          <w:numId w:val="3"/>
        </w:numPr>
      </w:pPr>
      <w:r w:rsidRPr="00553637">
        <w:rPr>
          <w:b/>
          <w:bCs/>
        </w:rPr>
        <w:t>Combining the Beams</w:t>
      </w:r>
      <w:r w:rsidRPr="00553637">
        <w:t>: Discuss alignment to ensure the beams recombine at the detector.</w:t>
      </w:r>
    </w:p>
    <w:p w14:paraId="778E1390" w14:textId="77777777" w:rsidR="00553637" w:rsidRPr="00553637" w:rsidRDefault="00553637" w:rsidP="00553637">
      <w:pPr>
        <w:numPr>
          <w:ilvl w:val="0"/>
          <w:numId w:val="3"/>
        </w:numPr>
      </w:pPr>
      <w:r w:rsidRPr="00553637">
        <w:rPr>
          <w:b/>
          <w:bCs/>
        </w:rPr>
        <w:t>Detector Setup</w:t>
      </w:r>
      <w:r w:rsidRPr="00553637">
        <w:t>: Describe setting up the power meter or other measurement tools.</w:t>
      </w:r>
    </w:p>
    <w:p w14:paraId="20917C1E" w14:textId="77777777" w:rsidR="00553637" w:rsidRDefault="00553637" w:rsidP="00553637">
      <w:pPr>
        <w:rPr>
          <w:b/>
          <w:bCs/>
        </w:rPr>
      </w:pPr>
      <w:r w:rsidRPr="00553637">
        <w:rPr>
          <w:b/>
          <w:bCs/>
        </w:rPr>
        <w:t>Challenges and Adjustments</w:t>
      </w:r>
    </w:p>
    <w:p w14:paraId="7B12E98E" w14:textId="77777777" w:rsidR="00435471" w:rsidRPr="005E384C" w:rsidRDefault="00435471" w:rsidP="00435471">
      <w:r>
        <w:t>To confirm that the beam-splitter is 50%-50%, the power meter was placed the indicated point on each arm (figure</w:t>
      </w:r>
      <w:r>
        <w:rPr>
          <w:i/>
          <w:iCs/>
        </w:rPr>
        <w:t xml:space="preserve"> 1. Red power meters) </w:t>
      </w:r>
      <w:r>
        <w:t>and it was determined that they had a percentage difference of 35% (</w:t>
      </w:r>
      <w:r>
        <w:rPr>
          <w:i/>
          <w:iCs/>
        </w:rPr>
        <w:t xml:space="preserve">Appendix 1) </w:t>
      </w:r>
      <w:r>
        <w:t>favouring arm two</w:t>
      </w:r>
      <w:r>
        <w:rPr>
          <w:i/>
          <w:iCs/>
        </w:rPr>
        <w:t xml:space="preserve">. </w:t>
      </w:r>
      <w:r>
        <w:rPr>
          <w:iCs/>
        </w:rPr>
        <w:t>This difference has an adverse effect on the interference pattern of the two beams as mentioned in the introduction.  To combat this limitation two 0.1 ND filters was placed intercepting arm two, reducing the beams intensity to 0.331 microwatts, a 0.004 difference to arm ones 0.327 microwatts. Decreasing the percentage difference to 0.2% (</w:t>
      </w:r>
      <w:r>
        <w:rPr>
          <w:i/>
        </w:rPr>
        <w:t>appendix 1)</w:t>
      </w:r>
      <w:r>
        <w:rPr>
          <w:iCs/>
        </w:rPr>
        <w:t xml:space="preserve">. This was decided to be reasonable enough to conduct the experiment. </w:t>
      </w:r>
    </w:p>
    <w:p w14:paraId="50F5A6F5" w14:textId="77777777" w:rsidR="00435471" w:rsidRPr="00553637" w:rsidRDefault="00435471" w:rsidP="00553637">
      <w:pPr>
        <w:rPr>
          <w:b/>
          <w:bCs/>
        </w:rPr>
      </w:pPr>
    </w:p>
    <w:p w14:paraId="085347AB" w14:textId="77777777" w:rsidR="00553637" w:rsidRPr="00553637" w:rsidRDefault="00553637" w:rsidP="00553637">
      <w:r w:rsidRPr="00553637">
        <w:lastRenderedPageBreak/>
        <w:t>Provide space to document:</w:t>
      </w:r>
    </w:p>
    <w:p w14:paraId="7DF12A82" w14:textId="77777777" w:rsidR="00553637" w:rsidRPr="00553637" w:rsidRDefault="00553637" w:rsidP="00553637">
      <w:pPr>
        <w:numPr>
          <w:ilvl w:val="0"/>
          <w:numId w:val="4"/>
        </w:numPr>
      </w:pPr>
      <w:r w:rsidRPr="00553637">
        <w:t>Misalignments and how they were corrected.</w:t>
      </w:r>
    </w:p>
    <w:p w14:paraId="27F8B0B1" w14:textId="77777777" w:rsidR="00553637" w:rsidRPr="00553637" w:rsidRDefault="00553637" w:rsidP="00553637">
      <w:pPr>
        <w:numPr>
          <w:ilvl w:val="0"/>
          <w:numId w:val="4"/>
        </w:numPr>
      </w:pPr>
      <w:r w:rsidRPr="00553637">
        <w:t>Steps that had to be redone due to unforeseen issues.</w:t>
      </w:r>
    </w:p>
    <w:p w14:paraId="0A9F4CB2" w14:textId="77777777" w:rsidR="00553637" w:rsidRPr="00553637" w:rsidRDefault="00553637" w:rsidP="00553637">
      <w:pPr>
        <w:numPr>
          <w:ilvl w:val="0"/>
          <w:numId w:val="4"/>
        </w:numPr>
      </w:pPr>
      <w:r w:rsidRPr="00553637">
        <w:t>Difficulties in achieving precise alignment of the optical components.</w:t>
      </w:r>
    </w:p>
    <w:p w14:paraId="1C4E0CB4" w14:textId="77777777" w:rsidR="00553637" w:rsidRPr="00553637" w:rsidRDefault="00000000" w:rsidP="00553637">
      <w:r>
        <w:pict w14:anchorId="45E0F3F9">
          <v:rect id="_x0000_i1025" style="width:0;height:1.5pt" o:hralign="center" o:hrstd="t" o:hr="t" fillcolor="#a0a0a0" stroked="f"/>
        </w:pict>
      </w:r>
    </w:p>
    <w:p w14:paraId="794A062A" w14:textId="77777777" w:rsidR="00553637" w:rsidRPr="00553637" w:rsidRDefault="00553637" w:rsidP="00553637">
      <w:pPr>
        <w:rPr>
          <w:b/>
          <w:bCs/>
        </w:rPr>
      </w:pPr>
      <w:r w:rsidRPr="00553637">
        <w:rPr>
          <w:b/>
          <w:bCs/>
        </w:rPr>
        <w:t>Results and Observations</w:t>
      </w:r>
    </w:p>
    <w:p w14:paraId="27DB82FA" w14:textId="77777777" w:rsidR="00553637" w:rsidRPr="00553637" w:rsidRDefault="00553637" w:rsidP="00553637">
      <w:pPr>
        <w:rPr>
          <w:b/>
          <w:bCs/>
        </w:rPr>
      </w:pPr>
      <w:r w:rsidRPr="00553637">
        <w:rPr>
          <w:b/>
          <w:bCs/>
        </w:rPr>
        <w:t>Interference Patterns</w:t>
      </w:r>
    </w:p>
    <w:p w14:paraId="2B3C8544" w14:textId="77777777" w:rsidR="00553637" w:rsidRPr="00553637" w:rsidRDefault="00553637" w:rsidP="00553637">
      <w:pPr>
        <w:numPr>
          <w:ilvl w:val="0"/>
          <w:numId w:val="5"/>
        </w:numPr>
      </w:pPr>
      <w:r w:rsidRPr="00553637">
        <w:t>Detail the observed interference patterns as the stage is moved.</w:t>
      </w:r>
    </w:p>
    <w:p w14:paraId="4BD15061" w14:textId="77777777" w:rsidR="00553637" w:rsidRPr="00553637" w:rsidRDefault="00553637" w:rsidP="00553637">
      <w:pPr>
        <w:numPr>
          <w:ilvl w:val="0"/>
          <w:numId w:val="5"/>
        </w:numPr>
      </w:pPr>
      <w:r w:rsidRPr="00553637">
        <w:t>Present measurements of power fluctuations between the two beams (graphs or tables).</w:t>
      </w:r>
    </w:p>
    <w:p w14:paraId="38056870" w14:textId="77777777" w:rsidR="00553637" w:rsidRPr="00553637" w:rsidRDefault="00553637" w:rsidP="00553637">
      <w:pPr>
        <w:rPr>
          <w:b/>
          <w:bCs/>
        </w:rPr>
      </w:pPr>
      <w:r w:rsidRPr="00553637">
        <w:rPr>
          <w:b/>
          <w:bCs/>
        </w:rPr>
        <w:t>Sources of Fluctuation</w:t>
      </w:r>
    </w:p>
    <w:p w14:paraId="42846A4D" w14:textId="77777777" w:rsidR="00553637" w:rsidRPr="00553637" w:rsidRDefault="00553637" w:rsidP="00553637">
      <w:pPr>
        <w:numPr>
          <w:ilvl w:val="0"/>
          <w:numId w:val="6"/>
        </w:numPr>
      </w:pPr>
      <w:r w:rsidRPr="00553637">
        <w:t>Discuss factors contributing to measurement fluctuations, such as:</w:t>
      </w:r>
    </w:p>
    <w:p w14:paraId="6CEEEF1A" w14:textId="77777777" w:rsidR="00553637" w:rsidRPr="00553637" w:rsidRDefault="00553637" w:rsidP="00553637">
      <w:pPr>
        <w:numPr>
          <w:ilvl w:val="1"/>
          <w:numId w:val="6"/>
        </w:numPr>
      </w:pPr>
      <w:r w:rsidRPr="00553637">
        <w:t>Environmental vibrations</w:t>
      </w:r>
    </w:p>
    <w:p w14:paraId="25579E33" w14:textId="77777777" w:rsidR="00553637" w:rsidRPr="00553637" w:rsidRDefault="00553637" w:rsidP="00553637">
      <w:pPr>
        <w:numPr>
          <w:ilvl w:val="1"/>
          <w:numId w:val="6"/>
        </w:numPr>
      </w:pPr>
      <w:r w:rsidRPr="00553637">
        <w:t>Thermal effects</w:t>
      </w:r>
    </w:p>
    <w:p w14:paraId="2D5CD7C8" w14:textId="77777777" w:rsidR="00553637" w:rsidRPr="00553637" w:rsidRDefault="00553637" w:rsidP="00553637">
      <w:pPr>
        <w:numPr>
          <w:ilvl w:val="1"/>
          <w:numId w:val="6"/>
        </w:numPr>
      </w:pPr>
      <w:r w:rsidRPr="00553637">
        <w:t>Imperfect alignment</w:t>
      </w:r>
    </w:p>
    <w:p w14:paraId="5DCED18C" w14:textId="77777777" w:rsidR="00553637" w:rsidRPr="00553637" w:rsidRDefault="00000000" w:rsidP="00553637">
      <w:r>
        <w:pict w14:anchorId="61FC65C1">
          <v:rect id="_x0000_i1026" style="width:0;height:1.5pt" o:hralign="center" o:hrstd="t" o:hr="t" fillcolor="#a0a0a0" stroked="f"/>
        </w:pict>
      </w:r>
    </w:p>
    <w:p w14:paraId="6249C30C" w14:textId="77777777" w:rsidR="00553637" w:rsidRPr="00553637" w:rsidRDefault="00553637" w:rsidP="00553637">
      <w:pPr>
        <w:rPr>
          <w:b/>
          <w:bCs/>
        </w:rPr>
      </w:pPr>
      <w:r w:rsidRPr="00553637">
        <w:rPr>
          <w:b/>
          <w:bCs/>
        </w:rPr>
        <w:t>Discussion</w:t>
      </w:r>
    </w:p>
    <w:p w14:paraId="42CC7F5F" w14:textId="77777777" w:rsidR="00553637" w:rsidRPr="00553637" w:rsidRDefault="00553637" w:rsidP="00553637">
      <w:pPr>
        <w:numPr>
          <w:ilvl w:val="0"/>
          <w:numId w:val="7"/>
        </w:numPr>
      </w:pPr>
      <w:r w:rsidRPr="00553637">
        <w:t>Reflect on how changes in the path length (via the translation stage) influenced the interference pattern.</w:t>
      </w:r>
    </w:p>
    <w:p w14:paraId="3A3F3B73" w14:textId="77777777" w:rsidR="00553637" w:rsidRPr="00553637" w:rsidRDefault="00553637" w:rsidP="00553637">
      <w:pPr>
        <w:numPr>
          <w:ilvl w:val="0"/>
          <w:numId w:val="7"/>
        </w:numPr>
      </w:pPr>
      <w:r w:rsidRPr="00553637">
        <w:t>Evaluate the sources of error and how they impacted the results.</w:t>
      </w:r>
    </w:p>
    <w:p w14:paraId="26D87FBF" w14:textId="77777777" w:rsidR="00553637" w:rsidRPr="00553637" w:rsidRDefault="00553637" w:rsidP="00553637">
      <w:pPr>
        <w:numPr>
          <w:ilvl w:val="0"/>
          <w:numId w:val="7"/>
        </w:numPr>
      </w:pPr>
      <w:r w:rsidRPr="00553637">
        <w:t>Suggest improvements to the setup or experimental method to minimize issues.</w:t>
      </w:r>
    </w:p>
    <w:p w14:paraId="5AA99B7A" w14:textId="77777777" w:rsidR="00553637" w:rsidRPr="00553637" w:rsidRDefault="00000000" w:rsidP="00553637">
      <w:r>
        <w:pict w14:anchorId="2AD89633">
          <v:rect id="_x0000_i1027" style="width:0;height:1.5pt" o:hralign="center" o:hrstd="t" o:hr="t" fillcolor="#a0a0a0" stroked="f"/>
        </w:pict>
      </w:r>
    </w:p>
    <w:p w14:paraId="37BE7009" w14:textId="77777777" w:rsidR="00553637" w:rsidRPr="00553637" w:rsidRDefault="00553637" w:rsidP="00553637">
      <w:pPr>
        <w:rPr>
          <w:b/>
          <w:bCs/>
        </w:rPr>
      </w:pPr>
      <w:r w:rsidRPr="00553637">
        <w:rPr>
          <w:b/>
          <w:bCs/>
        </w:rPr>
        <w:t>Conclusion</w:t>
      </w:r>
    </w:p>
    <w:p w14:paraId="1FDCE582" w14:textId="77777777" w:rsidR="00553637" w:rsidRPr="00553637" w:rsidRDefault="00553637" w:rsidP="00553637">
      <w:r w:rsidRPr="00553637">
        <w:t>Summarize key takeaways, focusing on:</w:t>
      </w:r>
    </w:p>
    <w:p w14:paraId="785D76B4" w14:textId="77777777" w:rsidR="00553637" w:rsidRPr="00553637" w:rsidRDefault="00553637" w:rsidP="00553637">
      <w:pPr>
        <w:numPr>
          <w:ilvl w:val="0"/>
          <w:numId w:val="8"/>
        </w:numPr>
      </w:pPr>
      <w:r w:rsidRPr="00553637">
        <w:t>How movement of the translation stage affected the construction and deconstruction of the interference pattern.</w:t>
      </w:r>
    </w:p>
    <w:p w14:paraId="349FC65C" w14:textId="77777777" w:rsidR="00553637" w:rsidRPr="00553637" w:rsidRDefault="00553637" w:rsidP="00553637">
      <w:pPr>
        <w:numPr>
          <w:ilvl w:val="0"/>
          <w:numId w:val="8"/>
        </w:numPr>
      </w:pPr>
      <w:r w:rsidRPr="00553637">
        <w:t>Practical insights into maintaining stability and alignment in optical systems.</w:t>
      </w:r>
    </w:p>
    <w:p w14:paraId="708991B5" w14:textId="77777777" w:rsidR="00553637" w:rsidRPr="00553637" w:rsidRDefault="00553637" w:rsidP="00553637">
      <w:pPr>
        <w:numPr>
          <w:ilvl w:val="0"/>
          <w:numId w:val="8"/>
        </w:numPr>
      </w:pPr>
      <w:r w:rsidRPr="00553637">
        <w:t>The broader implications for using interferometers in precise measurements.</w:t>
      </w:r>
    </w:p>
    <w:p w14:paraId="68A7C83C" w14:textId="77777777" w:rsidR="00553637" w:rsidRPr="00553637" w:rsidRDefault="00000000" w:rsidP="00553637">
      <w:r>
        <w:pict w14:anchorId="5206EA62">
          <v:rect id="_x0000_i1028" style="width:0;height:1.5pt" o:hralign="center" o:hrstd="t" o:hr="t" fillcolor="#a0a0a0" stroked="f"/>
        </w:pict>
      </w:r>
    </w:p>
    <w:p w14:paraId="07B98CD4" w14:textId="77777777" w:rsidR="00553637" w:rsidRPr="00553637" w:rsidRDefault="00553637" w:rsidP="00553637">
      <w:pPr>
        <w:rPr>
          <w:b/>
          <w:bCs/>
        </w:rPr>
      </w:pPr>
      <w:r w:rsidRPr="00553637">
        <w:rPr>
          <w:b/>
          <w:bCs/>
        </w:rPr>
        <w:t>References</w:t>
      </w:r>
    </w:p>
    <w:p w14:paraId="745C4B1F" w14:textId="77777777" w:rsidR="00553637" w:rsidRDefault="00553637" w:rsidP="00553637">
      <w:r w:rsidRPr="00553637">
        <w:t>List any textbooks, research papers, or manuals consulted during the experiment.</w:t>
      </w:r>
    </w:p>
    <w:p w14:paraId="7FC25E34" w14:textId="2928B373" w:rsidR="00A6693C" w:rsidRDefault="00C85917" w:rsidP="00553637">
      <w:pPr>
        <w:rPr>
          <w:b/>
          <w:bCs/>
        </w:rPr>
      </w:pPr>
      <w:r w:rsidRPr="00C85917">
        <w:rPr>
          <w:b/>
          <w:bCs/>
        </w:rPr>
        <w:lastRenderedPageBreak/>
        <w:t>Bryan, B., &amp; Hellemans, A. (2004).</w:t>
      </w:r>
      <w:r w:rsidRPr="00C85917">
        <w:rPr>
          <w:b/>
          <w:bCs/>
          <w:i/>
          <w:iCs/>
        </w:rPr>
        <w:t> The history of science and technology.</w:t>
      </w:r>
      <w:r w:rsidRPr="00C85917">
        <w:rPr>
          <w:b/>
          <w:bCs/>
        </w:rPr>
        <w:t> New York: Scientific Publishing Inc.</w:t>
      </w:r>
    </w:p>
    <w:p w14:paraId="0D69C3D8" w14:textId="5EC877A7" w:rsidR="007053E3" w:rsidRDefault="007053E3" w:rsidP="00553637">
      <w:pPr>
        <w:rPr>
          <w:b/>
          <w:bCs/>
        </w:rPr>
      </w:pPr>
      <w:proofErr w:type="spellStart"/>
      <w:r w:rsidRPr="007053E3">
        <w:rPr>
          <w:b/>
          <w:bCs/>
        </w:rPr>
        <w:t>ChaosFlaws</w:t>
      </w:r>
      <w:proofErr w:type="spellEnd"/>
      <w:r w:rsidRPr="007053E3">
        <w:rPr>
          <w:b/>
          <w:bCs/>
        </w:rPr>
        <w:t xml:space="preserve">. (2016). Outcome of Mach-Zehnder interferometer experiment. Retrieved from </w:t>
      </w:r>
      <w:hyperlink r:id="rId8" w:history="1">
        <w:r w:rsidR="00311EA3" w:rsidRPr="00B873AD">
          <w:rPr>
            <w:rStyle w:val="Hyperlink"/>
            <w:b/>
            <w:bCs/>
          </w:rPr>
          <w:t>https://physics.stackexchange.com/questions/274379/outcome-of-mach-zehnder-interferometer-experiment</w:t>
        </w:r>
      </w:hyperlink>
    </w:p>
    <w:p w14:paraId="2088783B" w14:textId="28BAA9E0" w:rsidR="00311EA3" w:rsidRDefault="00311EA3" w:rsidP="00553637">
      <w:pPr>
        <w:rPr>
          <w:b/>
          <w:bCs/>
        </w:rPr>
      </w:pPr>
      <w:r w:rsidRPr="00311EA3">
        <w:rPr>
          <w:b/>
          <w:bCs/>
        </w:rPr>
        <w:t xml:space="preserve">CUEMATH. (2023). Percent Difference. Retrieved from </w:t>
      </w:r>
      <w:hyperlink r:id="rId9" w:history="1">
        <w:r w:rsidRPr="004465E2">
          <w:rPr>
            <w:rStyle w:val="Hyperlink"/>
            <w:b/>
            <w:bCs/>
          </w:rPr>
          <w:t>https://www.cuemath.com/commercial-math/percent-difference/</w:t>
        </w:r>
      </w:hyperlink>
    </w:p>
    <w:p w14:paraId="13BAE79D" w14:textId="77777777" w:rsidR="00553637" w:rsidRPr="00553637" w:rsidRDefault="00000000" w:rsidP="00553637">
      <w:r>
        <w:pict w14:anchorId="6E5A92DB">
          <v:rect id="_x0000_i1029" style="width:0;height:1.5pt" o:hralign="center" o:hrstd="t" o:hr="t" fillcolor="#a0a0a0" stroked="f"/>
        </w:pict>
      </w:r>
    </w:p>
    <w:p w14:paraId="0454358D" w14:textId="77777777" w:rsidR="00553637" w:rsidRPr="00553637" w:rsidRDefault="00553637" w:rsidP="00553637">
      <w:pPr>
        <w:rPr>
          <w:b/>
          <w:bCs/>
        </w:rPr>
      </w:pPr>
      <w:r w:rsidRPr="00553637">
        <w:rPr>
          <w:b/>
          <w:bCs/>
        </w:rPr>
        <w:t>Appendices (if applicable)</w:t>
      </w:r>
    </w:p>
    <w:p w14:paraId="0341655B" w14:textId="165DBF72" w:rsidR="00D22E20" w:rsidRDefault="00553637" w:rsidP="00D22E20">
      <w:pPr>
        <w:numPr>
          <w:ilvl w:val="0"/>
          <w:numId w:val="9"/>
        </w:numPr>
      </w:pPr>
      <w:r w:rsidRPr="00553637">
        <w:t>Include any raw data, detailed diagrams of the setup, or additional notes that support the main report.</w:t>
      </w:r>
    </w:p>
    <w:p w14:paraId="28D869C9" w14:textId="66444433" w:rsidR="00D22E20" w:rsidRPr="00BA4DBD" w:rsidRDefault="00D22E20" w:rsidP="00D22E20">
      <w:r>
        <w:t>Appendix 1</w:t>
      </w:r>
      <w:r w:rsidR="003407A4">
        <w:t xml:space="preserve">: </w:t>
      </w:r>
      <w:r w:rsidR="00BA4DBD" w:rsidRPr="00BA4DBD">
        <w:t>(CUEMATH, 2023)</w:t>
      </w:r>
    </w:p>
    <w:p w14:paraId="1E29B381" w14:textId="1F8EBC16" w:rsidR="009B4A26" w:rsidRPr="009B4A26" w:rsidRDefault="00181CE4" w:rsidP="00D22E20">
      <w:pPr>
        <w:rPr>
          <w:rFonts w:eastAsiaTheme="minorEastAsia"/>
        </w:rPr>
      </w:pPr>
      <m:oMathPara>
        <m:oMath>
          <m:r>
            <w:rPr>
              <w:rFonts w:ascii="Cambria Math" w:hAnsi="Cambria Math"/>
            </w:rPr>
            <m:t>% diffrence=</m:t>
          </m:r>
          <m:r>
            <w:rPr>
              <w:rFonts w:ascii="Cambria Math" w:hAnsi="Cambria Math"/>
            </w:rPr>
            <m:t>Avrage</m:t>
          </m:r>
          <m:r>
            <w:rPr>
              <w:rFonts w:ascii="Cambria Math" w:hAnsi="Cambria Math"/>
            </w:rPr>
            <m:t>×100</m:t>
          </m:r>
          <m:r>
            <w:rPr>
              <w:rFonts w:ascii="Cambria Math" w:hAnsi="Cambria Math"/>
            </w:rPr>
            <m:t xml:space="preserve"> </m:t>
          </m:r>
        </m:oMath>
      </m:oMathPara>
    </w:p>
    <w:p w14:paraId="08F6275C" w14:textId="287D294B" w:rsidR="00D22E20" w:rsidRPr="00D57E68" w:rsidRDefault="000D20A6" w:rsidP="00D22E20">
      <w:pPr>
        <w:rPr>
          <w:rFonts w:eastAsiaTheme="minorEastAsia"/>
        </w:rPr>
      </w:pPr>
      <m:oMathPara>
        <m:oMath>
          <m:r>
            <w:rPr>
              <w:rFonts w:ascii="Cambria Math" w:hAnsi="Cambria Math"/>
            </w:rPr>
            <m:t xml:space="preserve">% diff wihtout ND filters </m:t>
          </m:r>
          <m:r>
            <w:rPr>
              <w:rFonts w:ascii="Cambria Math" w:hAnsi="Cambria Math"/>
            </w:rPr>
            <m:t>=</m:t>
          </m:r>
          <m:f>
            <m:fPr>
              <m:ctrlPr>
                <w:rPr>
                  <w:rFonts w:ascii="Cambria Math" w:hAnsi="Cambria Math"/>
                  <w:i/>
                </w:rPr>
              </m:ctrlPr>
            </m:fPr>
            <m:num>
              <m:r>
                <w:rPr>
                  <w:rFonts w:ascii="Cambria Math" w:hAnsi="Cambria Math"/>
                </w:rPr>
                <m:t>(0.373</m:t>
              </m:r>
              <m:r>
                <w:rPr>
                  <w:rFonts w:ascii="Cambria Math" w:hAnsi="Cambria Math"/>
                </w:rPr>
                <m:t>+</m:t>
              </m:r>
              <m:r>
                <w:rPr>
                  <w:rFonts w:ascii="Cambria Math" w:hAnsi="Cambria Math"/>
                </w:rPr>
                <m:t>0.327)</m:t>
              </m:r>
            </m:num>
            <m:den>
              <m:r>
                <w:rPr>
                  <w:rFonts w:ascii="Cambria Math" w:hAnsi="Cambria Math"/>
                </w:rPr>
                <m:t>2</m:t>
              </m:r>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0.7</m:t>
              </m:r>
            </m:num>
            <m:den>
              <m:r>
                <w:rPr>
                  <w:rFonts w:ascii="Cambria Math" w:hAnsi="Cambria Math"/>
                </w:rPr>
                <m:t>2</m:t>
              </m:r>
            </m:den>
          </m:f>
          <m:r>
            <w:rPr>
              <w:rFonts w:ascii="Cambria Math" w:hAnsi="Cambria Math"/>
            </w:rPr>
            <m:t>×100=35%</m:t>
          </m:r>
          <m:r>
            <w:rPr>
              <w:rFonts w:ascii="Cambria Math" w:hAnsi="Cambria Math"/>
            </w:rPr>
            <m:t xml:space="preserve"> </m:t>
          </m:r>
        </m:oMath>
      </m:oMathPara>
    </w:p>
    <w:p w14:paraId="477FDF18" w14:textId="0BEDDA17" w:rsidR="00D57E68" w:rsidRPr="00737F91" w:rsidRDefault="000D20A6" w:rsidP="00D22E20">
      <w:pPr>
        <w:rPr>
          <w:rFonts w:eastAsiaTheme="minorEastAsia"/>
        </w:rPr>
      </w:pPr>
      <m:oMathPara>
        <m:oMath>
          <m:r>
            <w:rPr>
              <w:rFonts w:ascii="Cambria Math" w:eastAsiaTheme="minorEastAsia" w:hAnsi="Cambria Math"/>
            </w:rPr>
            <m:t xml:space="preserve">% diff with ND filters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(0.331-0.327)</m:t>
              </m:r>
            </m:num>
            <m:den>
              <m:r>
                <w:rPr>
                  <w:rFonts w:ascii="Cambria Math" w:eastAsiaTheme="minorEastAsia" w:hAnsi="Cambria Math"/>
                </w:rPr>
                <m:t>2</m:t>
              </m:r>
            </m:den>
          </m:f>
          <m:r>
            <w:rPr>
              <w:rFonts w:ascii="Cambria Math" w:eastAsiaTheme="minorEastAsia" w:hAnsi="Cambria Math"/>
            </w:rPr>
            <m:t>×100=</m:t>
          </m:r>
          <m:r>
            <w:rPr>
              <w:rFonts w:ascii="Cambria Math" w:eastAsiaTheme="minorEastAsia" w:hAnsi="Cambria Math"/>
            </w:rPr>
            <m:t>0.002×100=0.2%</m:t>
          </m:r>
        </m:oMath>
      </m:oMathPara>
    </w:p>
    <w:p w14:paraId="27195B99" w14:textId="77777777" w:rsidR="00737F91" w:rsidRPr="00737F91" w:rsidRDefault="00737F91" w:rsidP="00D22E20">
      <w:pPr>
        <w:rPr>
          <w:rFonts w:eastAsiaTheme="minorEastAsia"/>
        </w:rPr>
      </w:pPr>
    </w:p>
    <w:p w14:paraId="5B7E3D4F" w14:textId="77777777" w:rsidR="00EE019C" w:rsidRDefault="00EE019C"/>
    <w:sectPr w:rsidR="00EE019C" w:rsidSect="00C66D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7547B"/>
    <w:multiLevelType w:val="multilevel"/>
    <w:tmpl w:val="5AE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E4246"/>
    <w:multiLevelType w:val="multilevel"/>
    <w:tmpl w:val="9200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03853"/>
    <w:multiLevelType w:val="multilevel"/>
    <w:tmpl w:val="046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2062E"/>
    <w:multiLevelType w:val="multilevel"/>
    <w:tmpl w:val="943A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033FB"/>
    <w:multiLevelType w:val="multilevel"/>
    <w:tmpl w:val="B9E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63D5A"/>
    <w:multiLevelType w:val="multilevel"/>
    <w:tmpl w:val="C1D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70D17"/>
    <w:multiLevelType w:val="multilevel"/>
    <w:tmpl w:val="D59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C7332"/>
    <w:multiLevelType w:val="multilevel"/>
    <w:tmpl w:val="4D6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26279"/>
    <w:multiLevelType w:val="multilevel"/>
    <w:tmpl w:val="ECC4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970851">
    <w:abstractNumId w:val="0"/>
  </w:num>
  <w:num w:numId="2" w16cid:durableId="949893217">
    <w:abstractNumId w:val="8"/>
  </w:num>
  <w:num w:numId="3" w16cid:durableId="2012751479">
    <w:abstractNumId w:val="3"/>
  </w:num>
  <w:num w:numId="4" w16cid:durableId="1077022111">
    <w:abstractNumId w:val="5"/>
  </w:num>
  <w:num w:numId="5" w16cid:durableId="1225724211">
    <w:abstractNumId w:val="4"/>
  </w:num>
  <w:num w:numId="6" w16cid:durableId="291131220">
    <w:abstractNumId w:val="1"/>
  </w:num>
  <w:num w:numId="7" w16cid:durableId="928394842">
    <w:abstractNumId w:val="2"/>
  </w:num>
  <w:num w:numId="8" w16cid:durableId="134493520">
    <w:abstractNumId w:val="6"/>
  </w:num>
  <w:num w:numId="9" w16cid:durableId="979532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637"/>
    <w:rsid w:val="0000088A"/>
    <w:rsid w:val="00003C30"/>
    <w:rsid w:val="000041FD"/>
    <w:rsid w:val="000202D4"/>
    <w:rsid w:val="000347FF"/>
    <w:rsid w:val="00035F07"/>
    <w:rsid w:val="0004653D"/>
    <w:rsid w:val="00056B0E"/>
    <w:rsid w:val="00061BCD"/>
    <w:rsid w:val="000665EF"/>
    <w:rsid w:val="000745F5"/>
    <w:rsid w:val="00083B6D"/>
    <w:rsid w:val="00085F78"/>
    <w:rsid w:val="000B0281"/>
    <w:rsid w:val="000B7208"/>
    <w:rsid w:val="000C211A"/>
    <w:rsid w:val="000C3516"/>
    <w:rsid w:val="000D20A6"/>
    <w:rsid w:val="000E4F83"/>
    <w:rsid w:val="000E68FF"/>
    <w:rsid w:val="000F5008"/>
    <w:rsid w:val="00116EBC"/>
    <w:rsid w:val="00132E4F"/>
    <w:rsid w:val="001348C6"/>
    <w:rsid w:val="00152A2C"/>
    <w:rsid w:val="00156263"/>
    <w:rsid w:val="00157C0A"/>
    <w:rsid w:val="0016480A"/>
    <w:rsid w:val="00181CE4"/>
    <w:rsid w:val="00191C6B"/>
    <w:rsid w:val="001B5614"/>
    <w:rsid w:val="001D2E2A"/>
    <w:rsid w:val="001F4B00"/>
    <w:rsid w:val="001F72A0"/>
    <w:rsid w:val="00211A8F"/>
    <w:rsid w:val="00217486"/>
    <w:rsid w:val="00225C86"/>
    <w:rsid w:val="00231113"/>
    <w:rsid w:val="00247A97"/>
    <w:rsid w:val="002518D2"/>
    <w:rsid w:val="00272E5D"/>
    <w:rsid w:val="00274D1D"/>
    <w:rsid w:val="002823B4"/>
    <w:rsid w:val="00291035"/>
    <w:rsid w:val="002A5DA5"/>
    <w:rsid w:val="002B13C3"/>
    <w:rsid w:val="002B614B"/>
    <w:rsid w:val="002F59FA"/>
    <w:rsid w:val="0030107D"/>
    <w:rsid w:val="0030676A"/>
    <w:rsid w:val="003113B1"/>
    <w:rsid w:val="00311EA3"/>
    <w:rsid w:val="0032571D"/>
    <w:rsid w:val="003367CD"/>
    <w:rsid w:val="003407A4"/>
    <w:rsid w:val="003509B2"/>
    <w:rsid w:val="00351A0C"/>
    <w:rsid w:val="00362343"/>
    <w:rsid w:val="003A5DCB"/>
    <w:rsid w:val="003C3C9F"/>
    <w:rsid w:val="003D1773"/>
    <w:rsid w:val="003D2AAD"/>
    <w:rsid w:val="003E690D"/>
    <w:rsid w:val="003F43D3"/>
    <w:rsid w:val="004025E1"/>
    <w:rsid w:val="00406336"/>
    <w:rsid w:val="00425EBD"/>
    <w:rsid w:val="00435471"/>
    <w:rsid w:val="00443AD1"/>
    <w:rsid w:val="00447673"/>
    <w:rsid w:val="00447AD3"/>
    <w:rsid w:val="004A255A"/>
    <w:rsid w:val="004B7D31"/>
    <w:rsid w:val="0051282A"/>
    <w:rsid w:val="00514031"/>
    <w:rsid w:val="00553637"/>
    <w:rsid w:val="005578D6"/>
    <w:rsid w:val="00560E2D"/>
    <w:rsid w:val="00581ED7"/>
    <w:rsid w:val="005862AF"/>
    <w:rsid w:val="00594513"/>
    <w:rsid w:val="00596AB5"/>
    <w:rsid w:val="00597745"/>
    <w:rsid w:val="005C5482"/>
    <w:rsid w:val="005C688B"/>
    <w:rsid w:val="005D3B21"/>
    <w:rsid w:val="005D66AA"/>
    <w:rsid w:val="005E384C"/>
    <w:rsid w:val="005E4EF2"/>
    <w:rsid w:val="005F2A64"/>
    <w:rsid w:val="00607993"/>
    <w:rsid w:val="006122F1"/>
    <w:rsid w:val="00614CB3"/>
    <w:rsid w:val="006275C1"/>
    <w:rsid w:val="006346F6"/>
    <w:rsid w:val="006372CE"/>
    <w:rsid w:val="00664121"/>
    <w:rsid w:val="0068024B"/>
    <w:rsid w:val="006861D5"/>
    <w:rsid w:val="00687E0E"/>
    <w:rsid w:val="0069593E"/>
    <w:rsid w:val="006B189D"/>
    <w:rsid w:val="006B315D"/>
    <w:rsid w:val="006B5B3B"/>
    <w:rsid w:val="006C1D2C"/>
    <w:rsid w:val="006E3E70"/>
    <w:rsid w:val="006F22D3"/>
    <w:rsid w:val="007053E3"/>
    <w:rsid w:val="007114DB"/>
    <w:rsid w:val="0071724D"/>
    <w:rsid w:val="00730C58"/>
    <w:rsid w:val="007359CE"/>
    <w:rsid w:val="00737969"/>
    <w:rsid w:val="00737F91"/>
    <w:rsid w:val="00743701"/>
    <w:rsid w:val="00756446"/>
    <w:rsid w:val="00757279"/>
    <w:rsid w:val="0076701B"/>
    <w:rsid w:val="00767E46"/>
    <w:rsid w:val="00771205"/>
    <w:rsid w:val="00774B64"/>
    <w:rsid w:val="007846C3"/>
    <w:rsid w:val="00785247"/>
    <w:rsid w:val="0078535E"/>
    <w:rsid w:val="00797275"/>
    <w:rsid w:val="007A0953"/>
    <w:rsid w:val="007A0CF8"/>
    <w:rsid w:val="007B282F"/>
    <w:rsid w:val="007D1D79"/>
    <w:rsid w:val="007D6BE8"/>
    <w:rsid w:val="007E0609"/>
    <w:rsid w:val="007E68EE"/>
    <w:rsid w:val="00816B1B"/>
    <w:rsid w:val="0082334C"/>
    <w:rsid w:val="0082623F"/>
    <w:rsid w:val="0083196C"/>
    <w:rsid w:val="00852D36"/>
    <w:rsid w:val="00855DA1"/>
    <w:rsid w:val="00866EE6"/>
    <w:rsid w:val="00874CE1"/>
    <w:rsid w:val="008A0988"/>
    <w:rsid w:val="008A3096"/>
    <w:rsid w:val="008A55A2"/>
    <w:rsid w:val="008B23A8"/>
    <w:rsid w:val="008B38DD"/>
    <w:rsid w:val="008D2F4A"/>
    <w:rsid w:val="008D74C9"/>
    <w:rsid w:val="00903F03"/>
    <w:rsid w:val="0090460B"/>
    <w:rsid w:val="00927970"/>
    <w:rsid w:val="00937B12"/>
    <w:rsid w:val="00946DF9"/>
    <w:rsid w:val="00947B2D"/>
    <w:rsid w:val="00954E24"/>
    <w:rsid w:val="00955CD5"/>
    <w:rsid w:val="00960833"/>
    <w:rsid w:val="00965415"/>
    <w:rsid w:val="00967173"/>
    <w:rsid w:val="00967523"/>
    <w:rsid w:val="00973E7A"/>
    <w:rsid w:val="00976748"/>
    <w:rsid w:val="009826BD"/>
    <w:rsid w:val="009A0FCB"/>
    <w:rsid w:val="009A1DD9"/>
    <w:rsid w:val="009B4A26"/>
    <w:rsid w:val="009E0160"/>
    <w:rsid w:val="009E45C2"/>
    <w:rsid w:val="009E5BC4"/>
    <w:rsid w:val="009F0BFC"/>
    <w:rsid w:val="009F677A"/>
    <w:rsid w:val="00A074D4"/>
    <w:rsid w:val="00A157B1"/>
    <w:rsid w:val="00A3181C"/>
    <w:rsid w:val="00A375AC"/>
    <w:rsid w:val="00A40F74"/>
    <w:rsid w:val="00A55757"/>
    <w:rsid w:val="00A600E4"/>
    <w:rsid w:val="00A609EA"/>
    <w:rsid w:val="00A6693C"/>
    <w:rsid w:val="00A767A0"/>
    <w:rsid w:val="00A77481"/>
    <w:rsid w:val="00A838F9"/>
    <w:rsid w:val="00A90E90"/>
    <w:rsid w:val="00AA7EB6"/>
    <w:rsid w:val="00AB455B"/>
    <w:rsid w:val="00AC079B"/>
    <w:rsid w:val="00AC49A7"/>
    <w:rsid w:val="00AD40F7"/>
    <w:rsid w:val="00B05269"/>
    <w:rsid w:val="00B15470"/>
    <w:rsid w:val="00B322B3"/>
    <w:rsid w:val="00B44271"/>
    <w:rsid w:val="00B52B10"/>
    <w:rsid w:val="00B52E72"/>
    <w:rsid w:val="00B53194"/>
    <w:rsid w:val="00B651A1"/>
    <w:rsid w:val="00B715E2"/>
    <w:rsid w:val="00B96847"/>
    <w:rsid w:val="00BA4DBD"/>
    <w:rsid w:val="00BB54B8"/>
    <w:rsid w:val="00BD5CBB"/>
    <w:rsid w:val="00BE6E71"/>
    <w:rsid w:val="00BF3645"/>
    <w:rsid w:val="00BF4432"/>
    <w:rsid w:val="00C2599F"/>
    <w:rsid w:val="00C435D2"/>
    <w:rsid w:val="00C62848"/>
    <w:rsid w:val="00C66DB6"/>
    <w:rsid w:val="00C72B7B"/>
    <w:rsid w:val="00C8317A"/>
    <w:rsid w:val="00C85917"/>
    <w:rsid w:val="00C87519"/>
    <w:rsid w:val="00CB69FE"/>
    <w:rsid w:val="00CE3066"/>
    <w:rsid w:val="00CF606F"/>
    <w:rsid w:val="00D05CF1"/>
    <w:rsid w:val="00D11944"/>
    <w:rsid w:val="00D170DE"/>
    <w:rsid w:val="00D215A0"/>
    <w:rsid w:val="00D22E20"/>
    <w:rsid w:val="00D57E68"/>
    <w:rsid w:val="00D7337B"/>
    <w:rsid w:val="00D9605A"/>
    <w:rsid w:val="00D97D77"/>
    <w:rsid w:val="00DA1EBA"/>
    <w:rsid w:val="00DB2F89"/>
    <w:rsid w:val="00DB5FBD"/>
    <w:rsid w:val="00DD140C"/>
    <w:rsid w:val="00DD6FFB"/>
    <w:rsid w:val="00DE6748"/>
    <w:rsid w:val="00DF7827"/>
    <w:rsid w:val="00E02CEA"/>
    <w:rsid w:val="00E079F2"/>
    <w:rsid w:val="00E246BE"/>
    <w:rsid w:val="00E446C3"/>
    <w:rsid w:val="00E546A0"/>
    <w:rsid w:val="00E554E9"/>
    <w:rsid w:val="00E623FC"/>
    <w:rsid w:val="00E718D3"/>
    <w:rsid w:val="00E73E07"/>
    <w:rsid w:val="00E825C1"/>
    <w:rsid w:val="00EA1B3F"/>
    <w:rsid w:val="00EA237D"/>
    <w:rsid w:val="00EA5821"/>
    <w:rsid w:val="00EB361C"/>
    <w:rsid w:val="00EB435A"/>
    <w:rsid w:val="00EC017B"/>
    <w:rsid w:val="00EC06D2"/>
    <w:rsid w:val="00ED11FA"/>
    <w:rsid w:val="00ED147C"/>
    <w:rsid w:val="00EE019C"/>
    <w:rsid w:val="00EE37F7"/>
    <w:rsid w:val="00EE3929"/>
    <w:rsid w:val="00EF0999"/>
    <w:rsid w:val="00EF4B9F"/>
    <w:rsid w:val="00F10072"/>
    <w:rsid w:val="00F2464B"/>
    <w:rsid w:val="00F27B06"/>
    <w:rsid w:val="00F32003"/>
    <w:rsid w:val="00F371C1"/>
    <w:rsid w:val="00F45211"/>
    <w:rsid w:val="00F613B7"/>
    <w:rsid w:val="00F73C86"/>
    <w:rsid w:val="00F85DB8"/>
    <w:rsid w:val="00F94BB1"/>
    <w:rsid w:val="00FD025A"/>
    <w:rsid w:val="00FF2C85"/>
    <w:rsid w:val="00FF50BE"/>
    <w:rsid w:val="00FF5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B771CC6"/>
  <w15:chartTrackingRefBased/>
  <w15:docId w15:val="{3F095ACC-4C35-4391-8DB6-291ADE82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637"/>
    <w:rPr>
      <w:rFonts w:eastAsiaTheme="majorEastAsia" w:cstheme="majorBidi"/>
      <w:color w:val="272727" w:themeColor="text1" w:themeTint="D8"/>
    </w:rPr>
  </w:style>
  <w:style w:type="paragraph" w:styleId="Title">
    <w:name w:val="Title"/>
    <w:basedOn w:val="Normal"/>
    <w:next w:val="Normal"/>
    <w:link w:val="TitleChar"/>
    <w:uiPriority w:val="10"/>
    <w:qFormat/>
    <w:rsid w:val="00553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637"/>
    <w:pPr>
      <w:spacing w:before="160"/>
      <w:jc w:val="center"/>
    </w:pPr>
    <w:rPr>
      <w:i/>
      <w:iCs/>
      <w:color w:val="404040" w:themeColor="text1" w:themeTint="BF"/>
    </w:rPr>
  </w:style>
  <w:style w:type="character" w:customStyle="1" w:styleId="QuoteChar">
    <w:name w:val="Quote Char"/>
    <w:basedOn w:val="DefaultParagraphFont"/>
    <w:link w:val="Quote"/>
    <w:uiPriority w:val="29"/>
    <w:rsid w:val="00553637"/>
    <w:rPr>
      <w:i/>
      <w:iCs/>
      <w:color w:val="404040" w:themeColor="text1" w:themeTint="BF"/>
    </w:rPr>
  </w:style>
  <w:style w:type="paragraph" w:styleId="ListParagraph">
    <w:name w:val="List Paragraph"/>
    <w:basedOn w:val="Normal"/>
    <w:uiPriority w:val="34"/>
    <w:qFormat/>
    <w:rsid w:val="00553637"/>
    <w:pPr>
      <w:ind w:left="720"/>
      <w:contextualSpacing/>
    </w:pPr>
  </w:style>
  <w:style w:type="character" w:styleId="IntenseEmphasis">
    <w:name w:val="Intense Emphasis"/>
    <w:basedOn w:val="DefaultParagraphFont"/>
    <w:uiPriority w:val="21"/>
    <w:qFormat/>
    <w:rsid w:val="00553637"/>
    <w:rPr>
      <w:i/>
      <w:iCs/>
      <w:color w:val="0F4761" w:themeColor="accent1" w:themeShade="BF"/>
    </w:rPr>
  </w:style>
  <w:style w:type="paragraph" w:styleId="IntenseQuote">
    <w:name w:val="Intense Quote"/>
    <w:basedOn w:val="Normal"/>
    <w:next w:val="Normal"/>
    <w:link w:val="IntenseQuoteChar"/>
    <w:uiPriority w:val="30"/>
    <w:qFormat/>
    <w:rsid w:val="00553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637"/>
    <w:rPr>
      <w:i/>
      <w:iCs/>
      <w:color w:val="0F4761" w:themeColor="accent1" w:themeShade="BF"/>
    </w:rPr>
  </w:style>
  <w:style w:type="character" w:styleId="IntenseReference">
    <w:name w:val="Intense Reference"/>
    <w:basedOn w:val="DefaultParagraphFont"/>
    <w:uiPriority w:val="32"/>
    <w:qFormat/>
    <w:rsid w:val="00553637"/>
    <w:rPr>
      <w:b/>
      <w:bCs/>
      <w:smallCaps/>
      <w:color w:val="0F4761" w:themeColor="accent1" w:themeShade="BF"/>
      <w:spacing w:val="5"/>
    </w:rPr>
  </w:style>
  <w:style w:type="paragraph" w:styleId="Caption">
    <w:name w:val="caption"/>
    <w:basedOn w:val="Normal"/>
    <w:next w:val="Normal"/>
    <w:uiPriority w:val="35"/>
    <w:unhideWhenUsed/>
    <w:qFormat/>
    <w:rsid w:val="00003C3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181CE4"/>
    <w:rPr>
      <w:color w:val="666666"/>
    </w:rPr>
  </w:style>
  <w:style w:type="character" w:styleId="Hyperlink">
    <w:name w:val="Hyperlink"/>
    <w:basedOn w:val="DefaultParagraphFont"/>
    <w:uiPriority w:val="99"/>
    <w:unhideWhenUsed/>
    <w:rsid w:val="00311EA3"/>
    <w:rPr>
      <w:color w:val="467886" w:themeColor="hyperlink"/>
      <w:u w:val="single"/>
    </w:rPr>
  </w:style>
  <w:style w:type="character" w:styleId="UnresolvedMention">
    <w:name w:val="Unresolved Mention"/>
    <w:basedOn w:val="DefaultParagraphFont"/>
    <w:uiPriority w:val="99"/>
    <w:semiHidden/>
    <w:unhideWhenUsed/>
    <w:rsid w:val="00311EA3"/>
    <w:rPr>
      <w:color w:val="605E5C"/>
      <w:shd w:val="clear" w:color="auto" w:fill="E1DFDD"/>
    </w:rPr>
  </w:style>
  <w:style w:type="paragraph" w:styleId="NoSpacing">
    <w:name w:val="No Spacing"/>
    <w:link w:val="NoSpacingChar"/>
    <w:uiPriority w:val="1"/>
    <w:qFormat/>
    <w:rsid w:val="00C66DB6"/>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66DB6"/>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4102">
      <w:bodyDiv w:val="1"/>
      <w:marLeft w:val="0"/>
      <w:marRight w:val="0"/>
      <w:marTop w:val="0"/>
      <w:marBottom w:val="0"/>
      <w:divBdr>
        <w:top w:val="none" w:sz="0" w:space="0" w:color="auto"/>
        <w:left w:val="none" w:sz="0" w:space="0" w:color="auto"/>
        <w:bottom w:val="none" w:sz="0" w:space="0" w:color="auto"/>
        <w:right w:val="none" w:sz="0" w:space="0" w:color="auto"/>
      </w:divBdr>
    </w:div>
    <w:div w:id="6517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stackexchange.com/questions/274379/outcome-of-mach-zehnder-interferometer-experim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uemath.com/commercial-math/percent-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Valenzuela.keisha07@gmail.com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8816</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CONSTRUCTING a Mach-zender INTERFEROMETER WITH a Variable Beam Path Using a Translation Stage</dc:title>
  <dc:subject>Keisha Valenzuela, Javier</dc:subject>
  <dc:creator>VALENZUELA, Keisha</dc:creator>
  <cp:keywords/>
  <dc:description/>
  <cp:lastModifiedBy>VALENZUELA, Keisha (kvale39)</cp:lastModifiedBy>
  <cp:revision>262</cp:revision>
  <dcterms:created xsi:type="dcterms:W3CDTF">2024-11-26T08:14:00Z</dcterms:created>
  <dcterms:modified xsi:type="dcterms:W3CDTF">2024-12-02T11:36:00Z</dcterms:modified>
</cp:coreProperties>
</file>