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pPr>
      <w:r>
        <w:rPr>
          <w:rFonts w:ascii="Georgia" w:cs="Georgia" w:eastAsia="Georgia" w:hAnsi="Georgia"/>
          <w:color w:val="0C2340"/>
          <w:spacing w:val="20"/>
          <w:sz w:val="32"/>
          <w:szCs w:val="32"/>
        </w:rPr>
        <w:t xml:space="preserve">RFQ Comparison Table</w:t>
      </w:r>
    </w:p>
    <w:p>
      <w:pPr>
        <w:tabs>
          <w:tab w:val="left" w:pos="2160"/>
        </w:tabs>
        <w:spacing w:after="160" w:before="0"/>
      </w:pPr>
      <w:r>
        <w:rPr>
          <w:rFonts w:ascii="Arial" w:cs="Arial" w:eastAsia="Arial" w:hAnsi="Arial"/>
          <w:color w:val="8A9BAE"/>
          <w:spacing w:val="10"/>
          <w:sz w:val="13"/>
          <w:szCs w:val="13"/>
        </w:rPr>
        <w:t xml:space="preserve">ENGAGEMENT REF</w:t>
      </w:r>
      <w:r>
        <w:t xml:space="preserve">	</w:t>
      </w:r>
      <w:r>
        <w:rPr>
          <w:rFonts w:ascii="Arial" w:cs="Arial" w:eastAsia="Arial" w:hAnsi="Arial"/>
          <w:color w:val="0C2340"/>
          <w:sz w:val="16"/>
          <w:szCs w:val="16"/>
        </w:rPr>
        <w:t xml:space="preserve">MI-2026-001</w:t>
      </w:r>
    </w:p>
    <w:p>
      <w:pPr>
        <w:tabs>
          <w:tab w:val="left" w:pos="2160"/>
        </w:tabs>
        <w:spacing w:after="160" w:before="0"/>
      </w:pPr>
      <w:r>
        <w:rPr>
          <w:rFonts w:ascii="Arial" w:cs="Arial" w:eastAsia="Arial" w:hAnsi="Arial"/>
          <w:color w:val="8A9BAE"/>
          <w:spacing w:val="10"/>
          <w:sz w:val="13"/>
          <w:szCs w:val="13"/>
        </w:rPr>
        <w:t xml:space="preserve">CLIENT</w:t>
      </w:r>
      <w:r>
        <w:t xml:space="preserve">	</w:t>
      </w:r>
      <w:r>
        <w:rPr>
          <w:rFonts w:ascii="Arial" w:cs="Arial" w:eastAsia="Arial" w:hAnsi="Arial"/>
          <w:color w:val="0C2340"/>
          <w:sz w:val="16"/>
          <w:szCs w:val="16"/>
        </w:rPr>
        <w:t xml:space="preserve">Protea Distribution</w:t>
      </w:r>
    </w:p>
    <w:p>
      <w:pPr>
        <w:tabs>
          <w:tab w:val="left" w:pos="2160"/>
        </w:tabs>
        <w:spacing w:after="160" w:before="0"/>
      </w:pPr>
      <w:r>
        <w:rPr>
          <w:rFonts w:ascii="Arial" w:cs="Arial" w:eastAsia="Arial" w:hAnsi="Arial"/>
          <w:color w:val="8A9BAE"/>
          <w:spacing w:val="10"/>
          <w:sz w:val="13"/>
          <w:szCs w:val="13"/>
        </w:rPr>
        <w:t xml:space="preserve">PRODUCT</w:t>
      </w:r>
      <w:r>
        <w:t xml:space="preserve">	</w:t>
      </w:r>
      <w:r>
        <w:rPr>
          <w:rFonts w:ascii="Arial" w:cs="Arial" w:eastAsia="Arial" w:hAnsi="Arial"/>
          <w:color w:val="0C2340"/>
          <w:sz w:val="16"/>
          <w:szCs w:val="16"/>
        </w:rPr>
        <w:t xml:space="preserve">USB-C Multiport Docking Station</w:t>
      </w:r>
    </w:p>
    <w:p>
      <w:pPr>
        <w:tabs>
          <w:tab w:val="left" w:pos="2160"/>
        </w:tabs>
        <w:spacing w:after="160" w:before="0"/>
      </w:pPr>
      <w:r>
        <w:rPr>
          <w:rFonts w:ascii="Arial" w:cs="Arial" w:eastAsia="Arial" w:hAnsi="Arial"/>
          <w:color w:val="8A9BAE"/>
          <w:spacing w:val="10"/>
          <w:sz w:val="13"/>
          <w:szCs w:val="13"/>
        </w:rPr>
        <w:t xml:space="preserve">QUANTITY</w:t>
      </w:r>
      <w:r>
        <w:t xml:space="preserve">	</w:t>
      </w:r>
      <w:r>
        <w:rPr>
          <w:rFonts w:ascii="Arial" w:cs="Arial" w:eastAsia="Arial" w:hAnsi="Arial"/>
          <w:color w:val="0C2340"/>
          <w:sz w:val="16"/>
          <w:szCs w:val="16"/>
        </w:rPr>
        <w:t xml:space="preserve">2,000 units</w:t>
      </w:r>
    </w:p>
    <w:p>
      <w:pPr>
        <w:tabs>
          <w:tab w:val="left" w:pos="2160"/>
        </w:tabs>
        <w:spacing w:after="160" w:before="0"/>
      </w:pPr>
      <w:r>
        <w:rPr>
          <w:rFonts w:ascii="Arial" w:cs="Arial" w:eastAsia="Arial" w:hAnsi="Arial"/>
          <w:color w:val="8A9BAE"/>
          <w:spacing w:val="10"/>
          <w:sz w:val="13"/>
          <w:szCs w:val="13"/>
        </w:rPr>
        <w:t xml:space="preserve">TARGET BUDGET</w:t>
      </w:r>
      <w:r>
        <w:t xml:space="preserve">	</w:t>
      </w:r>
      <w:r>
        <w:rPr>
          <w:rFonts w:ascii="Arial" w:cs="Arial" w:eastAsia="Arial" w:hAnsi="Arial"/>
          <w:color w:val="0C2340"/>
          <w:sz w:val="16"/>
          <w:szCs w:val="16"/>
        </w:rPr>
        <w:t xml:space="preserve">USD 15,000 FOB Shenzhen</w:t>
      </w:r>
    </w:p>
    <w:p>
      <w:pPr>
        <w:spacing w:after="160" w:before="0"/>
      </w:pPr>
    </w:p>
    <w:p>
      <w:pPr>
        <w:pBdr>
          <w:bottom w:val="single" w:color="D6D1C7" w:sz="2" w:space="4"/>
        </w:pBdr>
        <w:spacing w:after="320" w:before="720"/>
      </w:pPr>
      <w:r>
        <w:rPr>
          <w:rFonts w:ascii="Courier New" w:cs="Courier New" w:eastAsia="Courier New" w:hAnsi="Courier New"/>
          <w:color w:val="C4973B"/>
          <w:sz w:val="15"/>
          <w:szCs w:val="15"/>
        </w:rPr>
        <w:t xml:space="preserve">1</w:t>
      </w:r>
      <w:r>
        <w:rPr>
          <w:rFonts w:ascii="Arial" w:cs="Arial" w:eastAsia="Arial" w:hAnsi="Arial"/>
          <w:sz w:val="15"/>
          <w:szCs w:val="15"/>
        </w:rPr>
        <w:t xml:space="preserve">    </w:t>
      </w:r>
      <w:r>
        <w:rPr>
          <w:rFonts w:ascii="Arial" w:cs="Arial" w:eastAsia="Arial" w:hAnsi="Arial"/>
          <w:b/>
          <w:bCs/>
          <w:color w:val="4A5568"/>
          <w:spacing w:val="90"/>
          <w:sz w:val="14"/>
          <w:szCs w:val="14"/>
        </w:rPr>
        <w:t xml:space="preserve">REQUEST SUMMARY</w:t>
      </w:r>
    </w:p>
    <w:p>
      <w:pPr>
        <w:spacing w:after="320" w:before="0" w:line="264"/>
        <w:jc w:val="both"/>
      </w:pPr>
      <w:r>
        <w:rPr>
          <w:rFonts w:ascii="Arial" w:cs="Arial" w:eastAsia="Arial" w:hAnsi="Arial"/>
          <w:color w:val="0C2340"/>
          <w:sz w:val="18"/>
          <w:szCs w:val="18"/>
        </w:rPr>
        <w:t xml:space="preserve">Meridian issued RFQs to three shortlisted Shenzhen-area suppliers for the supply of 2,000 USB-C multiport docking stations, FOB Shenzhen, against a client target budget of USD 15,000. Quotations below are placeholder data for a document-persistence dry run and do not reflect live supplier pricing.</w:t>
      </w:r>
    </w:p>
    <w:p>
      <w:pPr>
        <w:pBdr>
          <w:bottom w:val="single" w:color="D6D1C7" w:sz="2" w:space="4"/>
        </w:pBdr>
        <w:spacing w:after="320" w:before="720"/>
      </w:pPr>
      <w:r>
        <w:rPr>
          <w:rFonts w:ascii="Courier New" w:cs="Courier New" w:eastAsia="Courier New" w:hAnsi="Courier New"/>
          <w:color w:val="C4973B"/>
          <w:sz w:val="15"/>
          <w:szCs w:val="15"/>
        </w:rPr>
        <w:t xml:space="preserve">2</w:t>
      </w:r>
      <w:r>
        <w:rPr>
          <w:rFonts w:ascii="Arial" w:cs="Arial" w:eastAsia="Arial" w:hAnsi="Arial"/>
          <w:sz w:val="15"/>
          <w:szCs w:val="15"/>
        </w:rPr>
        <w:t xml:space="preserve">    </w:t>
      </w:r>
      <w:r>
        <w:rPr>
          <w:rFonts w:ascii="Arial" w:cs="Arial" w:eastAsia="Arial" w:hAnsi="Arial"/>
          <w:b/>
          <w:bCs/>
          <w:color w:val="4A5568"/>
          <w:spacing w:val="90"/>
          <w:sz w:val="14"/>
          <w:szCs w:val="14"/>
        </w:rPr>
        <w:t xml:space="preserve">SUPPLIER QUOTATIONS</w:t>
      </w:r>
    </w:p>
    <w:tbl>
      <w:tblPr>
        <w:tblW w:type="dxa" w:w="8594"/>
        <w:tblBorders>
          <w:top w:val="single" w:color="D6D1C7" w:sz="1"/>
          <w:left w:val="none"/>
          <w:bottom w:val="single" w:color="D6D1C7" w:sz="1"/>
          <w:right w:val="none"/>
          <w:insideH w:val="single" w:color="D6D1C7" w:sz="1"/>
          <w:insideV w:val="none"/>
        </w:tblBorders>
      </w:tblPr>
      <w:tblGrid>
        <w:gridCol w:w="2149"/>
        <w:gridCol w:w="2149"/>
        <w:gridCol w:w="2149"/>
        <w:gridCol w:w="2149"/>
      </w:tblGrid>
      <w:tr>
        <w:tc>
          <w:tcPr>
            <w:tcW w:type="dxa" w:w="2149"/>
            <w:tcBorders>
              <w:top w:val="none"/>
              <w:left w:val="none"/>
              <w:bottom w:val="single" w:color="D6D1C7" w:sz="1"/>
              <w:right w:val="none"/>
            </w:tcBorders>
            <w:shd w:fill="0C2340" w:val="clear"/>
            <w:tcMar>
              <w:top w:type="dxa" w:w="80"/>
              <w:left w:type="dxa" w:w="80"/>
              <w:bottom w:type="dxa" w:w="80"/>
              <w:right w:type="dxa" w:w="80"/>
            </w:tcMar>
          </w:tcPr>
          <w:p>
            <w:r>
              <w:rPr>
                <w:rFonts w:ascii="Arial" w:cs="Arial" w:eastAsia="Arial" w:hAnsi="Arial"/>
                <w:b/>
                <w:bCs/>
                <w:color w:val="FFFFFF"/>
                <w:sz w:val="12"/>
                <w:szCs w:val="12"/>
              </w:rPr>
              <w:t xml:space="preserve">Criteria</w:t>
            </w:r>
          </w:p>
        </w:tc>
        <w:tc>
          <w:tcPr>
            <w:tcW w:type="dxa" w:w="2149"/>
            <w:tcBorders>
              <w:top w:val="none"/>
              <w:left w:val="none"/>
              <w:bottom w:val="single" w:color="D6D1C7" w:sz="1"/>
              <w:right w:val="none"/>
            </w:tcBorders>
            <w:shd w:fill="0C2340" w:val="clear"/>
            <w:tcMar>
              <w:top w:type="dxa" w:w="80"/>
              <w:left w:type="dxa" w:w="80"/>
              <w:bottom w:type="dxa" w:w="80"/>
              <w:right w:type="dxa" w:w="80"/>
            </w:tcMar>
          </w:tcPr>
          <w:p>
            <w:r>
              <w:rPr>
                <w:rFonts w:ascii="Arial" w:cs="Arial" w:eastAsia="Arial" w:hAnsi="Arial"/>
                <w:b/>
                <w:bCs/>
                <w:color w:val="FFFFFF"/>
                <w:sz w:val="12"/>
                <w:szCs w:val="12"/>
              </w:rPr>
              <w:t xml:space="preserve">Shenzhen Trend Electronics Co., Ltd.</w:t>
            </w:r>
          </w:p>
        </w:tc>
        <w:tc>
          <w:tcPr>
            <w:tcW w:type="dxa" w:w="2149"/>
            <w:tcBorders>
              <w:top w:val="none"/>
              <w:left w:val="none"/>
              <w:bottom w:val="single" w:color="D6D1C7" w:sz="1"/>
              <w:right w:val="none"/>
            </w:tcBorders>
            <w:shd w:fill="0C2340" w:val="clear"/>
            <w:tcMar>
              <w:top w:type="dxa" w:w="80"/>
              <w:left w:type="dxa" w:w="80"/>
              <w:bottom w:type="dxa" w:w="80"/>
              <w:right w:type="dxa" w:w="80"/>
            </w:tcMar>
          </w:tcPr>
          <w:p>
            <w:r>
              <w:rPr>
                <w:rFonts w:ascii="Arial" w:cs="Arial" w:eastAsia="Arial" w:hAnsi="Arial"/>
                <w:b/>
                <w:bCs/>
                <w:color w:val="FFFFFF"/>
                <w:sz w:val="12"/>
                <w:szCs w:val="12"/>
              </w:rPr>
              <w:t xml:space="preserve">Yourong Technology Co., Ltd.</w:t>
            </w:r>
          </w:p>
        </w:tc>
        <w:tc>
          <w:tcPr>
            <w:tcW w:type="dxa" w:w="2149"/>
            <w:tcBorders>
              <w:top w:val="none"/>
              <w:left w:val="none"/>
              <w:bottom w:val="single" w:color="D6D1C7" w:sz="1"/>
              <w:right w:val="none"/>
            </w:tcBorders>
            <w:shd w:fill="0C2340" w:val="clear"/>
            <w:tcMar>
              <w:top w:type="dxa" w:w="80"/>
              <w:left w:type="dxa" w:w="80"/>
              <w:bottom w:type="dxa" w:w="80"/>
              <w:right w:type="dxa" w:w="80"/>
            </w:tcMar>
          </w:tcPr>
          <w:p>
            <w:r>
              <w:rPr>
                <w:rFonts w:ascii="Arial" w:cs="Arial" w:eastAsia="Arial" w:hAnsi="Arial"/>
                <w:b/>
                <w:bCs/>
                <w:color w:val="FFFFFF"/>
                <w:sz w:val="12"/>
                <w:szCs w:val="12"/>
              </w:rPr>
              <w:t xml:space="preserve">Yiwu Hongda Trading Co., Ltd.</w:t>
            </w:r>
          </w:p>
        </w:tc>
      </w:tr>
      <w:tr>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bCs/>
                <w:color w:val="0C2340"/>
                <w:sz w:val="13"/>
                <w:szCs w:val="13"/>
              </w:rPr>
              <w:t xml:space="preserve">Unit Price (FOB Shenzhen)</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USD 6.85</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USD 7.10</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USD 6.40</w:t>
            </w:r>
          </w:p>
        </w:tc>
      </w:tr>
      <w:tr>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bCs/>
                <w:color w:val="0C2340"/>
                <w:sz w:val="13"/>
                <w:szCs w:val="13"/>
              </w:rPr>
              <w:t xml:space="preserve">MOQ</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500 units</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300 units</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1,000 units</w:t>
            </w:r>
          </w:p>
        </w:tc>
      </w:tr>
      <w:tr>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bCs/>
                <w:color w:val="0C2340"/>
                <w:sz w:val="13"/>
                <w:szCs w:val="13"/>
              </w:rPr>
              <w:t xml:space="preserve">Lead Time</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25 days</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20 days</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32 days</w:t>
            </w:r>
          </w:p>
        </w:tc>
      </w:tr>
      <w:tr>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bCs/>
                <w:color w:val="0C2340"/>
                <w:sz w:val="13"/>
                <w:szCs w:val="13"/>
              </w:rPr>
              <w:t xml:space="preserve">Total (2,000 units)</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USD 13,700</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USD 14,200</w:t>
            </w:r>
          </w:p>
        </w:tc>
        <w:tc>
          <w:tcPr>
            <w:tcW w:type="dxa" w:w="2149"/>
            <w:tcBorders>
              <w:top w:val="none"/>
              <w:left w:val="none"/>
              <w:bottom w:val="single" w:color="D6D1C7" w:sz="1"/>
              <w:right w:val="none"/>
            </w:tcBorders>
            <w:shd w:fill="FFFFFF" w:val="clear"/>
            <w:tcMar>
              <w:top w:type="dxa" w:w="80"/>
              <w:left w:type="dxa" w:w="80"/>
              <w:bottom w:type="dxa" w:w="80"/>
              <w:right w:type="dxa" w:w="80"/>
            </w:tcMar>
          </w:tcPr>
          <w:p>
            <w:r>
              <w:rPr>
                <w:rFonts w:ascii="Arial" w:cs="Arial" w:eastAsia="Arial" w:hAnsi="Arial"/>
                <w:b w:val="false"/>
                <w:bCs w:val="false"/>
                <w:color w:val="0C2340"/>
                <w:sz w:val="13"/>
                <w:szCs w:val="13"/>
              </w:rPr>
              <w:t xml:space="preserve">USD 12,800</w:t>
            </w:r>
          </w:p>
        </w:tc>
      </w:tr>
    </w:tbl>
    <w:p>
      <w:pPr>
        <w:pBdr>
          <w:bottom w:val="single" w:color="D6D1C7" w:sz="2" w:space="4"/>
        </w:pBdr>
        <w:spacing w:after="320" w:before="720"/>
      </w:pPr>
      <w:r>
        <w:rPr>
          <w:rFonts w:ascii="Courier New" w:cs="Courier New" w:eastAsia="Courier New" w:hAnsi="Courier New"/>
          <w:color w:val="C4973B"/>
          <w:sz w:val="15"/>
          <w:szCs w:val="15"/>
        </w:rPr>
        <w:t xml:space="preserve">3</w:t>
      </w:r>
      <w:r>
        <w:rPr>
          <w:rFonts w:ascii="Arial" w:cs="Arial" w:eastAsia="Arial" w:hAnsi="Arial"/>
          <w:sz w:val="15"/>
          <w:szCs w:val="15"/>
        </w:rPr>
        <w:t xml:space="preserve">    </w:t>
      </w:r>
      <w:r>
        <w:rPr>
          <w:rFonts w:ascii="Arial" w:cs="Arial" w:eastAsia="Arial" w:hAnsi="Arial"/>
          <w:b/>
          <w:bCs/>
          <w:color w:val="4A5568"/>
          <w:spacing w:val="90"/>
          <w:sz w:val="14"/>
          <w:szCs w:val="14"/>
        </w:rPr>
        <w:t xml:space="preserve">RECOMMENDATION</w:t>
      </w:r>
    </w:p>
    <w:p>
      <w:pPr>
        <w:spacing w:after="320" w:before="0" w:line="264"/>
        <w:jc w:val="both"/>
      </w:pPr>
      <w:r>
        <w:rPr>
          <w:rFonts w:ascii="Arial" w:cs="Arial" w:eastAsia="Arial" w:hAnsi="Arial"/>
          <w:color w:val="0C2340"/>
          <w:sz w:val="18"/>
          <w:szCs w:val="18"/>
        </w:rPr>
        <w:t xml:space="preserve">Yiwu Hongda Trading Co., Ltd. offers the lowest landed unit cost and the largest budget headroom, though its lead time and MOQ are less favourable than the alternatives. Shenzhen Trend Electronics Co., Ltd. offers the best balance of price and lead time within budget. Final selection is pending client sign-off.</w:t>
      </w:r>
    </w:p>
    <w:tbl>
      <w:tblPr>
        <w:tblW w:type="dxa" w:w="8594"/>
        <w:tblBorders>
          <w:top w:val="none"/>
          <w:left w:val="none"/>
          <w:bottom w:val="none"/>
          <w:right w:val="none"/>
          <w:insideH w:val="none"/>
          <w:insideV w:val="none"/>
        </w:tblBorders>
      </w:tblPr>
      <w:tblGrid>
        <w:gridCol w:w="5672"/>
        <w:gridCol w:w="2922"/>
      </w:tblGrid>
      <w:tr>
        <w:tc>
          <w:tcPr>
            <w:tcW w:type="dxa" w:w="5672"/>
            <w:tcBorders>
              <w:top w:val="none"/>
              <w:left w:val="none"/>
              <w:bottom w:val="none"/>
              <w:right w:val="none"/>
            </w:tcBorders>
            <w:shd w:fill="0C2340" w:val="clear"/>
            <w:tcMar>
              <w:top w:type="dxa" w:w="160"/>
              <w:left w:type="dxa" w:w="0"/>
              <w:bottom w:type="dxa" w:w="160"/>
              <w:right w:type="dxa" w:w="160"/>
            </w:tcMar>
          </w:tcPr>
          <w:p>
            <w:r>
              <w:rPr>
                <w:rFonts w:ascii="Arial" w:cs="Arial" w:eastAsia="Arial" w:hAnsi="Arial"/>
                <w:b/>
                <w:bCs/>
                <w:color w:val="FFFFFF"/>
                <w:sz w:val="16"/>
                <w:szCs w:val="16"/>
              </w:rPr>
              <w:t xml:space="preserve">Recommended Supplier</w:t>
            </w:r>
          </w:p>
        </w:tc>
        <w:tc>
          <w:tcPr>
            <w:tcW w:type="dxa" w:w="2922"/>
            <w:tcBorders>
              <w:top w:val="none"/>
              <w:left w:val="none"/>
              <w:bottom w:val="none"/>
              <w:right w:val="none"/>
            </w:tcBorders>
            <w:shd w:fill="0C2340" w:val="clear"/>
            <w:tcMar>
              <w:top w:type="dxa" w:w="160"/>
              <w:left w:type="dxa" w:w="160"/>
              <w:bottom w:type="dxa" w:w="160"/>
              <w:right w:type="dxa" w:w="0"/>
            </w:tcMar>
          </w:tcPr>
          <w:p>
            <w:pPr>
              <w:jc w:val="right"/>
            </w:pPr>
            <w:r>
              <w:rPr>
                <w:rFonts w:ascii="Courier New" w:cs="Courier New" w:eastAsia="Courier New" w:hAnsi="Courier New"/>
                <w:b/>
                <w:bCs/>
                <w:color w:val="FFFFFF"/>
                <w:sz w:val="16"/>
                <w:szCs w:val="16"/>
              </w:rPr>
              <w:t xml:space="preserve">Shenzhen Trend Electronics Co., Ltd.</w:t>
            </w:r>
          </w:p>
        </w:tc>
      </w:tr>
      <w:tr>
        <w:tc>
          <w:tcPr>
            <w:tcW w:type="dxa" w:w="5672"/>
            <w:tcBorders>
              <w:top w:val="none"/>
              <w:left w:val="none"/>
              <w:bottom w:val="none"/>
              <w:right w:val="none"/>
            </w:tcBorders>
            <w:shd w:fill="FFFFFF" w:val="clear"/>
            <w:tcMar>
              <w:top w:type="dxa" w:w="160"/>
              <w:left w:type="dxa" w:w="0"/>
              <w:bottom w:type="dxa" w:w="160"/>
              <w:right w:type="dxa" w:w="160"/>
            </w:tcMar>
          </w:tcPr>
          <w:p>
            <w:r>
              <w:rPr>
                <w:rFonts w:ascii="Arial" w:cs="Arial" w:eastAsia="Arial" w:hAnsi="Arial"/>
                <w:b w:val="false"/>
                <w:bCs w:val="false"/>
                <w:color w:val="0C2340"/>
                <w:sz w:val="16"/>
                <w:szCs w:val="16"/>
              </w:rPr>
              <w:t xml:space="preserve">Total (2,000 units, FOB Shenzhen)</w:t>
            </w:r>
          </w:p>
        </w:tc>
        <w:tc>
          <w:tcPr>
            <w:tcW w:type="dxa" w:w="2922"/>
            <w:tcBorders>
              <w:top w:val="none"/>
              <w:left w:val="none"/>
              <w:bottom w:val="none"/>
              <w:right w:val="none"/>
            </w:tcBorders>
            <w:shd w:fill="FFFFFF" w:val="clear"/>
            <w:tcMar>
              <w:top w:type="dxa" w:w="160"/>
              <w:left w:type="dxa" w:w="160"/>
              <w:bottom w:type="dxa" w:w="160"/>
              <w:right w:type="dxa" w:w="0"/>
            </w:tcMar>
          </w:tcPr>
          <w:p>
            <w:pPr>
              <w:jc w:val="right"/>
            </w:pPr>
            <w:r>
              <w:rPr>
                <w:rFonts w:ascii="Courier New" w:cs="Courier New" w:eastAsia="Courier New" w:hAnsi="Courier New"/>
                <w:b w:val="false"/>
                <w:bCs w:val="false"/>
                <w:color w:val="4A5568"/>
                <w:sz w:val="16"/>
                <w:szCs w:val="16"/>
              </w:rPr>
              <w:t xml:space="preserve">USD 13,700</w:t>
            </w:r>
          </w:p>
        </w:tc>
      </w:tr>
      <w:tr>
        <w:tc>
          <w:tcPr>
            <w:tcW w:type="dxa" w:w="5672"/>
            <w:tcBorders>
              <w:top w:val="none"/>
              <w:left w:val="none"/>
              <w:bottom w:val="none"/>
              <w:right w:val="none"/>
            </w:tcBorders>
            <w:shd w:fill="FFFFFF" w:val="clear"/>
            <w:tcMar>
              <w:top w:type="dxa" w:w="160"/>
              <w:left w:type="dxa" w:w="0"/>
              <w:bottom w:type="dxa" w:w="160"/>
              <w:right w:type="dxa" w:w="160"/>
            </w:tcMar>
          </w:tcPr>
          <w:p>
            <w:r>
              <w:rPr>
                <w:rFonts w:ascii="Arial" w:cs="Arial" w:eastAsia="Arial" w:hAnsi="Arial"/>
                <w:b w:val="false"/>
                <w:bCs w:val="false"/>
                <w:color w:val="0C2340"/>
                <w:sz w:val="16"/>
                <w:szCs w:val="16"/>
              </w:rPr>
              <w:t xml:space="preserve">Client Target Budget</w:t>
            </w:r>
          </w:p>
        </w:tc>
        <w:tc>
          <w:tcPr>
            <w:tcW w:type="dxa" w:w="2922"/>
            <w:tcBorders>
              <w:top w:val="none"/>
              <w:left w:val="none"/>
              <w:bottom w:val="none"/>
              <w:right w:val="none"/>
            </w:tcBorders>
            <w:shd w:fill="FFFFFF" w:val="clear"/>
            <w:tcMar>
              <w:top w:type="dxa" w:w="160"/>
              <w:left w:type="dxa" w:w="160"/>
              <w:bottom w:type="dxa" w:w="160"/>
              <w:right w:type="dxa" w:w="0"/>
            </w:tcMar>
          </w:tcPr>
          <w:p>
            <w:pPr>
              <w:jc w:val="right"/>
            </w:pPr>
            <w:r>
              <w:rPr>
                <w:rFonts w:ascii="Courier New" w:cs="Courier New" w:eastAsia="Courier New" w:hAnsi="Courier New"/>
                <w:b w:val="false"/>
                <w:bCs w:val="false"/>
                <w:color w:val="4A5568"/>
                <w:sz w:val="16"/>
                <w:szCs w:val="16"/>
              </w:rPr>
              <w:t xml:space="preserve">USD 15,000</w:t>
            </w:r>
          </w:p>
        </w:tc>
      </w:tr>
      <w:tr>
        <w:tc>
          <w:tcPr>
            <w:tcW w:type="dxa" w:w="5672"/>
            <w:tcBorders>
              <w:top w:val="double" w:color="0C2340" w:sz="4"/>
              <w:left w:val="none"/>
              <w:bottom w:val="single" w:color="0C2340" w:sz="6"/>
              <w:right w:val="none"/>
            </w:tcBorders>
            <w:shd w:fill="FFFFFF" w:val="clear"/>
            <w:tcMar>
              <w:top w:type="dxa" w:w="160"/>
              <w:left w:type="dxa" w:w="0"/>
              <w:bottom w:type="dxa" w:w="160"/>
              <w:right w:type="dxa" w:w="160"/>
            </w:tcMar>
          </w:tcPr>
          <w:p>
            <w:r>
              <w:rPr>
                <w:rFonts w:ascii="Arial" w:cs="Arial" w:eastAsia="Arial" w:hAnsi="Arial"/>
                <w:b/>
                <w:bCs/>
                <w:color w:val="0C2340"/>
                <w:sz w:val="16"/>
                <w:szCs w:val="16"/>
              </w:rPr>
              <w:t xml:space="preserve">Budget Headroom</w:t>
            </w:r>
          </w:p>
        </w:tc>
        <w:tc>
          <w:tcPr>
            <w:tcW w:type="dxa" w:w="2922"/>
            <w:tcBorders>
              <w:top w:val="double" w:color="0C2340" w:sz="4"/>
              <w:left w:val="none"/>
              <w:bottom w:val="single" w:color="0C2340" w:sz="6"/>
              <w:right w:val="none"/>
            </w:tcBorders>
            <w:shd w:fill="FFFFFF" w:val="clear"/>
            <w:tcMar>
              <w:top w:type="dxa" w:w="160"/>
              <w:left w:type="dxa" w:w="160"/>
              <w:bottom w:type="dxa" w:w="160"/>
              <w:right w:type="dxa" w:w="0"/>
            </w:tcMar>
          </w:tcPr>
          <w:p>
            <w:pPr>
              <w:jc w:val="right"/>
            </w:pPr>
            <w:r>
              <w:rPr>
                <w:rFonts w:ascii="Courier New" w:cs="Courier New" w:eastAsia="Courier New" w:hAnsi="Courier New"/>
                <w:b/>
                <w:bCs/>
                <w:color w:val="4A5568"/>
                <w:sz w:val="16"/>
                <w:szCs w:val="16"/>
              </w:rPr>
              <w:t xml:space="preserve">USD 1,300</w:t>
            </w:r>
          </w:p>
        </w:tc>
      </w:tr>
    </w:tbl>
    <w:sectPr>
      <w:headerReference w:type="default" r:id="rId7"/>
      <w:footerReference w:type="default" r:id="rId8"/>
      <w:pgSz w:w="11906" w:h="16838" w:orient="portrait"/>
      <w:pgMar w:top="1080" w:right="1656" w:bottom="1224"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6D1C7" w:sz="2" w:space="1"/>
      </w:pBdr>
      <w:spacing w:after="160" w:before="0"/>
    </w:pPr>
  </w:p>
  <w:p>
    <w:pPr>
      <w:spacing w:after="80" w:before="0"/>
    </w:pPr>
    <w:r>
      <w:rPr>
        <w:rFonts w:ascii="Arial" w:cs="Arial" w:eastAsia="Arial" w:hAnsi="Arial"/>
        <w:i/>
        <w:iCs/>
        <w:color w:val="8A9BAE"/>
        <w:sz w:val="13"/>
        <w:szCs w:val="13"/>
      </w:rPr>
      <w:t xml:space="preserve">Meridian Capital Holdings Limited (trading as Meridian International) acts in a commercial representative and advisory capacity only. It is not a law firm and does not provide legal, customs, or tax advice.</w:t>
    </w:r>
  </w:p>
  <w:p>
    <w:r>
      <w:rPr>
        <w:rFonts w:ascii="Arial" w:cs="Arial" w:eastAsia="Arial" w:hAnsi="Arial"/>
        <w:color w:val="8A9BAE"/>
        <w:sz w:val="13"/>
        <w:szCs w:val="13"/>
      </w:rPr>
      <w:t xml:space="preserve">Meridian RFQ Comparison Table  ·  MI-2026-001  ·  Page </w:t>
    </w:r>
    <w:r>
      <w:rPr>
        <w:rFonts w:ascii="Arial" w:cs="Arial" w:eastAsia="Arial" w:hAnsi="Arial"/>
        <w:color w:val="8A9BAE"/>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Georgia" w:cs="Georgia" w:eastAsia="Georgia" w:hAnsi="Georgia"/>
        <w:b/>
        <w:bCs/>
        <w:color w:val="0C2340"/>
        <w:spacing w:val="90"/>
        <w:sz w:val="24"/>
        <w:szCs w:val="24"/>
      </w:rPr>
      <w:t xml:space="preserve">MERIDIAN</w:t>
    </w:r>
    <w:r>
      <w:rPr>
        <w:rFonts w:ascii="Arial" w:cs="Arial" w:eastAsia="Arial" w:hAnsi="Arial"/>
        <w:sz w:val="10"/>
        <w:szCs w:val="10"/>
      </w:rPr>
      <w:t xml:space="preserve">  </w:t>
    </w:r>
    <w:r>
      <w:rPr>
        <w:rFonts w:ascii="Georgia" w:cs="Georgia" w:eastAsia="Georgia" w:hAnsi="Georgia"/>
        <w:color w:val="C4973B"/>
        <w:spacing w:val="90"/>
        <w:sz w:val="24"/>
        <w:szCs w:val="24"/>
      </w:rPr>
      <w:t xml:space="preserve">INTERNATIONAL</w:t>
    </w:r>
  </w:p>
  <w:p>
    <w:pPr>
      <w:spacing w:after="0" w:before="160"/>
    </w:pPr>
    <w:r>
      <w:rPr>
        <w:rFonts w:ascii="Arial" w:cs="Arial" w:eastAsia="Arial" w:hAnsi="Arial"/>
        <w:color w:val="8A9BAE"/>
        <w:sz w:val="13"/>
        <w:szCs w:val="13"/>
      </w:rPr>
      <w:t xml:space="preserve">Meridian Capital Holdings Limited  ·  BR 76904892-001-08-25-5  ·  Hong Kong SAR  ·  enquiries@meridianinternational.io</w:t>
    </w:r>
  </w:p>
  <w:p>
    <w:pPr>
      <w:pBdr>
        <w:bottom w:val="single" w:color="C4973B" w:sz="4" w:space="1"/>
      </w:pBdr>
      <w:spacing w:after="0" w:before="1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2026-08-05T05:02:23.932Z</dcterms:created>
  <dcterms:modified xsi:type="dcterms:W3CDTF">2026-08-05T05:02:23.956Z</dcterms:modified>
</cp:coreProperties>
</file>

<file path=docProps/custom.xml><?xml version="1.0" encoding="utf-8"?>
<Properties xmlns="http://schemas.openxmlformats.org/officeDocument/2006/custom-properties" xmlns:vt="http://schemas.openxmlformats.org/officeDocument/2006/docPropsVTypes"/>
</file>