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VIABILIDADE DE ARMAZENAMENTO GEOLÓGICO DE CO₂ E GÁS NATURAL NO CAMPO PILAR</w:t>
      </w:r>
    </w:p>
    <w:p>
      <w:pPr>
        <w:spacing w:after="300"/>
        <w:jc w:val="center"/>
      </w:pPr>
      <w:r>
        <w:rPr>
          <w:color w:val="2E5395"/>
          <w:sz w:val="28"/>
          <w:szCs w:val="28"/>
        </w:rPr>
        <w:t xml:space="preserve">Sub-bacia de Alagoas (Bacia SEAL) — Poço 1-PIR-0001-AL</w:t>
      </w:r>
    </w:p>
    <w:p>
      <w:pPr>
        <w:spacing w:after="2400"/>
        <w:jc w:val="center"/>
      </w:pPr>
      <w:r>
        <w:rPr>
          <w:i/>
          <w:iCs/>
          <w:sz w:val="22"/>
          <w:szCs w:val="22"/>
        </w:rPr>
        <w:t xml:space="preserve">Modelagem numérica com Julia + Jutul/JutulDarcy: seleção do intervalo de injeção, análise de sensibilidade, cenários CCS e AGSS, geomecânica de reativação de falha e validação</w:t>
      </w:r>
    </w:p>
    <w:p>
      <w:pPr>
        <w:spacing w:after="100"/>
        <w:jc w:val="center"/>
      </w:pPr>
      <w:r>
        <w:rPr>
          <w:sz w:val="22"/>
          <w:szCs w:val="22"/>
        </w:rPr>
        <w:t xml:space="preserve">Relatório técnico de implementação e resultados</w:t>
      </w:r>
    </w:p>
    <w:p>
      <w:pPr>
        <w:jc w:val="center"/>
      </w:pPr>
      <w:r>
        <w:rPr>
          <w:sz w:val="22"/>
          <w:szCs w:val="22"/>
        </w:rPr>
        <w:t xml:space="preserve">18 de julho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Resumo executivo</w:t>
      </w:r>
    </w:p>
    <w:p>
      <w:pPr>
        <w:spacing w:after="160" w:line="300"/>
        <w:jc w:val="both"/>
      </w:pPr>
      <w:r>
        <w:t xml:space="preserve">Este relatório documenta a implementação e os resultados do modelo numérico de armazenamento geológico no Campo Pilar (Sub-bacia de Alagoas), construído em Julia com os pacotes Jutul e JutulDarcy a partir dos dados reais do poço 1-PIR-0001-AL. O objetivo central da pesquisa é avaliar a viabilidade da estocagem de CO₂ (CCS) e de gás natural (AGSS) em campo depletado, com ênfase no risco de reativação da falha próxima ao injetor e na contenção pelo capeador.</w:t>
      </w:r>
    </w:p>
    <w:p>
      <w:pPr>
        <w:spacing w:after="160" w:line="300"/>
        <w:jc w:val="both"/>
      </w:pPr>
      <w:r>
        <w:t xml:space="preserve">O melhor intervalo de injeção identificado é 3.330–3.440 m, na Formação Penedo (permeabilidade média de 79,7 mD, porosidade efetiva de 16,8%, 11/12 blocos de arenito), com injeção a 3.390 m, onde o CO₂ é supercrítico (33,2 MPa; 87 °C). A conclusão de viabilidade é positiva e condicionada: com pressão de injeção limitada a 1,10 × P_ini não ocorre reativação da falha em nenhum dos 135 cenários simulados, em nenhum cenário geomecânico; com fator 1,20, a falha reativa no cenário geomecânico pessimista. A contenção pelo capeador intacto depende criticamente da pressão de entrada capilar do selo: com Pc ≥ 5 MPa a invasão é nula em todos os casos. A operação AGSS cíclica mostrou-se viável, com eficiência de working gas de 44–77% e sem reativação. No modelo com PVT real, 9,8% do CO₂ encontra-se dissolvido na salmoura após 50 anos, fração crescente — mecanismo adicional de segurança de longo prazo.</w:t>
      </w:r>
    </w:p>
    <w:p>
      <w:pPr>
        <w:pStyle w:val="Heading1"/>
        <w:spacing w:after="200" w:before="360"/>
      </w:pPr>
      <w:r>
        <w:t xml:space="preserve">2. Objetivo e escopo da pesquisa</w:t>
      </w:r>
    </w:p>
    <w:p>
      <w:pPr>
        <w:spacing w:after="160" w:line="300"/>
        <w:jc w:val="both"/>
      </w:pPr>
      <w:r>
        <w:t xml:space="preserve">A pesquisa investiga o reaproveitamento de campos de petróleo e gás esgotados de Alagoas para armazenamento geológico, cobrindo as atividades do cronograma: coleta de dados geológicos e de reservatório; caracterização de fluidos (PVT); construção de modelos de reservatório; inserção de porosidade e permeabilidade (horizontal e vertical); poços de injeção/produção para cenários AGSS e CCS/EOR; simulações avaliando capacidade, injetividade e contenção/risco de vazamento; análise de sensibilidade do sistema reservatório/rocha capeadora/falha/FSASP; e validação dos modelos preditivos.</w:t>
      </w:r>
    </w:p>
    <w:p>
      <w:pPr>
        <w:spacing w:after="160" w:line="300"/>
        <w:jc w:val="both"/>
      </w:pPr>
      <w:r>
        <w:t xml:space="preserve">A pergunta central respondida pelo modelo é: o CO₂ injetado no intervalo selecionado do poço 1PIR eleva a pressão na falha a ponto de reativá-la ou de comprometer a contenção? Secundariamente: qual a capacidade e injetividade do intervalo, e qual o desempenho de ciclos de estocagem de gás natural?</w:t>
      </w:r>
    </w:p>
    <w:p>
      <w:pPr>
        <w:pStyle w:val="Heading1"/>
        <w:spacing w:after="200" w:before="360"/>
      </w:pPr>
      <w:r>
        <w:t xml:space="preserve">3. Dados de entrada</w:t>
      </w:r>
    </w:p>
    <w:p>
      <w:pPr>
        <w:spacing w:after="160" w:line="300"/>
        <w:jc w:val="both"/>
      </w:pPr>
      <w:r>
        <w:t xml:space="preserve">A base de dados é a malha enriquecida do poço 1-PIR-0001-AL (malha_1PIR_enriquecida.csv), com 253 blocos de 10 m entre 315 e 3.980,1 m, contendo: VSH, PHIE, KX, KZ, fácies, coesão e ângulo de atrito (cenários pessimista/central/otimista), pressão de entrada capilar, Swirr, Sgr residual, temperatura e formação. A Formação Coqueiro Seco (315–2.240 m) é predominantemente pelítica (VSH ~0,7) e atua como selo regional; a Formação Penedo (2.250–3.980 m) é o reservatório arenoso.</w:t>
      </w:r>
    </w:p>
    <w:p>
      <w:pPr>
        <w:spacing w:after="160" w:line="300"/>
        <w:jc w:val="both"/>
      </w:pPr>
      <w:r>
        <w:t xml:space="preserve">Limitações dos dados: há duas lacunas de registro no poço (970–1.380 m e 2.480–3.240 m). A segunda situa-se logo acima da janela de injeção, de modo que o selo local intra-Penedo não é diretamente observável — no modelo ele é representado por uma camada sintética de 30 m parametrizada na análise de sensibilidade.</w:t>
      </w:r>
    </w:p>
    <w:p>
      <w:pPr>
        <w:pStyle w:val="Heading1"/>
        <w:spacing w:after="200" w:before="360"/>
      </w:pPr>
      <w:r>
        <w:t xml:space="preserve">4. Seleção do intervalo de injeção</w:t>
      </w:r>
    </w:p>
    <w:p>
      <w:pPr>
        <w:spacing w:after="160" w:line="300"/>
        <w:jc w:val="both"/>
      </w:pPr>
      <w:r>
        <w:t xml:space="preserve">Um algoritmo de varredura percorre todas as janelas contíguas de 12 blocos (120 m) entre 800 m (mínimo para CO₂ supercrítico) e 4.000 m, maximizando a permeabilidade média. A versão original do código restringia a busca a 800–2.500 m; a análise dos dados mostrou que essa faixa exclui a melhor zona do reservatório, levando à ampliação do limite para 4.000 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370"/>
        <w:gridCol w:w="2808"/>
      </w:tblGrid>
      <w:tr>
        <w:trPr>
          <w:tblHeader/>
        </w:trPr>
        <w:tc>
          <w:tcPr>
            <w:tcW w:type="dxa" w:w="31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37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Janela ótima (3.330–3.440 m)</w:t>
            </w:r>
          </w:p>
        </w:tc>
        <w:tc>
          <w:tcPr>
            <w:tcW w:type="dxa" w:w="28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 janela em 800–2.500 m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KX médio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79,7 mD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33,4 mD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PHIE média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16,8%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9,9%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Arenito (fácies)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11/12 blocos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10/12 blocos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VSH médio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0,17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0,27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Formação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Penedo (zona limpa)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Penedo (topo)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Temperatura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~87 °C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~64 °C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P_ini (hidrostática)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33,2 MPa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~23,7 MPa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t xml:space="preserve">A profundidade de injeção resultante é 3.390,05 m. Nessas condições o CO₂ está muito acima do ponto crítico (7,38 MPa; 31 °C), com densidade de ~650 kg/m³, o que maximiza a massa armazenada por volume de poro. A pressão de fratura estimada (gradiente 0,0181 MPa/m) é de 61,4 MPa, deixando margem operacional superior a 20 MPa em todos os cenários.</w:t>
      </w:r>
    </w:p>
    <w:p>
      <w:pPr>
        <w:pStyle w:val="Heading1"/>
        <w:spacing w:after="200" w:before="360"/>
      </w:pPr>
      <w:r>
        <w:t xml:space="preserve">5. Arquitetura do código</w:t>
      </w:r>
    </w:p>
    <w:p>
      <w:pPr>
        <w:spacing w:after="160" w:line="300"/>
        <w:jc w:val="both"/>
      </w:pPr>
      <w:r>
        <w:t xml:space="preserve">O código foi reestruturado em um módulo comum e quatro scripts executáveis independentes, mais dois utilitários de visualização: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655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campo_pilar_common.jl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Módulo comum: seleção de janela, carga dos dados (KX, KZ, temperatura, geomecânica por cenário), construção do domínio, pressão capilar por região, viscosidades, slip tendency e cenário CCS base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simulacao_teste1.jl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Análise de sensibilidade CCS: 135 cenários (108 falha/pressão/geomecânica + 27 selante/FSASP)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simulacao_agss.jl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Estocagem cíclica de gás natural com histerese de permeabilidade relativa (Killough) e aquífero lateral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simulacao_co2brine.jl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CCS com PVT real (sistema :co2brine, k-value): dissolução mútua, temperatura real, pós-injeção de 30 anos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validacao_convergencia.jl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Estudo de convergência de malha (30×20, 60×40, 90×60) com geometria física preservada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dashboard_results.jl / graficos_makie.jl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textual e gráficos (GLMakie) com recomendações derivadas dos dados</w:t>
            </w:r>
          </w:p>
        </w:tc>
      </w:tr>
    </w:tbl>
    <w:p>
      <w:pPr>
        <w:pStyle w:val="Heading1"/>
        <w:spacing w:after="200" w:before="360"/>
      </w:pPr>
      <w:r>
        <w:t xml:space="preserve">6. Metodologia de modelagem</w:t>
      </w:r>
    </w:p>
    <w:p>
      <w:pPr>
        <w:pStyle w:val="Heading2"/>
        <w:spacing w:after="160" w:before="280"/>
      </w:pPr>
      <w:r>
        <w:t xml:space="preserve">6.1 Domínio e propriedades</w:t>
      </w:r>
    </w:p>
    <w:p>
      <w:pPr>
        <w:spacing w:after="160" w:line="300"/>
        <w:jc w:val="both"/>
      </w:pPr>
      <w:r>
        <w:t xml:space="preserve">O domínio é uma seção 2D vertical de 3.000 × 200 m (malha cartesiana, padrão 30 × 1 × 20 células), com três unidades definidas por profundidade física: reservatório (120 m, propriedades reais bloco a bloco do 1PIR), selante sintético (30 m) e FSASP (fonte de suprimento de água subterrânea) acima. Uma falha vertical de largura de 3 células atravessa todo o domínio como conduíte. Definir as unidades por profundidade (e não por índice de camada) permite refinar a malha sem alterar a geometria — requisito da validação por convergência.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Permeabilidade em tensor [kx, kx, kz]: o KZ real do poço entra na migração vertical (kz/kx ~0,03–0,1 nos dados); selante e FSASP usam kv/kh = 0,1; a falha é isotrópica (conduíte vertical).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Pressão inicial hidrostática calibrada no ponto original do campo (21,62 MPa a 2.207,7 m → 9,794 kPa/m), escalada com a profundidade: P_ini = 33,2 MPa a 3.390 m. A versão original usava 21,62 MPa fixo em qualquer profundidade, o que subestimava as pressões em ~11,6 MPa.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Pressão capilar de Brooks-Corey por região: o reservatório usa a Pc de entrada média dos dados (kPa); o capeador recebe pressão de entrada própria (1–5 MPa, parâmetro de sensibilidade) — o mecanismo físico real de contenção capilar. As células da falha que cortam o selo permanecem na região do reservatório (a falha localmente destrói o selo capilar).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Permeabilidades relativas de Brooks-Corey com Swirr e Sgr dos dados; nos cenários cíclicos e de PVT real, histerese de Killough na fase gás (curva de drenagem com residual 0,05 e de embebição com residual = Sgr do CSV), controlando o trapeamento residual e o cushion gas.</w:t>
      </w:r>
    </w:p>
    <w:p>
      <w:pPr>
        <w:pStyle w:val="Heading2"/>
        <w:spacing w:after="160" w:before="280"/>
      </w:pPr>
      <w:r>
        <w:t xml:space="preserve">6.2 Geomecânica</w:t>
      </w:r>
    </w:p>
    <w:p>
      <w:pPr>
        <w:spacing w:after="160" w:line="300"/>
        <w:jc w:val="both"/>
      </w:pPr>
      <w:r>
        <w:t xml:space="preserve">Dois critérios de reativação são avaliados em paralelo. O critério simplificado de Mohr-Coulomb usa P_reativ = P_ini + c/tan(φ), com coesão e atrito médios da janela por cenário geomecânico (pessimista: 38,6 MPa; central: 51,2 MPa; otimista: ~54 MPa). A análise de slip tendency resolve as tensões no plano da falha: σv é integrado da densidade bulk derivada da porosidade do poço, σh = K0·σv' (K0 = 0,7), e a falha (mergulho 60°, regime normal) tem ST = τ/σn' = 0,168 e pressão crítica de 80 MPa — folgada em relação a todas as pressões simuladas. O critério simplificado é portanto o mais conservador dos dois e domina a classificação de risco.</w:t>
      </w:r>
    </w:p>
    <w:p>
      <w:pPr>
        <w:pStyle w:val="Heading2"/>
        <w:spacing w:after="160" w:before="280"/>
      </w:pPr>
      <w:r>
        <w:t xml:space="preserve">6.3 Poços, controles e cenários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CCS: injetor de CO₂ (BHP alvo = fator × P_ini; fatores 1,05/1,10/1,20) e produtor de suporte na extremidade oposta (BHP = 0,95 × P_ini); 20 anos, passos anuais.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AGSS: poço único alternando injeção (6 meses) e retirada (6 meses) de gás natural por 10 anos, passos mensais, com aquífero lateral de pressão constante (sem ele, o domínio fechado equilibra com o BHP e a injeção cessa). Contabilização apenas da fase gás (Vapor_mass_rate), separada da água produzida.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PVT real: sistema :co2brine (compositional k-value, correlações de Salo et al. 2024), temperatura real do poço, 20 anos de injeção + 30 anos de pós-injeção com poços desligados, acompanhando a partição do CO₂ entre fase livre e dissolvida.</w:t>
      </w:r>
    </w:p>
    <w:p>
      <w:pPr>
        <w:pStyle w:val="Heading2"/>
        <w:spacing w:after="160" w:before="280"/>
      </w:pPr>
      <w:r>
        <w:t xml:space="preserve">6.4 Métricas e classificação de risco</w:t>
      </w:r>
    </w:p>
    <w:p>
      <w:pPr>
        <w:spacing w:after="160" w:line="300"/>
        <w:jc w:val="both"/>
      </w:pPr>
      <w:r>
        <w:t xml:space="preserve">Cada cenário reporta: pressão máxima na falha e ano do pico; margens à fratura e à reativação (pelos dois critérios); saturação de CO₂ na falha, no capeador intacto (excluindo as células da falha — distinção essencial entre falha de contenção do selo e vazamento pelo conduíte), no trecho da falha dentro do selo e no FSASP; massa injetada; vazão média; e índice de injetividade (kg/dia/MPa). O risco é ALTO se há CO₂ acima do selo ou invasão do capeador intacto (S &gt; 10⁻³); MÉDIO se há reativação, CO₂ na falha (S &gt; 0,01) ou margem de fratura &lt; 5 MPa; BAIXO caso contrário.</w:t>
      </w:r>
    </w:p>
    <w:p>
      <w:pPr>
        <w:pStyle w:val="Heading1"/>
        <w:spacing w:after="200" w:before="360"/>
      </w:pPr>
      <w:r>
        <w:t xml:space="preserve">7. Implementação e adaptação à API do JutulDarcy</w:t>
      </w:r>
    </w:p>
    <w:p>
      <w:pPr>
        <w:spacing w:after="160" w:line="300"/>
        <w:jc w:val="both"/>
      </w:pPr>
      <w:r>
        <w:t xml:space="preserve">O ambiente usa Julia 1.12 com JutulDarcy atual (instalado via Pkg.instantiate + Pkg.add de CSV/DataFrames). Como a API do JutulDarcy evoluiu significativamente desde a versão original do script, cada chamada foi verificada diretamente contra o código-fonte dos pacotes. As adaptações relevantes: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5054"/>
      </w:tblGrid>
      <w:tr>
        <w:trPr>
          <w:tblHeader/>
        </w:trPr>
        <w:tc>
          <w:tcPr>
            <w:tcW w:type="dxa" w:w="430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 encontrado</w:t>
            </w:r>
          </w:p>
        </w:tc>
        <w:tc>
          <w:tcPr>
            <w:tcW w:type="dxa" w:w="505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 implementada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setup_reservoir_model deixou de retornar (model, parameters)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Retorna só o modelo; parameters via setup_parameters(model) após replace_variables!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Variável de kr chama-se RelativePermeabilities; o nome antigo (PhaseRelativePermeability) era ignorado silenciosamente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Renomeada — sem isso as curvas com Swirr/Sgr nunca eram aplicadas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ConstantVariables foi removido do Jutul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Viscosidades sobrescritas na matriz de parâmetros PhaseViscosities (fase × célula)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SimpleCapillaryPressure exige tabelas/interpoladores avaliados na saturação de gás, com suporte a regiões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Tabelas via get_1d_interpolator atribuídas a secondary_variables[:CapillaryPressure] com vetor de regiões (reservatório/selante)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Julia 1.12 rejeita interpolação "$var–" (travessão após variável)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Substituída por $(var)–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mass_rate do poço inclui a água produzida (inflava a eficiência AGSS)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Contabilização por fase: Vapor_mass_rate (gás) e Liquid_mass_rate (água)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Domínio fechado impedia ciclos AGSS realistas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flow_boundary_condition (aquífero de pressão constante) na borda do reservatório</w:t>
            </w:r>
          </w:p>
        </w:tc>
      </w:tr>
      <w:t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Histerese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ReservoirRelativePermeabilities(g = (drenagem, embebição), hysteresis_g = KilloughHysteresis()) + add_relperm_parameters!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t xml:space="preserve">A execução em máquina local (Windows/PowerShell) exigiu ainda: instalação do Julia via juliaup, Pkg.instantiate do Manifest, adição de CSV e DataFrames ao Project.toml, e atenção ao escape de aspas do PowerShell (uso do REPL ou modo pkg para comandos com strings).</w:t>
      </w:r>
    </w:p>
    <w:p>
      <w:pPr>
        <w:pStyle w:val="Heading1"/>
        <w:spacing w:after="200" w:before="360"/>
      </w:pPr>
      <w:r>
        <w:t xml:space="preserve">8. Resultados</w:t>
      </w:r>
    </w:p>
    <w:p>
      <w:pPr>
        <w:pStyle w:val="Heading2"/>
        <w:spacing w:after="160" w:before="280"/>
      </w:pPr>
      <w:r>
        <w:t xml:space="preserve">8.1 Sensibilidade CCS (135 cenários)</w:t>
      </w:r>
    </w:p>
    <w:p>
      <w:pPr>
        <w:spacing w:after="160" w:line="300"/>
        <w:jc w:val="both"/>
      </w:pPr>
      <w:r>
        <w:t xml:space="preserve">Varredura 1 (108 cenários): 3 distâncias injetor-falha (500/1.100/1.700 m) × 4 permeabilidades de falha (10–10.000 mD) × 3 fatores de pressão (1,05/1,10/1,20) × 3 cenários geomecânicos. Varredura 2 (27 cenários): k_selante (10⁻⁵–10⁻³ mD) × Pc do selo (1/2/5 MPa) × k_FSASP (10–1.000 mD), no caso central.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Reativação (Mohr-Coulomb): 4 cenários, todos no geomecânico pessimista com fator 1,20 (pico entre os anos 3 e 8). Nenhuma reativação com fator ≤ 1,10. Nenhuma reativação por slip tendency.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O fator de pressão é o controle dominante do risco; a distância à falha e a permeabilidade da falha modulam a massa e o caminho do gás.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Massa injetada em 20 anos (por metro de largura do modelo 2D): 6–17 kt (fator 1,05), 9–36 kt (1,10), 19–95 kt (1,20). Injetividade: ~390–1.950 kg/dia/MPa, crescendo com a permeabilidade da falha (falha estanque de 10 mD represa a pluma e reduz a injetividade à metade).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Contenção do capeador (varredura 2): com Pc de entrada do selo de 5 MPa, invasão nula do capeador intacto em todos os casos; com 1–2 MPa, invasão incipiente (S até 0,015) crescente com k_selante. A permeabilidade do FSASP é irrelevante para a contenção (S_FSASP = 0 em toda a varredura). Conclusão prática: a Pc de entrada do capeador é o parâmetro decisivo — recomenda-se ensaio MICP em amostras do selo.</w:t>
      </w:r>
    </w:p>
    <w:p>
      <w:pPr>
        <w:pStyle w:val="Heading2"/>
        <w:spacing w:after="160" w:before="280"/>
      </w:pPr>
      <w:r>
        <w:t xml:space="preserve">8.2 AGSS — estocagem cíclica de gás natural</w:t>
      </w:r>
    </w:p>
    <w:p>
      <w:pPr>
        <w:spacing w:after="160" w:line="300"/>
        <w:jc w:val="both"/>
      </w:pPr>
      <w:r>
        <w:t xml:space="preserve">Dez ciclos anuais (6 meses injeção / 6 meses retirada) com histerese de Killough. O primeiro ciclo forma o cushion gas (gás aprisionado ≈ Sgr); a eficiência de working gas dos ciclos seguintes fica entre 44% e 77%, maximizada pela maior amplitude de pressão operacional (BHP 1,10/0,85 × P_ini → 77%). A pressão máxima na falha (35,3 MPa) permanece muito abaixo dos limiares de reativação (51,2 MPa central; 80 MPa slip), sem migração ao FSASP e com invasão desprezível do capeador.</w:t>
      </w:r>
    </w:p>
    <w:p>
      <w:pPr>
        <w:pStyle w:val="Heading2"/>
        <w:spacing w:after="160" w:before="280"/>
      </w:pPr>
      <w:r>
        <w:t xml:space="preserve">8.3 CCS com PVT real (:co2brine)</w:t>
      </w:r>
    </w:p>
    <w:p>
      <w:pPr>
        <w:spacing w:after="160" w:line="300"/>
        <w:jc w:val="both"/>
      </w:pPr>
      <w:r>
        <w:t xml:space="preserve">Com termodinâmica real (dissolução mútua CO₂-salmoura, propriedades dependentes de P e T a 87 °C): o capeador intacto contém integralmente o CO₂ (S_selante = 0 durante os 50 anos); a única migração acima do selo ocorre pela falha-conduíte (S_FSASP ≈ 0,18 no pico, decrescente no pós-injeção). A fração dissolvida atinge 9,8% aos 50 anos e segue crescendo — trapeamento por dissolução que o modelo imiscível não captura e que reduz progressivamente o volume de fase livre móvel. Margem à fratura mínima: 26,3 MPa. Sem reativação.</w:t>
      </w:r>
    </w:p>
    <w:p>
      <w:pPr>
        <w:pStyle w:val="Heading2"/>
        <w:spacing w:after="160" w:before="280"/>
      </w:pPr>
      <w:r>
        <w:t xml:space="preserve">8.4 Validação por convergência de malha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872"/>
        <w:gridCol w:w="2059"/>
        <w:gridCol w:w="1685"/>
        <w:gridCol w:w="2246"/>
      </w:tblGrid>
      <w:tr>
        <w:trPr>
          <w:tblHeader/>
        </w:trPr>
        <w:tc>
          <w:tcPr>
            <w:tcW w:type="dxa" w:w="149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Malha</w:t>
            </w:r>
          </w:p>
        </w:tc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Δx × Δz (m)</w:t>
            </w:r>
          </w:p>
        </w:tc>
        <w:tc>
          <w:tcPr>
            <w:tcW w:type="dxa" w:w="205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P_falha (MPa)</w:t>
            </w:r>
          </w:p>
        </w:tc>
        <w:tc>
          <w:tcPr>
            <w:tcW w:type="dxa" w:w="168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Massa (kt)</w:t>
            </w:r>
          </w:p>
        </w:tc>
        <w:tc>
          <w:tcPr>
            <w:tcW w:type="dxa" w:w="224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 capeador intacto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× 20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 × 10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34,74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27,5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1,1×10⁻³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60 × 40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 × 5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35,04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24,7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4,9×10⁻⁴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 × 60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× 3,3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35,13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23,6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8,4×10⁻⁵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t xml:space="preserve">A pressão na falha converge (variação de 1,1% entre a malha mais grossa e a mais fina). A massa decresce monotonicamente com diferenças decrescentes (2,8 → 1,1 kt), aproximando-se da convergência. A invasão do capeador intacto é superestimada na malha grossa em duas ordens de grandeza — parte dos cenários classificados como ALTO na malha padrão é artefato numérico. Recomendação: usar a malha 60 × 40 para resultados finais (custo de segundos por cenário após a compilação).</w:t>
      </w:r>
    </w:p>
    <w:p>
      <w:pPr>
        <w:pStyle w:val="Heading1"/>
        <w:spacing w:after="200" w:before="360"/>
      </w:pPr>
      <w:r>
        <w:t xml:space="preserve">9. Conclusões de viabilidade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A estocagem de CO₂ no intervalo 3.330–3.440 m (Fm. Penedo) do Campo Pilar é viável do ponto de vista de injetividade, capacidade e geomecânica, desde que a pressão de injeção seja limitada a 1,10 × P_ini (36,5 MPa de BHP) — preferencialmente 1,05 nos casos de falha próxima.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O fator 1,20 é inaceitável: reativa a falha no cenário geomecânico pessimista e promove migração de CO₂ acima do selo pela falha.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A falha é o único caminho de migração relevante; o capeador intacto contém o CO₂ sempre que sua pressão de entrada capilar for ≥ 5 MPa — o ensaio MICP do selo é a medição de maior valor para reduzir a incerteza do projeto.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A operação AGSS é viável e segura nas condições simuladas, com eficiência de working gas de até 77%.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No longo prazo, a dissolução (9,8% aos 50 anos, crescente) e o trapeamento residual por histerese aumentam progressivamente a segurança do armazenamento.</w:t>
      </w:r>
    </w:p>
    <w:p>
      <w:pPr>
        <w:pStyle w:val="Heading1"/>
        <w:spacing w:after="200" w:before="360"/>
      </w:pPr>
      <w:r>
        <w:t xml:space="preserve">10. Limitações e próximos passos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Modelo 2D (1 m de espessura em Y): massas em kt/m de largura; a extensão a 3D (ny &gt; 1, kwarg já disponível) dará capacidade absoluta do campo.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Selo local não observado: a lacuna de dados 2.480–3.240 m impede caracterizar o capeador imediatamente acima da janela — complementar com sísmica ou poços vizinhos, e medir Pc de entrada (MICP).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Geomecânica desacoplada: os critérios (Mohr-Coulomb simplificado e slip tendency analítico) não resolvem o acoplamento tensão-fluxo; a análise geomecânica acoplada está prevista no cronograma (mar–jun/2026).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Gradiente de fratura (0,0181 MPa/m) e K0 (0,7) assumidos — calibrar com LOT/minifrac quando disponível.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Sem trapeamento mineral (escala de séculos) — conservador para a segurança de longo prazo.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Validar o caso :co2brine contra benchmark publicado (ex.: CSP11) como etapa final da atividade de validação.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2026-07-18T23:24:01.309Z</dcterms:created>
  <dcterms:modified xsi:type="dcterms:W3CDTF">2026-07-18T23:24:01.309Z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