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Reply to Sarah (Salesforce)</w:t>
      </w:r>
    </w:p>
    <w:p>
      <w:pPr>
        <w:pStyle w:val="EmailTo"/>
      </w:pPr>
      <w:r>
        <w:t>To: sarah.tomlinson@salesforce.com</w:t>
      </w:r>
    </w:p>
    <w:p>
      <w:pPr>
        <w:pStyle w:val="EmailSubj"/>
      </w:pPr>
      <w:r>
        <w:t>Subject: Re: Meeting with Salesforce and Nyk Systems</w:t>
      </w:r>
    </w:p>
    <w:p>
      <w:pPr>
        <w:pStyle w:val="EmailBody"/>
      </w:pPr>
      <w:r/>
    </w:p>
    <w:p>
      <w:pPr>
        <w:pStyle w:val="EmailBody"/>
      </w:pPr>
      <w:r>
        <w:t>Hi Sarah,</w:t>
      </w:r>
    </w:p>
    <w:p>
      <w:pPr>
        <w:pStyle w:val="EmailBody"/>
      </w:pPr>
      <w:r>
        <w:t>Good talking — and fair, I am not a buyer, I am a builder, so I get the disappointment. No hard feelings.</w:t>
      </w:r>
    </w:p>
    <w:p>
      <w:pPr>
        <w:pStyle w:val="EmailBody"/>
      </w:pPr>
      <w:r>
        <w:t>Where I think I am actually useful to you: I have built a working agent-safety guard that sits in front of Agentforce — scope enforcement, budget caps, a kill switch, immutable audit trail. Deny-by-default, the agent cannot widen its own scope. It is real and running, not a deck.</w:t>
      </w:r>
    </w:p>
    <w:p>
      <w:pPr>
        <w:pStyle w:val="EmailBody"/>
      </w:pPr>
      <w:r>
        <w:t>If there is a Trust/Safety, Partner Engineering, or Agentforce-alliance team piloting agent guardrails, point me at them. You would be the one who connected the dots — that is a better win than a sale that was never going to close.</w:t>
      </w:r>
    </w:p>
    <w:p>
      <w:pPr>
        <w:pStyle w:val="EmailBody"/>
      </w:pPr>
      <w:r>
        <w:t>Either way, thanks for the quick turnaround.</w:t>
      </w:r>
    </w:p>
    <w:p>
      <w:pPr>
        <w:pStyle w:val="EmailBody"/>
      </w:pPr>
      <w:r>
        <w:t>Michael</w:t>
      </w:r>
    </w:p>
    <w:p>
      <w:pPr>
        <w:pStyle w:val="EmailBody"/>
      </w:pPr>
      <w:r>
        <w:t>Safety Protocol Framework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mailTo">
    <w:name w:val="EmailTo"/>
    <w:rPr>
      <w:rFonts w:ascii="Calibri" w:hAnsi="Calibri"/>
      <w:b/>
      <w:color w:val="2E5496"/>
      <w:sz w:val="22"/>
    </w:rPr>
  </w:style>
  <w:style w:type="paragraph" w:customStyle="1" w:styleId="EmailSubj">
    <w:name w:val="EmailSubj"/>
    <w:rPr>
      <w:rFonts w:ascii="Calibri" w:hAnsi="Calibri"/>
      <w:b/>
      <w:color w:val="1F3864"/>
      <w:sz w:val="22"/>
    </w:rPr>
  </w:style>
  <w:style w:type="paragraph" w:customStyle="1" w:styleId="EmailBody">
    <w:name w:val="EmailBody"/>
    <w:rPr>
      <w:rFonts w:ascii="Calibri" w:hAnsi="Calibri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