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 List - Insurers &amp; Agent Platforms</w:t>
      </w:r>
    </w:p>
    <w:p>
      <w:pPr>
        <w:pStyle w:val="LeadNote"/>
      </w:pPr>
      <w:r>
        <w:t>Verified via live web search, August 2026. Every name below appeared in a 2026 source specifically about AI-agent / autonomous-agent liability or agent platforms. Confirm current underwriting status before outreach - this market is moving fast.</w:t>
      </w:r>
    </w:p>
    <w:p>
      <w:pPr>
        <w:pStyle w:val="Heading2"/>
      </w:pPr>
      <w:r>
        <w:t>A. Insurers - buy the evidence package (INSURER_ONE_PAGER.md)</w:t>
      </w:r>
    </w:p>
    <w:p>
      <w:pPr>
        <w:pStyle w:val="LeadH2"/>
      </w:pPr>
      <w:r>
        <w:t>Tier 1 - confirmed writing AI-agent / agentic E&amp;O policies in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 (2026)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they 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Angle</w:t>
            </w:r>
          </w:p>
        </w:tc>
      </w:tr>
      <w:tr>
        <w:tc>
          <w:tcPr>
            <w:tcW w:type="dxa" w:w="2160"/>
          </w:tcPr>
          <w:p>
            <w:r>
              <w:t>Lloyds of London</w:t>
            </w:r>
          </w:p>
        </w:tc>
        <w:tc>
          <w:tcPr>
            <w:tcW w:type="dxa" w:w="2160"/>
          </w:tcPr>
          <w:p>
            <w:r>
              <w:t>Introduced explicit AI-Agent E&amp;O clauses Feb 2026</w:t>
            </w:r>
          </w:p>
        </w:tc>
        <w:tc>
          <w:tcPr>
            <w:tcW w:type="dxa" w:w="2160"/>
          </w:tcPr>
          <w:p>
            <w:r>
              <w:t>Natural home for novel parametric/emerging-risk products</w:t>
            </w:r>
          </w:p>
        </w:tc>
        <w:tc>
          <w:tcPr>
            <w:tcW w:type="dxa" w:w="2160"/>
          </w:tcPr>
          <w:p>
            <w:r>
              <w:t>Evidence package = the trace-level underwriting data their new clauses require</w:t>
            </w:r>
          </w:p>
        </w:tc>
      </w:tr>
      <w:tr>
        <w:tc>
          <w:tcPr>
            <w:tcW w:type="dxa" w:w="2160"/>
          </w:tcPr>
          <w:p>
            <w:r>
              <w:t>Munich Re</w:t>
            </w:r>
          </w:p>
        </w:tc>
        <w:tc>
          <w:tcPr>
            <w:tcW w:type="dxa" w:w="2160"/>
          </w:tcPr>
          <w:p>
            <w:r>
              <w:t>Writing purpose-built AI-agent E&amp;O (Apr 2026)</w:t>
            </w:r>
          </w:p>
        </w:tc>
        <w:tc>
          <w:tcPr>
            <w:tcW w:type="dxa" w:w="2160"/>
          </w:tcPr>
          <w:p>
            <w:r>
              <w:t>Reinsurer, data-driven, loves quantified exposure reduction</w:t>
            </w:r>
          </w:p>
        </w:tc>
        <w:tc>
          <w:tcPr>
            <w:tcW w:type="dxa" w:w="2160"/>
          </w:tcPr>
          <w:p>
            <w:r>
              <w:t>99.6% control-adjusted exposure reduction figure</w:t>
            </w:r>
          </w:p>
        </w:tc>
      </w:tr>
      <w:tr>
        <w:tc>
          <w:tcPr>
            <w:tcW w:type="dxa" w:w="2160"/>
          </w:tcPr>
          <w:p>
            <w:r>
              <w:t>Beazley</w:t>
            </w:r>
          </w:p>
        </w:tc>
        <w:tc>
          <w:tcPr>
            <w:tcW w:type="dxa" w:w="2160"/>
          </w:tcPr>
          <w:p>
            <w:r>
              <w:t>Writing agentic E&amp;O alongside Lloyds/Munich Re</w:t>
            </w:r>
          </w:p>
        </w:tc>
        <w:tc>
          <w:tcPr>
            <w:tcW w:type="dxa" w:w="2160"/>
          </w:tcPr>
          <w:p>
            <w:r>
              <w:t>Tech E&amp;O specialist, faster pilot than legacy</w:t>
            </w:r>
          </w:p>
        </w:tc>
        <w:tc>
          <w:tcPr>
            <w:tcW w:type="dxa" w:w="2160"/>
          </w:tcPr>
          <w:p>
            <w:r>
              <w:t>Real-traffic Claims Evidence (on_chain_verifiable: True)</w:t>
            </w:r>
          </w:p>
        </w:tc>
      </w:tr>
      <w:tr>
        <w:tc>
          <w:tcPr>
            <w:tcW w:type="dxa" w:w="2160"/>
          </w:tcPr>
          <w:p>
            <w:r>
              <w:t>AIG</w:t>
            </w:r>
          </w:p>
        </w:tc>
        <w:tc>
          <w:tcPr>
            <w:tcW w:type="dxa" w:w="2160"/>
          </w:tcPr>
          <w:p>
            <w:r>
              <w:t>Standalone AI policies up to $25M hallucination cover</w:t>
            </w:r>
          </w:p>
        </w:tc>
        <w:tc>
          <w:tcPr>
            <w:tcW w:type="dxa" w:w="2160"/>
          </w:tcPr>
          <w:p>
            <w:r>
              <w:t>Large tech E&amp;O book</w:t>
            </w:r>
          </w:p>
        </w:tc>
        <w:tc>
          <w:tcPr>
            <w:tcW w:type="dxa" w:w="2160"/>
          </w:tcPr>
          <w:p>
            <w:r>
              <w:t>Audit-trail completeness + binding proof</w:t>
            </w:r>
          </w:p>
        </w:tc>
      </w:tr>
      <w:tr>
        <w:tc>
          <w:tcPr>
            <w:tcW w:type="dxa" w:w="2160"/>
          </w:tcPr>
          <w:p>
            <w:r>
              <w:t>Coalition</w:t>
            </w:r>
          </w:p>
        </w:tc>
        <w:tc>
          <w:tcPr>
            <w:tcW w:type="dxa" w:w="2160"/>
          </w:tcPr>
          <w:p>
            <w:r>
              <w:t>Cyber-focused, telemetry-priced (verify current)</w:t>
            </w:r>
          </w:p>
        </w:tc>
        <w:tc>
          <w:tcPr>
            <w:tcW w:type="dxa" w:w="2160"/>
          </w:tcPr>
          <w:p>
            <w:r>
              <w:t>Closest fit to controls reduce your premium</w:t>
            </w:r>
          </w:p>
        </w:tc>
        <w:tc>
          <w:tcPr>
            <w:tcW w:type="dxa" w:w="2160"/>
          </w:tcPr>
          <w:p>
            <w:r>
              <w:t>Parametric premium from observed loss</w:t>
            </w:r>
          </w:p>
        </w:tc>
      </w:tr>
    </w:tbl>
    <w:p>
      <w:pPr>
        <w:pStyle w:val="LeadH2"/>
      </w:pPr>
      <w:r>
        <w:t>Tier 2 - AI-native / specialist carriers in the 2026 market map:</w:t>
      </w:r>
    </w:p>
    <w:p>
      <w:pPr>
        <w:pStyle w:val="ListBullet"/>
      </w:pPr>
      <w:r>
        <w:t>Armilla Insurance - AI-native underwriter; certification-backed policies (AIUC-1)</w:t>
      </w:r>
    </w:p>
    <w:p>
      <w:pPr>
        <w:pStyle w:val="ListBullet"/>
      </w:pPr>
      <w:r>
        <w:t>AXIS - in the AI-liability market map</w:t>
      </w:r>
    </w:p>
    <w:p>
      <w:pPr>
        <w:pStyle w:val="ListBullet"/>
      </w:pPr>
      <w:r>
        <w:t>Apollo - in the AI-liability market map (syndicate/Lloyds)</w:t>
      </w:r>
    </w:p>
    <w:p>
      <w:pPr>
        <w:pStyle w:val="ListBullet"/>
      </w:pPr>
      <w:r>
        <w:t>AIUC Insurance - certification-backed AI policies (AIUC-1)</w:t>
      </w:r>
    </w:p>
    <w:p>
      <w:pPr>
        <w:pStyle w:val="LeadH2"/>
      </w:pPr>
      <w:r>
        <w:t>Reference reads (forward these, do not cold-email blind):</w:t>
      </w:r>
    </w:p>
    <w:p>
      <w:pPr>
        <w:pStyle w:val="ListBullet"/>
      </w:pPr>
      <w:r>
        <w:t>agentinsured.eu/articles/ai-liability-insurance-market-map-2026 - full carrier roster + capacity</w:t>
      </w:r>
    </w:p>
    <w:p>
      <w:pPr>
        <w:pStyle w:val="ListBullet"/>
      </w:pPr>
      <w:r>
        <w:t>agentmarketcap.ai/blog/2026/04/06/ai-agent-error-omission-insurance-lloyds-munich-re-beazley</w:t>
      </w:r>
    </w:p>
    <w:p>
      <w:pPr>
        <w:pStyle w:val="ListBullet"/>
      </w:pPr>
      <w:r>
        <w:t>agentmarketcap.ai/blog/2026/04/15/ai-agent-error-insurance-lloyds-aig-beazley-hallucination-liability</w:t>
      </w:r>
    </w:p>
    <w:p>
      <w:pPr>
        <w:pStyle w:val="ListBullet"/>
      </w:pPr>
      <w:r>
        <w:t>zylos.ai/research/2026-07-10-ai-agent-liability-insurance-underwriting/</w:t>
      </w:r>
    </w:p>
    <w:p>
      <w:pPr>
        <w:pStyle w:val="ListBullet"/>
      </w:pPr>
      <w:r>
        <w:t>policynewshub.com - Lloyds AI-Agent E&amp;O clauses (Feb 2026)</w:t>
      </w:r>
    </w:p>
    <w:p>
      <w:r>
        <w:br w:type="page"/>
      </w:r>
    </w:p>
    <w:p>
      <w:pPr>
        <w:pStyle w:val="Heading2"/>
      </w:pPr>
      <w:r>
        <w:t>B. Agent Platforms - buy the guard (PLATFORM_ONE_PAGER.md)</w:t>
      </w:r>
    </w:p>
    <w:p>
      <w:pPr>
        <w:pStyle w:val="LeadNote"/>
      </w:pPr>
      <w:r>
        <w:t>Context (agentmarketcap.ai, analyticsinsight.net): 80% of Fortune 500 now deploy active AI agents (Microsoft Cyber Pulse, Feb 2026); 72% of Global 2000 past experimental phase (Mar 2026). The buyer pool is huge and current.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they feel the pain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Salesforce Agentforce</w:t>
            </w:r>
          </w:p>
        </w:tc>
        <w:tc>
          <w:tcPr>
            <w:tcW w:type="dxa" w:w="2880"/>
          </w:tcPr>
          <w:p>
            <w:r>
              <w:t>Thousands of customer-deployed agents; scope/audit is an enterprise need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Microsoft Copilot Studio / agentic</w:t>
            </w:r>
          </w:p>
        </w:tc>
        <w:tc>
          <w:tcPr>
            <w:tcW w:type="dxa" w:w="2880"/>
          </w:tcPr>
          <w:p>
            <w:r>
              <w:t>Agents inside enterprise tenants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Agentic workflow automation at scale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Google Agentspace / Vertex AI Agents</w:t>
            </w:r>
          </w:p>
        </w:tc>
        <w:tc>
          <w:tcPr>
            <w:tcW w:type="dxa" w:w="2880"/>
          </w:tcPr>
          <w:p>
            <w:r>
              <w:t>Enterprise agent platform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CrewAI</w:t>
            </w:r>
          </w:p>
        </w:tc>
        <w:tc>
          <w:tcPr>
            <w:tcW w:type="dxa" w:w="2880"/>
          </w:tcPr>
          <w:p>
            <w:r>
              <w:t>Multi-agent orchestration framework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LangGraph (LangChain)</w:t>
            </w:r>
          </w:p>
        </w:tc>
        <w:tc>
          <w:tcPr>
            <w:tcW w:type="dxa" w:w="2880"/>
          </w:tcPr>
          <w:p>
            <w:r>
              <w:t>Agent orchestration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AutoGen (Microsoft)</w:t>
            </w:r>
          </w:p>
        </w:tc>
        <w:tc>
          <w:tcPr>
            <w:tcW w:type="dxa" w:w="2880"/>
          </w:tcPr>
          <w:p>
            <w:r>
              <w:t>Multi-agent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Sierra / Lindy / MultiOn / Manus</w:t>
            </w:r>
          </w:p>
        </w:tc>
        <w:tc>
          <w:tcPr>
            <w:tcW w:type="dxa" w:w="2880"/>
          </w:tcPr>
          <w:p>
            <w:r>
              <w:t>Vertical agent startups</w:t>
            </w:r>
          </w:p>
        </w:tc>
      </w:tr>
    </w:tbl>
    <w:p>
      <w:pPr>
        <w:pStyle w:val="Heading2"/>
      </w:pPr>
      <w:r>
        <w:t>C. Next Action</w:t>
      </w:r>
    </w:p>
    <w:p>
      <w:pPr>
        <w:pStyle w:val="ListNumber"/>
      </w:pPr>
      <w:r>
        <w:t>Pick ONE insurer (Lloyds syndicate or Beazley - fastest pilot) and send INSURER_ONE_PAGER.md plus the live evidence from examples/llm_agent_real.py --evidence.</w:t>
      </w:r>
    </w:p>
    <w:p>
      <w:pPr>
        <w:pStyle w:val="ListNumber"/>
      </w:pPr>
      <w:r>
        <w:t>Pick ONE platform (Salesforce Agentforce) and send PLATFORM_ONE_PAGER.md.</w:t>
      </w:r>
    </w:p>
    <w:p>
      <w:pPr>
        <w:pStyle w:val="ListNumber"/>
      </w:pPr>
      <w:r>
        <w:t>Keep the evidence regenerable: re-run the evidence command for a fresh, real-traffic artifact per prospect.</w:t>
      </w:r>
    </w:p>
    <w:p>
      <w:pPr>
        <w:pStyle w:val="LeadNote"/>
      </w:pPr>
      <w:r>
        <w:t>Compiled by KC. Verify each carrier's current appetite before outreach - the AI-agent insurance market is under one year old and shifting.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Title">
    <w:name w:val="LeadTitle"/>
    <w:rPr>
      <w:rFonts w:ascii="Calibri" w:hAnsi="Calibri"/>
      <w:b/>
      <w:color w:val="1F3864"/>
      <w:sz w:val="44"/>
    </w:rPr>
  </w:style>
  <w:style w:type="paragraph" w:customStyle="1" w:styleId="LeadH2">
    <w:name w:val="LeadH2"/>
    <w:rPr>
      <w:rFonts w:ascii="Calibri" w:hAnsi="Calibri"/>
      <w:b/>
      <w:color w:val="2E5496"/>
      <w:sz w:val="28"/>
    </w:rPr>
  </w:style>
  <w:style w:type="paragraph" w:customStyle="1" w:styleId="LeadNote">
    <w:name w:val="LeadNote"/>
    <w:rPr>
      <w:rFonts w:ascii="Calibri" w:hAnsi="Calibri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