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b/>
          <w:i w:val="0"/>
          <w:sz w:val="36"/>
        </w:rPr>
        <w:t>Disseny d' Interficies Web</w:t>
      </w:r>
    </w:p>
    <w:p>
      <w:pPr>
        <w:spacing w:before="0" w:after="40"/>
      </w:pPr>
      <w:r>
        <w:rPr>
          <w:b/>
          <w:i w:val="0"/>
          <w:sz w:val="26"/>
        </w:rPr>
        <w:t>RA1: Planificació d'Interficies Web</w:t>
      </w:r>
    </w:p>
    <w:p>
      <w:pPr>
        <w:spacing w:before="0" w:after="280"/>
      </w:pPr>
      <w:r>
        <w:rPr>
          <w:b/>
          <w:i w:val="0"/>
          <w:color w:val="3C3C3C"/>
          <w:sz w:val="24"/>
        </w:rPr>
        <w:t>Activitat 4: Disseny del mockup</w:t>
      </w:r>
    </w:p>
    <w:p>
      <w:pPr>
        <w:spacing w:before="0" w:after="280"/>
      </w:pPr>
      <w:r>
        <w:rPr>
          <w:b w:val="0"/>
          <w:i w:val="0"/>
          <w:sz w:val="22"/>
        </w:rPr>
        <w:t>Per aquesta activitat he continuat amb la página d'inici del Volant el Món, perquè és la porta d'entrada del blog i és on es veuen més decisions de disseny juntes (hero, targetes, peu). He passat el wireframe de l'activitat 3 a mockup mantenint la mateixa estructura i els mateixos colors, així les dues entregues quaden com una evolució natural: sketch → wireframe → mockup.</w:t>
      </w:r>
    </w:p>
    <w:p>
      <w:pPr>
        <w:spacing w:before="80" w:after="120"/>
      </w:pPr>
      <w:r>
        <w:rPr>
          <w:b/>
          <w:i w:val="0"/>
          <w:sz w:val="28"/>
        </w:rPr>
        <w:t>1. Mockup d'escriptori (1440 × 1992)</w:t>
      </w:r>
    </w:p>
    <w:p>
      <w:pPr>
        <w:spacing w:before="0" w:after="160"/>
      </w:pPr>
      <w:r>
        <w:rPr>
          <w:b w:val="0"/>
          <w:i w:val="0"/>
          <w:sz w:val="22"/>
        </w:rPr>
        <w:t>El mockup afegeix tot el que el wireframe no tenia: colors finals, tipografia, ombres suaus, el degradat del baner amb el text a sobre i els tags de continent amb el seu color. Les fotos encara són il·lustracions de dos tons perquè és un mockup, no la web acabada.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36000" cy="6274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4_mockup_deskto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36000" cy="627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/>
        <w:jc w:val="center"/>
      </w:pPr>
      <w:r>
        <w:rPr>
          <w:b w:val="0"/>
          <w:i/>
          <w:color w:val="5A5A5A"/>
          <w:sz w:val="18"/>
        </w:rPr>
        <w:t>Figura 1. Mockup d'escriptori de la página d'inici</w:t>
      </w:r>
    </w:p>
    <w:p>
      <w:r>
        <w:br w:type="page"/>
      </w:r>
    </w:p>
    <w:p>
      <w:pPr>
        <w:spacing w:before="0" w:after="120"/>
      </w:pPr>
      <w:r>
        <w:rPr>
          <w:b/>
          <w:i w:val="0"/>
          <w:sz w:val="28"/>
        </w:rPr>
        <w:t>2. Versió mòbil (390 × 1440)</w:t>
      </w:r>
    </w:p>
    <w:p>
      <w:pPr>
        <w:spacing w:before="0" w:after="160"/>
      </w:pPr>
      <w:r>
        <w:rPr>
          <w:b w:val="0"/>
          <w:i w:val="0"/>
          <w:sz w:val="22"/>
        </w:rPr>
        <w:t>Encara que era opcional he fet també la versió mòbil per practicar com es reorganitza tot: el menú passa a ser hamburguesa, les targetes s'apilen a una columna, el títol del hero es parteix en dues línies i el botó es fa més gran per poder-hi fer clic amb el dit.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015999" cy="729599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4_mockup_mobi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15999" cy="72959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/>
        <w:jc w:val="center"/>
      </w:pPr>
      <w:r>
        <w:rPr>
          <w:b w:val="0"/>
          <w:i/>
          <w:color w:val="5A5A5A"/>
          <w:sz w:val="18"/>
        </w:rPr>
        <w:t>Figura 2. Mockup mòbil de la mateixa página</w:t>
      </w:r>
    </w:p>
    <w:p>
      <w:r>
        <w:br w:type="page"/>
      </w:r>
    </w:p>
    <w:p>
      <w:pPr>
        <w:spacing w:before="0" w:after="120"/>
      </w:pPr>
      <w:r>
        <w:rPr>
          <w:b/>
          <w:i w:val="0"/>
          <w:sz w:val="28"/>
        </w:rPr>
        <w:t>3. Justificació de les decisions de disseny</w:t>
      </w:r>
    </w:p>
    <w:p>
      <w:pPr>
        <w:spacing w:before="80" w:after="120"/>
      </w:pPr>
      <w:r>
        <w:rPr>
          <w:b/>
          <w:i w:val="0"/>
          <w:sz w:val="24"/>
        </w:rPr>
        <w:t>3.1 Colors</w:t>
      </w:r>
    </w:p>
    <w:p>
      <w:pPr>
        <w:spacing w:before="0" w:after="160"/>
      </w:pPr>
      <w:r>
        <w:rPr>
          <w:b w:val="0"/>
          <w:i w:val="0"/>
          <w:sz w:val="22"/>
        </w:rPr>
        <w:t>He mantingut el navy de les entregues anteriors com a color de marca i l'he combinat amb un accent taronja que només surt on vull que la gent cliqui.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2041"/>
          </w:tcPr>
          <w:p>
            <w:r/>
            <w:r>
              <w:rPr>
                <w:b/>
                <w:sz w:val="20"/>
              </w:rPr>
              <w:t>Color</w:t>
            </w:r>
          </w:p>
        </w:tc>
        <w:tc>
          <w:tcPr>
            <w:tcW w:type="dxa" w:w="2608"/>
          </w:tcPr>
          <w:p>
            <w:r/>
            <w:r>
              <w:rPr>
                <w:b/>
                <w:sz w:val="20"/>
              </w:rPr>
              <w:t>Ús</w:t>
            </w:r>
          </w:p>
        </w:tc>
        <w:tc>
          <w:tcPr>
            <w:tcW w:type="dxa" w:w="4535"/>
          </w:tcPr>
          <w:p>
            <w:r/>
            <w:r>
              <w:rPr>
                <w:b/>
                <w:sz w:val="20"/>
              </w:rPr>
              <w:t>Justificació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20"/>
              </w:rPr>
              <w:t>Navy #1A237E (principal)</w:t>
            </w:r>
          </w:p>
        </w:tc>
        <w:tc>
          <w:tcPr>
            <w:tcW w:type="dxa" w:w="2608"/>
          </w:tcPr>
          <w:p>
            <w:r/>
            <w:r>
              <w:rPr>
                <w:sz w:val="20"/>
              </w:rPr>
              <w:t>Logo, enllaços, menú actiu, botons secundaris</w:t>
            </w:r>
          </w:p>
        </w:tc>
        <w:tc>
          <w:tcPr>
            <w:tcW w:type="dxa" w:w="4535"/>
          </w:tcPr>
          <w:p>
            <w:r/>
            <w:r>
              <w:rPr>
                <w:sz w:val="20"/>
              </w:rPr>
              <w:t>Blau fosc de confiança que lliga amb la idea de viatjar de nit (vol nocturn, cel). És el color de marca des del wireframe, així tot queda coherent.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20"/>
              </w:rPr>
              <w:t>Blau profund #20264E (variant)</w:t>
            </w:r>
          </w:p>
        </w:tc>
        <w:tc>
          <w:tcPr>
            <w:tcW w:type="dxa" w:w="2608"/>
          </w:tcPr>
          <w:p>
            <w:r/>
            <w:r>
              <w:rPr>
                <w:sz w:val="20"/>
              </w:rPr>
              <w:t>Peu de página</w:t>
            </w:r>
          </w:p>
        </w:tc>
        <w:tc>
          <w:tcPr>
            <w:tcW w:type="dxa" w:w="4535"/>
          </w:tcPr>
          <w:p>
            <w:r/>
            <w:r>
              <w:rPr>
                <w:sz w:val="20"/>
              </w:rPr>
              <w:t>Una versió més fosca del navy per tancar la página i donar-li contrast, sense introduir un color nou.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20"/>
              </w:rPr>
              <w:t>Taronja #EF6C00 (accent)</w:t>
            </w:r>
          </w:p>
        </w:tc>
        <w:tc>
          <w:tcPr>
            <w:tcW w:type="dxa" w:w="2608"/>
          </w:tcPr>
          <w:p>
            <w:r/>
            <w:r>
              <w:rPr>
                <w:sz w:val="20"/>
              </w:rPr>
              <w:t>Etiqueta ÚLTIM VIATGE, botó "Llegeix l'article"</w:t>
            </w:r>
          </w:p>
        </w:tc>
        <w:tc>
          <w:tcPr>
            <w:tcW w:type="dxa" w:w="4535"/>
          </w:tcPr>
          <w:p>
            <w:r/>
            <w:r>
              <w:rPr>
                <w:sz w:val="20"/>
              </w:rPr>
              <w:t>Contrasta molt amb el navy i crida l'atenció. Només l'uso en elements clicables importants (menys del 10% de la página).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20"/>
              </w:rPr>
              <w:t>Fons #FAFBFC + targetes blanques</w:t>
            </w:r>
          </w:p>
        </w:tc>
        <w:tc>
          <w:tcPr>
            <w:tcW w:type="dxa" w:w="2608"/>
          </w:tcPr>
          <w:p>
            <w:r/>
            <w:r>
              <w:rPr>
                <w:sz w:val="20"/>
              </w:rPr>
              <w:t>Fons general i targetes</w:t>
            </w:r>
          </w:p>
        </w:tc>
        <w:tc>
          <w:tcPr>
            <w:tcW w:type="dxa" w:w="4535"/>
          </w:tcPr>
          <w:p>
            <w:r/>
            <w:r>
              <w:rPr>
                <w:sz w:val="20"/>
              </w:rPr>
              <w:t>Un gris gairebé blanc separa les targetes del fons sense necessitat d'ombres dures.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20"/>
              </w:rPr>
              <w:t>Text #212121 / #546E7A</w:t>
            </w:r>
          </w:p>
        </w:tc>
        <w:tc>
          <w:tcPr>
            <w:tcW w:type="dxa" w:w="2608"/>
          </w:tcPr>
          <w:p>
            <w:r/>
            <w:r>
              <w:rPr>
                <w:sz w:val="20"/>
              </w:rPr>
              <w:t>Text principal i secundari</w:t>
            </w:r>
          </w:p>
        </w:tc>
        <w:tc>
          <w:tcPr>
            <w:tcW w:type="dxa" w:w="4535"/>
          </w:tcPr>
          <w:p>
            <w:r/>
            <w:r>
              <w:rPr>
                <w:sz w:val="20"/>
              </w:rPr>
              <w:t>Dúes tones de text donen jerarquia: el que has de llegir i el que és complementari (dates, temps de lectura).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20"/>
              </w:rPr>
              <w:t>Lavanda #E8EAF6 (to suau)</w:t>
            </w:r>
          </w:p>
        </w:tc>
        <w:tc>
          <w:tcPr>
            <w:tcW w:type="dxa" w:w="2608"/>
          </w:tcPr>
          <w:p>
            <w:r/>
            <w:r>
              <w:rPr>
                <w:sz w:val="20"/>
              </w:rPr>
              <w:t>Cercles d'icona, fons suaus</w:t>
            </w:r>
          </w:p>
        </w:tc>
        <w:tc>
          <w:tcPr>
            <w:tcW w:type="dxa" w:w="4535"/>
          </w:tcPr>
          <w:p>
            <w:r/>
            <w:r>
              <w:rPr>
                <w:sz w:val="20"/>
              </w:rPr>
              <w:t>To clar de la mateixa família del navy per als fons d'elements, sense trencar la paleta.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20"/>
              </w:rPr>
              <w:t>Tags de continent (5 colors)</w:t>
            </w:r>
          </w:p>
        </w:tc>
        <w:tc>
          <w:tcPr>
            <w:tcW w:type="dxa" w:w="2608"/>
          </w:tcPr>
          <w:p>
            <w:r/>
            <w:r>
              <w:rPr>
                <w:sz w:val="20"/>
              </w:rPr>
              <w:t>Europa blau, Àsia vermell, Amèrica verd, Àfrica taronja, Oceania lila</w:t>
            </w:r>
          </w:p>
        </w:tc>
        <w:tc>
          <w:tcPr>
            <w:tcW w:type="dxa" w:w="4535"/>
          </w:tcPr>
          <w:p>
            <w:r/>
            <w:r>
              <w:rPr>
                <w:sz w:val="20"/>
              </w:rPr>
              <w:t>Cada continent té sempre el mateix color, així el reconeixes d'un cop d'ull a totes les páginas.</w:t>
            </w:r>
          </w:p>
        </w:tc>
      </w:tr>
    </w:tbl>
    <w:p>
      <w:pPr>
        <w:spacing w:before="0" w:after="80"/>
      </w:pPr>
      <w:r>
        <w:rPr>
          <w:b w:val="0"/>
          <w:i w:val="0"/>
          <w:sz w:val="8"/>
        </w:rPr>
      </w:r>
    </w:p>
    <w:p>
      <w:pPr>
        <w:spacing w:before="120" w:after="120"/>
      </w:pPr>
      <w:r>
        <w:rPr>
          <w:b/>
          <w:i w:val="0"/>
          <w:sz w:val="24"/>
        </w:rPr>
        <w:t>3.2 Tipografia</w:t>
      </w:r>
    </w:p>
    <w:p>
      <w:pPr>
        <w:spacing w:before="0" w:after="160"/>
      </w:pPr>
      <w:r>
        <w:rPr>
          <w:b w:val="0"/>
          <w:i w:val="0"/>
          <w:sz w:val="22"/>
        </w:rPr>
        <w:t>Només dúes famílies: una serif amb personalitat per als títols i una sans neutra per a tota la interfície.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c>
          <w:tcPr>
            <w:tcW w:type="dxa" w:w="1928"/>
          </w:tcPr>
          <w:p>
            <w:r/>
            <w:r>
              <w:rPr>
                <w:b/>
                <w:sz w:val="20"/>
              </w:rPr>
              <w:t>Nivell</w:t>
            </w:r>
          </w:p>
        </w:tc>
        <w:tc>
          <w:tcPr>
            <w:tcW w:type="dxa" w:w="1928"/>
          </w:tcPr>
          <w:p>
            <w:r/>
            <w:r>
              <w:rPr>
                <w:b/>
                <w:sz w:val="20"/>
              </w:rPr>
              <w:t>Font</w:t>
            </w:r>
          </w:p>
        </w:tc>
        <w:tc>
          <w:tcPr>
            <w:tcW w:type="dxa" w:w="1247"/>
          </w:tcPr>
          <w:p>
            <w:r/>
            <w:r>
              <w:rPr>
                <w:b/>
                <w:sz w:val="20"/>
              </w:rPr>
              <w:t>Mida</w:t>
            </w:r>
          </w:p>
        </w:tc>
        <w:tc>
          <w:tcPr>
            <w:tcW w:type="dxa" w:w="4082"/>
          </w:tcPr>
          <w:p>
            <w:r/>
            <w:r>
              <w:rPr>
                <w:b/>
                <w:sz w:val="20"/>
              </w:rPr>
              <w:t>Ús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20"/>
              </w:rPr>
              <w:t>H1</w:t>
            </w:r>
          </w:p>
        </w:tc>
        <w:tc>
          <w:tcPr>
            <w:tcW w:type="dxa" w:w="1928"/>
          </w:tcPr>
          <w:p>
            <w:r/>
            <w:r>
              <w:rPr>
                <w:sz w:val="20"/>
              </w:rPr>
              <w:t>Georgia Bold</w:t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  <w:t>46 px</w:t>
            </w:r>
          </w:p>
        </w:tc>
        <w:tc>
          <w:tcPr>
            <w:tcW w:type="dxa" w:w="4082"/>
          </w:tcPr>
          <w:p>
            <w:r/>
            <w:r>
              <w:rPr>
                <w:sz w:val="20"/>
              </w:rPr>
              <w:t>Títol del hero (25 dies de ruta pels Balcans)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20"/>
              </w:rPr>
              <w:t>H2</w:t>
            </w:r>
          </w:p>
        </w:tc>
        <w:tc>
          <w:tcPr>
            <w:tcW w:type="dxa" w:w="1928"/>
          </w:tcPr>
          <w:p>
            <w:r/>
            <w:r>
              <w:rPr>
                <w:sz w:val="20"/>
              </w:rPr>
              <w:t>Georgia Bold</w:t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  <w:t>26 px</w:t>
            </w:r>
          </w:p>
        </w:tc>
        <w:tc>
          <w:tcPr>
            <w:tcW w:type="dxa" w:w="4082"/>
          </w:tcPr>
          <w:p>
            <w:r/>
            <w:r>
              <w:rPr>
                <w:sz w:val="20"/>
              </w:rPr>
              <w:t>Títols de secció (Últimes entrades, Destacats)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20"/>
              </w:rPr>
              <w:t>H3</w:t>
            </w:r>
          </w:p>
        </w:tc>
        <w:tc>
          <w:tcPr>
            <w:tcW w:type="dxa" w:w="1928"/>
          </w:tcPr>
          <w:p>
            <w:r/>
            <w:r>
              <w:rPr>
                <w:sz w:val="20"/>
              </w:rPr>
              <w:t>Georgia Bold</w:t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  <w:t>21 px</w:t>
            </w:r>
          </w:p>
        </w:tc>
        <w:tc>
          <w:tcPr>
            <w:tcW w:type="dxa" w:w="4082"/>
          </w:tcPr>
          <w:p>
            <w:r/>
            <w:r>
              <w:rPr>
                <w:sz w:val="20"/>
              </w:rPr>
              <w:t>Títols de les targetes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20"/>
              </w:rPr>
              <w:t>Cos</w:t>
            </w:r>
          </w:p>
        </w:tc>
        <w:tc>
          <w:tcPr>
            <w:tcW w:type="dxa" w:w="1928"/>
          </w:tcPr>
          <w:p>
            <w:r/>
            <w:r>
              <w:rPr>
                <w:sz w:val="20"/>
              </w:rPr>
              <w:t>Helvetica</w:t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  <w:t>15–18 px</w:t>
            </w:r>
          </w:p>
        </w:tc>
        <w:tc>
          <w:tcPr>
            <w:tcW w:type="dxa" w:w="4082"/>
          </w:tcPr>
          <w:p>
            <w:r/>
            <w:r>
              <w:rPr>
                <w:sz w:val="20"/>
              </w:rPr>
              <w:t>Subtítols, text de llistes, peu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20"/>
              </w:rPr>
              <w:t>Meta</w:t>
            </w:r>
          </w:p>
        </w:tc>
        <w:tc>
          <w:tcPr>
            <w:tcW w:type="dxa" w:w="1928"/>
          </w:tcPr>
          <w:p>
            <w:r/>
            <w:r>
              <w:rPr>
                <w:sz w:val="20"/>
              </w:rPr>
              <w:t>Helvetica</w:t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  <w:t>13–14 px</w:t>
            </w:r>
          </w:p>
        </w:tc>
        <w:tc>
          <w:tcPr>
            <w:tcW w:type="dxa" w:w="4082"/>
          </w:tcPr>
          <w:p>
            <w:r/>
            <w:r>
              <w:rPr>
                <w:sz w:val="20"/>
              </w:rPr>
              <w:t>Dates, temps de lectura, informació secundària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20"/>
              </w:rPr>
              <w:t>Botons i etiquetes</w:t>
            </w:r>
          </w:p>
        </w:tc>
        <w:tc>
          <w:tcPr>
            <w:tcW w:type="dxa" w:w="1928"/>
          </w:tcPr>
          <w:p>
            <w:r/>
            <w:r>
              <w:rPr>
                <w:sz w:val="20"/>
              </w:rPr>
              <w:t>Helvetica Bold</w:t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  <w:t>13–16 px</w:t>
            </w:r>
          </w:p>
        </w:tc>
        <w:tc>
          <w:tcPr>
            <w:tcW w:type="dxa" w:w="4082"/>
          </w:tcPr>
          <w:p>
            <w:r/>
            <w:r>
              <w:rPr>
                <w:sz w:val="20"/>
              </w:rPr>
              <w:t>Botons, tags de continent, menú</w:t>
            </w:r>
          </w:p>
        </w:tc>
      </w:tr>
    </w:tbl>
    <w:p>
      <w:pPr>
        <w:spacing w:before="0" w:after="80"/>
      </w:pPr>
      <w:r>
        <w:rPr>
          <w:b w:val="0"/>
          <w:i w:val="0"/>
          <w:sz w:val="8"/>
        </w:rPr>
      </w:r>
    </w:p>
    <w:p>
      <w:pPr>
        <w:spacing w:before="0" w:after="200"/>
      </w:pPr>
      <w:r>
        <w:rPr>
          <w:b w:val="0"/>
          <w:i w:val="0"/>
          <w:sz w:val="22"/>
        </w:rPr>
        <w:t>La Georgia (serif) dóna al blog un aire de revista de viatges, més editorial que una sans, i es llegeix bé gran; la Helvetica és neutra i molt llegible a mides petites, perfecta per a la interfície. Barrejar serif + sans és un clàssic dels blogs de viatges tipus revistes.</w:t>
      </w:r>
    </w:p>
    <w:p>
      <w:pPr>
        <w:spacing w:before="120" w:after="120"/>
      </w:pPr>
      <w:r>
        <w:rPr>
          <w:b/>
          <w:i w:val="0"/>
          <w:sz w:val="24"/>
        </w:rPr>
        <w:t>3.3 Espaiat i layout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2381"/>
          </w:tcPr>
          <w:p>
            <w:r/>
            <w:r>
              <w:rPr>
                <w:b/>
                <w:sz w:val="20"/>
              </w:rPr>
              <w:t>Element</w:t>
            </w:r>
          </w:p>
        </w:tc>
        <w:tc>
          <w:tcPr>
            <w:tcW w:type="dxa" w:w="1701"/>
          </w:tcPr>
          <w:p>
            <w:r/>
            <w:r>
              <w:rPr>
                <w:b/>
                <w:sz w:val="20"/>
              </w:rPr>
              <w:t>Mida</w:t>
            </w:r>
          </w:p>
        </w:tc>
        <w:tc>
          <w:tcPr>
            <w:tcW w:type="dxa" w:w="5102"/>
          </w:tcPr>
          <w:p>
            <w:r/>
            <w:r>
              <w:rPr>
                <w:b/>
                <w:sz w:val="20"/>
              </w:rPr>
              <w:t>Justificació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20"/>
              </w:rPr>
              <w:t>Amplada del contenidor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1104 px</w:t>
            </w:r>
          </w:p>
        </w:tc>
        <w:tc>
          <w:tcPr>
            <w:tcW w:type="dxa" w:w="5102"/>
          </w:tcPr>
          <w:p>
            <w:r/>
            <w:r>
              <w:rPr>
                <w:sz w:val="20"/>
              </w:rPr>
              <w:t>Amb un viewport de 1200 px deixa 48 px de marge a cada costat: el contingut respira i les línies de text no es fan eternes.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20"/>
              </w:rPr>
              <w:t>Marges laterals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48 px</w:t>
            </w:r>
          </w:p>
        </w:tc>
        <w:tc>
          <w:tcPr>
            <w:tcW w:type="dxa" w:w="5102"/>
          </w:tcPr>
          <w:p>
            <w:r/>
            <w:r>
              <w:rPr>
                <w:sz w:val="20"/>
              </w:rPr>
              <w:t>Prou espai perquè res no quedi enganxat a la vora del navegador.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20"/>
              </w:rPr>
              <w:t>Espaiat entre targetes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24 px</w:t>
            </w:r>
          </w:p>
        </w:tc>
        <w:tc>
          <w:tcPr>
            <w:tcW w:type="dxa" w:w="5102"/>
          </w:tcPr>
          <w:p>
            <w:r/>
            <w:r>
              <w:rPr>
                <w:sz w:val="20"/>
              </w:rPr>
              <w:t>Prou per separar-les visualment sense trencar el grup de tres.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20"/>
              </w:rPr>
              <w:t>Separació entre seccions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44 px</w:t>
            </w:r>
          </w:p>
        </w:tc>
        <w:tc>
          <w:tcPr>
            <w:tcW w:type="dxa" w:w="5102"/>
          </w:tcPr>
          <w:p>
            <w:r/>
            <w:r>
              <w:rPr>
                <w:sz w:val="20"/>
              </w:rPr>
              <w:t>Més espai entre seccions que entre targetes: així s'entén què pertany a cada bloc.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20"/>
              </w:rPr>
              <w:t>Radi de targetes i botons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16 px (botons pill)</w:t>
            </w:r>
          </w:p>
        </w:tc>
        <w:tc>
          <w:tcPr>
            <w:tcW w:type="dxa" w:w="5102"/>
          </w:tcPr>
          <w:p>
            <w:r/>
            <w:r>
              <w:rPr>
                <w:sz w:val="20"/>
              </w:rPr>
              <w:t>Les cantonades arrodonides donen un aire amigable; el botó principal és completament rodó perquè destaqui.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20"/>
              </w:rPr>
              <w:t>Alçada del hero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336 px</w:t>
            </w:r>
          </w:p>
        </w:tc>
        <w:tc>
          <w:tcPr>
            <w:tcW w:type="dxa" w:w="5102"/>
          </w:tcPr>
          <w:p>
            <w:r/>
            <w:r>
              <w:rPr>
                <w:sz w:val="20"/>
              </w:rPr>
              <w:t>Ocupa prou pantalla per imposar-se sense fer scroll abans de veure res més.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20"/>
              </w:rPr>
              <w:t>Ombres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Suau, doble capa</w:t>
            </w:r>
          </w:p>
        </w:tc>
        <w:tc>
          <w:tcPr>
            <w:tcW w:type="dxa" w:w="5102"/>
          </w:tcPr>
          <w:p>
            <w:r/>
            <w:r>
              <w:rPr>
                <w:sz w:val="20"/>
              </w:rPr>
              <w:t>Dúes ombres molt lleus en lloc d'una de forta: separa la targeta del fons sense semblar flotant.</w:t>
            </w:r>
          </w:p>
        </w:tc>
      </w:tr>
    </w:tbl>
    <w:p>
      <w:pPr>
        <w:spacing w:before="0" w:after="80"/>
      </w:pPr>
      <w:r>
        <w:rPr>
          <w:b w:val="0"/>
          <w:i w:val="0"/>
          <w:sz w:val="8"/>
        </w:rPr>
      </w:r>
    </w:p>
    <w:p>
      <w:pPr>
        <w:spacing w:before="120" w:after="120"/>
      </w:pPr>
      <w:r>
        <w:rPr>
          <w:b/>
          <w:i w:val="0"/>
          <w:sz w:val="24"/>
        </w:rPr>
        <w:t>3.4 Elements visuals</w:t>
      </w:r>
    </w:p>
    <w:p>
      <w:pPr>
        <w:pStyle w:val="ListBullet"/>
        <w:spacing w:after="40"/>
      </w:pPr>
      <w:r>
        <w:rPr>
          <w:sz w:val="22"/>
        </w:rPr>
        <w:t>Il·lustracions de foto amb degradat de dos tons i motius simples (muntanyes, skyline, mar): totes les "fotos" tenen el mateix tractament, així la página queda coherent encara que encara no hi hagi fotos reals.</w:t>
      </w:r>
    </w:p>
    <w:p>
      <w:pPr>
        <w:pStyle w:val="ListBullet"/>
        <w:spacing w:after="40"/>
      </w:pPr>
      <w:r>
        <w:rPr>
          <w:sz w:val="22"/>
        </w:rPr>
        <w:t>Tags pill de color per continent, sempre amb el mateix color i la mateixa forma.</w:t>
      </w:r>
    </w:p>
    <w:p>
      <w:pPr>
        <w:pStyle w:val="ListBullet"/>
        <w:spacing w:after="40"/>
      </w:pPr>
      <w:r>
        <w:rPr>
          <w:sz w:val="22"/>
        </w:rPr>
        <w:t>Estrella groga #FFC107 al cantonada dels destacats, per diferenciar-los de les últimes entrades sense canviar-los el disseny.</w:t>
      </w:r>
    </w:p>
    <w:p>
      <w:pPr>
        <w:pStyle w:val="ListBullet"/>
        <w:spacing w:after="40"/>
      </w:pPr>
      <w:r>
        <w:rPr>
          <w:sz w:val="22"/>
        </w:rPr>
        <w:t>Icones de línia (lupa del cercador, cercles de xarxes al peu) fetes amb traç prim, del mateix estil a tot arreu.</w:t>
      </w:r>
    </w:p>
    <w:p>
      <w:pPr>
        <w:pStyle w:val="ListBullet"/>
        <w:spacing w:after="40"/>
      </w:pPr>
      <w:r>
        <w:rPr>
          <w:sz w:val="22"/>
        </w:rPr>
        <w:t>Overlay navy sobre el hero perquè el text blanc sempre es llegeixi bé, sigui quina sigui la foto de sota.</w:t>
      </w:r>
    </w:p>
    <w:sectPr w:rsidR="00FC693F" w:rsidRPr="0006063C" w:rsidSect="00034616">
      <w:footerReference w:type="default" r:id="rId11"/>
      <w:pgSz w:w="11906" w:h="16838"/>
      <w:pgMar w:top="1134" w:right="1361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8"/>
      </w:rPr>
      <w:t>RA1: Planificació d'Interficies Web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