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Computing &amp; Distributed Systems</w:t>
      </w:r>
    </w:p>
    <w:p>
      <w:pPr>
        <w:pStyle w:val="Subtitle"/>
      </w:pPr>
      <w:r>
        <w:t>Curriculum Masterclass — Acadion Engineering Series</w:t>
      </w:r>
    </w:p>
    <w:p>
      <w:pPr>
        <w:pStyle w:val="Heading2"/>
      </w:pPr>
      <w:r>
        <w:t>Introduction &amp; Architectural Foundations</w:t>
      </w:r>
    </w:p>
    <w:p>
      <w:pPr>
        <w:pStyle w:val="ListBullet"/>
      </w:pPr>
      <w:r>
        <w:t>Cloud Computing: On-demand availability of system resources and data storage</w:t>
      </w:r>
    </w:p>
    <w:p>
      <w:pPr>
        <w:pStyle w:val="ListBullet"/>
      </w:pPr>
      <w:r>
        <w:t>Elastic Scaling: Dynamically provisioning compute capacity to meet workload demand</w:t>
      </w:r>
    </w:p>
    <w:p>
      <w:pPr>
        <w:pStyle w:val="ListBullet"/>
      </w:pPr>
      <w:r>
        <w:t>Fault Tolerance: Redundant distributed infrastructure preventing single-point failure</w:t>
      </w:r>
    </w:p>
    <w:p>
      <w:pPr>
        <w:pStyle w:val="Heading2"/>
      </w:pPr>
      <w:r>
        <w:t>Monolithic vs Microservices Architecture</w:t>
      </w:r>
    </w:p>
    <w:p>
      <w:pPr>
        <w:pStyle w:val="ListBullet"/>
      </w:pPr>
      <w:r>
        <w:t>Monolithic: Single unified codebase and shared relational database</w:t>
      </w:r>
    </w:p>
    <w:p>
      <w:pPr>
        <w:pStyle w:val="ListBullet"/>
      </w:pPr>
      <w:r>
        <w:t>Monolithic: Simpler initial deployment but complex long-term maintenance</w:t>
      </w:r>
    </w:p>
    <w:p>
      <w:pPr>
        <w:pStyle w:val="ListBullet"/>
      </w:pPr>
      <w:r>
        <w:t>Microservices: Independently deployable bounded contextual services</w:t>
      </w:r>
    </w:p>
    <w:p>
      <w:pPr>
        <w:pStyle w:val="ListBullet"/>
      </w:pPr>
      <w:r>
        <w:t>Microservices: Resilient fault isolation with decentralized data storage</w:t>
      </w:r>
    </w:p>
    <w:p>
      <w:pPr>
        <w:pStyle w:val="Heading2"/>
      </w:pPr>
      <w:r>
        <w:t>Distributed Consensus Workflow</w:t>
      </w:r>
    </w:p>
    <w:p>
      <w:pPr>
        <w:pStyle w:val="ListBullet"/>
      </w:pPr>
      <w:r>
        <w:t>Client Proposal: Client submits state mutation request to leader</w:t>
      </w:r>
    </w:p>
    <w:p>
      <w:pPr>
        <w:pStyle w:val="ListBullet"/>
      </w:pPr>
      <w:r>
        <w:t>Log Replication: Leader appends entry and broadcasts to follower nodes</w:t>
      </w:r>
    </w:p>
    <w:p>
      <w:pPr>
        <w:pStyle w:val="ListBullet"/>
      </w:pPr>
      <w:r>
        <w:t>Quorum Agreement: Majority of nodes validate and acknowledge the log entry</w:t>
      </w:r>
    </w:p>
    <w:p>
      <w:pPr>
        <w:pStyle w:val="ListBullet"/>
      </w:pPr>
      <w:r>
        <w:t>Commit &amp; Response: Leader commits state machine update and responds to client</w:t>
      </w:r>
    </w:p>
    <w:p>
      <w:pPr>
        <w:pStyle w:val="Heading2"/>
      </w:pPr>
      <w:r>
        <w:t>Summary &amp; Best Practices</w:t>
      </w:r>
    </w:p>
    <w:p>
      <w:pPr>
        <w:pStyle w:val="ListBullet"/>
      </w:pPr>
      <w:r>
        <w:t>Observability: Comprehensive metrics, structured tracing, and distributed logs</w:t>
      </w:r>
    </w:p>
    <w:p>
      <w:pPr>
        <w:pStyle w:val="ListBullet"/>
      </w:pPr>
      <w:r>
        <w:t>Zero Trust Security: Mutual TLS authentication and least-privilege IAM roles</w:t>
      </w:r>
    </w:p>
    <w:p>
      <w:pPr>
        <w:pStyle w:val="ListBullet"/>
      </w:pPr>
      <w:r>
        <w:t>Cost Optimization: Auto-scaling and spot instance 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