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1540" w14:textId="5D3977D9" w:rsidR="005E0C7F" w:rsidRDefault="03F4C1C5" w:rsidP="5D024212">
      <w:pPr>
        <w:spacing w:line="276" w:lineRule="auto"/>
        <w:jc w:val="center"/>
      </w:pPr>
      <w:r w:rsidRPr="5D024212">
        <w:rPr>
          <w:rFonts w:ascii="Aptos" w:eastAsia="Aptos" w:hAnsi="Aptos" w:cs="Aptos"/>
          <w:b/>
          <w:bCs/>
        </w:rPr>
        <w:t xml:space="preserve">ASSIGNMENT </w:t>
      </w:r>
    </w:p>
    <w:p w14:paraId="3C4F9A44" w14:textId="597C724B" w:rsidR="005E0C7F" w:rsidRDefault="03F4C1C5" w:rsidP="5D024212">
      <w:pPr>
        <w:spacing w:line="276" w:lineRule="auto"/>
        <w:jc w:val="center"/>
      </w:pPr>
      <w:r w:rsidRPr="7885EA44">
        <w:rPr>
          <w:rFonts w:ascii="Aptos" w:eastAsia="Aptos" w:hAnsi="Aptos" w:cs="Aptos"/>
          <w:b/>
          <w:bCs/>
        </w:rPr>
        <w:t>DATA ANALYSIS AND VISUALISATION</w:t>
      </w:r>
      <w:r w:rsidR="610DE99B" w:rsidRPr="7885EA44">
        <w:rPr>
          <w:rFonts w:ascii="Aptos" w:eastAsia="Aptos" w:hAnsi="Aptos" w:cs="Aptos"/>
          <w:b/>
          <w:bCs/>
        </w:rPr>
        <w:t xml:space="preserve"> NDTA 631</w:t>
      </w:r>
    </w:p>
    <w:p w14:paraId="3061C9B0" w14:textId="2C566850" w:rsidR="005E0C7F" w:rsidRDefault="03F4C1C5" w:rsidP="5D024212">
      <w:pPr>
        <w:spacing w:line="276" w:lineRule="auto"/>
        <w:jc w:val="center"/>
      </w:pPr>
      <w:r w:rsidRPr="5D024212">
        <w:rPr>
          <w:rFonts w:ascii="Aptos" w:eastAsia="Aptos" w:hAnsi="Aptos" w:cs="Aptos"/>
          <w:u w:val="single"/>
        </w:rPr>
        <w:t>WHEN CREDIT GETS MORE EXPENSIVE IN SOUTH AFRICA,</w:t>
      </w:r>
    </w:p>
    <w:p w14:paraId="240B53AB" w14:textId="33506BCA" w:rsidR="005E0C7F" w:rsidRDefault="03F4C1C5" w:rsidP="5D024212">
      <w:pPr>
        <w:spacing w:line="276" w:lineRule="auto"/>
        <w:jc w:val="center"/>
      </w:pPr>
      <w:r w:rsidRPr="1C47AA19">
        <w:rPr>
          <w:rFonts w:ascii="Aptos" w:eastAsia="Aptos" w:hAnsi="Aptos" w:cs="Aptos"/>
          <w:u w:val="single"/>
        </w:rPr>
        <w:t>DOES FARMING ACTIVITY IN THE REGION LOOK DIFFERENT?</w:t>
      </w:r>
    </w:p>
    <w:p w14:paraId="02304BF3" w14:textId="62C3A16D" w:rsidR="005E0C7F" w:rsidRDefault="03F4C1C5" w:rsidP="1C47AA19">
      <w:pPr>
        <w:spacing w:before="500" w:line="276" w:lineRule="auto"/>
        <w:jc w:val="center"/>
      </w:pPr>
      <w:r w:rsidRPr="1C47AA19">
        <w:rPr>
          <w:rFonts w:ascii="Aptos" w:eastAsia="Aptos" w:hAnsi="Aptos" w:cs="Aptos"/>
          <w:b/>
          <w:bCs/>
        </w:rPr>
        <w:t>Research Report &amp; Demonstration</w:t>
      </w:r>
    </w:p>
    <w:tbl>
      <w:tblPr>
        <w:tblStyle w:val="TableGrid"/>
        <w:tblW w:w="0" w:type="auto"/>
        <w:tblLook w:val="04A0" w:firstRow="1" w:lastRow="0" w:firstColumn="1" w:lastColumn="0" w:noHBand="0" w:noVBand="1"/>
      </w:tblPr>
      <w:tblGrid>
        <w:gridCol w:w="4670"/>
        <w:gridCol w:w="4670"/>
      </w:tblGrid>
      <w:tr w:rsidR="5D024212" w14:paraId="64D0B59A"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0FD93A33" w14:textId="37FDC079" w:rsidR="5D024212" w:rsidRDefault="5D024212" w:rsidP="5D024212">
            <w:r w:rsidRPr="5D024212">
              <w:rPr>
                <w:rFonts w:ascii="Aptos" w:eastAsia="Aptos" w:hAnsi="Aptos" w:cs="Aptos"/>
                <w:b/>
                <w:bCs/>
                <w:color w:val="000000" w:themeColor="text1"/>
                <w:sz w:val="17"/>
                <w:szCs w:val="17"/>
              </w:rPr>
              <w:t>Name &amp; Surname</w:t>
            </w:r>
          </w:p>
        </w:tc>
        <w:tc>
          <w:tcPr>
            <w:tcW w:w="511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6498A12D" w14:textId="7C8DD110" w:rsidR="5D024212" w:rsidRDefault="5D024212" w:rsidP="5D024212">
            <w:r w:rsidRPr="5D024212">
              <w:rPr>
                <w:rFonts w:ascii="Aptos" w:eastAsia="Aptos" w:hAnsi="Aptos" w:cs="Aptos"/>
                <w:b/>
                <w:bCs/>
                <w:color w:val="000000" w:themeColor="text1"/>
                <w:sz w:val="17"/>
                <w:szCs w:val="17"/>
              </w:rPr>
              <w:t>Student Number</w:t>
            </w:r>
          </w:p>
        </w:tc>
      </w:tr>
      <w:tr w:rsidR="5D024212" w14:paraId="013F5F54"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1A8C29" w14:textId="15DCEDD4" w:rsidR="5D024212" w:rsidRDefault="5D024212" w:rsidP="5D024212">
            <w:r w:rsidRPr="5D024212">
              <w:rPr>
                <w:rFonts w:ascii="Aptos" w:eastAsia="Aptos" w:hAnsi="Aptos" w:cs="Aptos"/>
                <w:sz w:val="16"/>
                <w:szCs w:val="16"/>
              </w:rPr>
              <w:t>Reneilwe Morajane</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C5B0F" w14:textId="16531E37" w:rsidR="5D024212" w:rsidRDefault="5D024212" w:rsidP="5D024212">
            <w:r w:rsidRPr="5D024212">
              <w:rPr>
                <w:rFonts w:ascii="Aptos" w:eastAsia="Aptos" w:hAnsi="Aptos" w:cs="Aptos"/>
                <w:sz w:val="16"/>
                <w:szCs w:val="16"/>
              </w:rPr>
              <w:t>202112110</w:t>
            </w:r>
          </w:p>
        </w:tc>
      </w:tr>
      <w:tr w:rsidR="5D024212" w14:paraId="4DDEE3D7"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66063" w14:textId="6F91B6CD" w:rsidR="5D024212" w:rsidRDefault="5D024212" w:rsidP="5D024212">
            <w:r w:rsidRPr="5D024212">
              <w:rPr>
                <w:rFonts w:ascii="Aptos" w:eastAsia="Aptos" w:hAnsi="Aptos" w:cs="Aptos"/>
                <w:sz w:val="16"/>
                <w:szCs w:val="16"/>
              </w:rPr>
              <w:t>Leah Marumo Machaka</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A00E28" w14:textId="305BA2D9" w:rsidR="5D024212" w:rsidRDefault="5D024212" w:rsidP="5D024212">
            <w:r w:rsidRPr="5D024212">
              <w:rPr>
                <w:rFonts w:ascii="Aptos" w:eastAsia="Aptos" w:hAnsi="Aptos" w:cs="Aptos"/>
                <w:sz w:val="16"/>
                <w:szCs w:val="16"/>
              </w:rPr>
              <w:t>202464717</w:t>
            </w:r>
          </w:p>
        </w:tc>
      </w:tr>
      <w:tr w:rsidR="5D024212" w14:paraId="081AAFE3"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453308" w14:textId="183BA785" w:rsidR="5D024212" w:rsidRDefault="5D024212" w:rsidP="5D024212">
            <w:r w:rsidRPr="5D024212">
              <w:rPr>
                <w:rFonts w:ascii="Aptos" w:eastAsia="Aptos" w:hAnsi="Aptos" w:cs="Aptos"/>
                <w:sz w:val="16"/>
                <w:szCs w:val="16"/>
              </w:rPr>
              <w:t>Amogelang Maine</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EC191" w14:textId="4E5E892A" w:rsidR="5D024212" w:rsidRDefault="5D024212" w:rsidP="5D024212">
            <w:r w:rsidRPr="5D024212">
              <w:rPr>
                <w:rFonts w:ascii="Aptos" w:eastAsia="Aptos" w:hAnsi="Aptos" w:cs="Aptos"/>
                <w:sz w:val="16"/>
                <w:szCs w:val="16"/>
              </w:rPr>
              <w:t>202409912</w:t>
            </w:r>
          </w:p>
        </w:tc>
      </w:tr>
      <w:tr w:rsidR="5D024212" w14:paraId="4E87B391"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7ED55" w14:textId="2457D5B1" w:rsidR="5D024212" w:rsidRDefault="5D024212" w:rsidP="5D024212">
            <w:r w:rsidRPr="5D024212">
              <w:rPr>
                <w:rFonts w:ascii="Aptos" w:eastAsia="Aptos" w:hAnsi="Aptos" w:cs="Aptos"/>
                <w:sz w:val="16"/>
                <w:szCs w:val="16"/>
              </w:rPr>
              <w:t>Mhlengie Prince Ngwenya</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896767" w14:textId="25E713C3" w:rsidR="5D024212" w:rsidRDefault="5D024212" w:rsidP="5D024212">
            <w:r w:rsidRPr="5D024212">
              <w:rPr>
                <w:rFonts w:ascii="Aptos" w:eastAsia="Aptos" w:hAnsi="Aptos" w:cs="Aptos"/>
                <w:sz w:val="16"/>
                <w:szCs w:val="16"/>
              </w:rPr>
              <w:t>202401141</w:t>
            </w:r>
          </w:p>
        </w:tc>
      </w:tr>
      <w:tr w:rsidR="5D024212" w14:paraId="57F2BFDC"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435784" w14:textId="4245C974" w:rsidR="5D024212" w:rsidRDefault="5D024212" w:rsidP="5D024212">
            <w:r w:rsidRPr="5D024212">
              <w:rPr>
                <w:rFonts w:ascii="Aptos" w:eastAsia="Aptos" w:hAnsi="Aptos" w:cs="Aptos"/>
                <w:sz w:val="16"/>
                <w:szCs w:val="16"/>
              </w:rPr>
              <w:t>Miranda Nkonwana</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AA94D" w14:textId="3FE3CC14" w:rsidR="5D024212" w:rsidRDefault="5D024212" w:rsidP="5D024212">
            <w:r w:rsidRPr="5D024212">
              <w:rPr>
                <w:rFonts w:ascii="Aptos" w:eastAsia="Aptos" w:hAnsi="Aptos" w:cs="Aptos"/>
                <w:sz w:val="16"/>
                <w:szCs w:val="16"/>
              </w:rPr>
              <w:t>202438359</w:t>
            </w:r>
          </w:p>
        </w:tc>
      </w:tr>
      <w:tr w:rsidR="5D024212" w14:paraId="513B04B9"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94931" w14:textId="630F8E63" w:rsidR="5D024212" w:rsidRDefault="5D024212" w:rsidP="5D024212">
            <w:r w:rsidRPr="5D024212">
              <w:rPr>
                <w:rFonts w:ascii="Aptos" w:eastAsia="Aptos" w:hAnsi="Aptos" w:cs="Aptos"/>
                <w:sz w:val="16"/>
                <w:szCs w:val="16"/>
              </w:rPr>
              <w:t>MK Khosa</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3FAEF" w14:textId="174F363E" w:rsidR="5D024212" w:rsidRDefault="5D024212" w:rsidP="5D024212">
            <w:r w:rsidRPr="5D024212">
              <w:rPr>
                <w:rFonts w:ascii="Aptos" w:eastAsia="Aptos" w:hAnsi="Aptos" w:cs="Aptos"/>
                <w:sz w:val="16"/>
                <w:szCs w:val="16"/>
              </w:rPr>
              <w:t>202401364</w:t>
            </w:r>
          </w:p>
        </w:tc>
      </w:tr>
    </w:tbl>
    <w:p w14:paraId="7D7BE4A8" w14:textId="40D829C4" w:rsidR="005E0C7F" w:rsidRDefault="005E0C7F" w:rsidP="5D024212">
      <w:pPr>
        <w:spacing w:line="276" w:lineRule="auto"/>
        <w:jc w:val="center"/>
      </w:pPr>
    </w:p>
    <w:p w14:paraId="2F90D21C" w14:textId="510BC090" w:rsidR="005E0C7F" w:rsidRDefault="03F4C1C5" w:rsidP="5D024212">
      <w:pPr>
        <w:spacing w:before="240" w:after="0" w:line="257" w:lineRule="auto"/>
      </w:pPr>
      <w:r w:rsidRPr="7885EA44">
        <w:rPr>
          <w:rFonts w:ascii="Aptos Display" w:eastAsia="Aptos Display" w:hAnsi="Aptos Display" w:cs="Aptos Display"/>
          <w:color w:val="0F4761" w:themeColor="accent1" w:themeShade="BF"/>
          <w:sz w:val="32"/>
          <w:szCs w:val="32"/>
        </w:rPr>
        <w:t>Contents</w:t>
      </w:r>
    </w:p>
    <w:sdt>
      <w:sdtPr>
        <w:id w:val="2140325536"/>
        <w:docPartObj>
          <w:docPartGallery w:val="Table of Contents"/>
          <w:docPartUnique/>
        </w:docPartObj>
      </w:sdtPr>
      <w:sdtContent>
        <w:p w14:paraId="164863BF" w14:textId="005FCB6E" w:rsidR="7885EA44" w:rsidRDefault="7885EA44" w:rsidP="7885EA44">
          <w:pPr>
            <w:pStyle w:val="TOC1"/>
            <w:tabs>
              <w:tab w:val="right" w:leader="dot" w:pos="9360"/>
            </w:tabs>
            <w:rPr>
              <w:rStyle w:val="Hyperlink"/>
            </w:rPr>
          </w:pPr>
          <w:r>
            <w:fldChar w:fldCharType="begin"/>
          </w:r>
          <w:r>
            <w:instrText>TOC \o \z \u \h</w:instrText>
          </w:r>
          <w:r>
            <w:fldChar w:fldCharType="separate"/>
          </w:r>
          <w:hyperlink w:anchor="_Toc1922779899">
            <w:r w:rsidRPr="7885EA44">
              <w:rPr>
                <w:rStyle w:val="Hyperlink"/>
              </w:rPr>
              <w:t>1. Introduction</w:t>
            </w:r>
            <w:r>
              <w:tab/>
            </w:r>
            <w:r>
              <w:fldChar w:fldCharType="begin"/>
            </w:r>
            <w:r>
              <w:instrText>PAGEREF _Toc1922779899 \h</w:instrText>
            </w:r>
            <w:r>
              <w:fldChar w:fldCharType="separate"/>
            </w:r>
            <w:r w:rsidRPr="7885EA44">
              <w:rPr>
                <w:rStyle w:val="Hyperlink"/>
              </w:rPr>
              <w:t>11</w:t>
            </w:r>
            <w:r>
              <w:fldChar w:fldCharType="end"/>
            </w:r>
          </w:hyperlink>
        </w:p>
        <w:p w14:paraId="343A3BAC" w14:textId="43307B6A" w:rsidR="7885EA44" w:rsidRDefault="7885EA44" w:rsidP="7885EA44">
          <w:pPr>
            <w:pStyle w:val="TOC2"/>
            <w:tabs>
              <w:tab w:val="right" w:leader="dot" w:pos="9360"/>
            </w:tabs>
            <w:rPr>
              <w:rStyle w:val="Hyperlink"/>
            </w:rPr>
          </w:pPr>
          <w:hyperlink w:anchor="_Toc1498747263">
            <w:r w:rsidRPr="7885EA44">
              <w:rPr>
                <w:rStyle w:val="Hyperlink"/>
              </w:rPr>
              <w:t>The datasets</w:t>
            </w:r>
            <w:r>
              <w:tab/>
            </w:r>
            <w:r>
              <w:fldChar w:fldCharType="begin"/>
            </w:r>
            <w:r>
              <w:instrText>PAGEREF _Toc1498747263 \h</w:instrText>
            </w:r>
            <w:r>
              <w:fldChar w:fldCharType="separate"/>
            </w:r>
            <w:r w:rsidRPr="7885EA44">
              <w:rPr>
                <w:rStyle w:val="Hyperlink"/>
              </w:rPr>
              <w:t>11</w:t>
            </w:r>
            <w:r>
              <w:fldChar w:fldCharType="end"/>
            </w:r>
          </w:hyperlink>
        </w:p>
        <w:p w14:paraId="29156428" w14:textId="7EB70B28" w:rsidR="7885EA44" w:rsidRDefault="7885EA44" w:rsidP="7885EA44">
          <w:pPr>
            <w:pStyle w:val="TOC1"/>
            <w:tabs>
              <w:tab w:val="right" w:leader="dot" w:pos="9360"/>
            </w:tabs>
            <w:rPr>
              <w:rStyle w:val="Hyperlink"/>
            </w:rPr>
          </w:pPr>
          <w:hyperlink w:anchor="_Toc1656561965">
            <w:r w:rsidRPr="7885EA44">
              <w:rPr>
                <w:rStyle w:val="Hyperlink"/>
              </w:rPr>
              <w:t>2. Data Preparation</w:t>
            </w:r>
            <w:r>
              <w:tab/>
            </w:r>
            <w:r>
              <w:fldChar w:fldCharType="begin"/>
            </w:r>
            <w:r>
              <w:instrText>PAGEREF _Toc1656561965 \h</w:instrText>
            </w:r>
            <w:r>
              <w:fldChar w:fldCharType="separate"/>
            </w:r>
            <w:r w:rsidRPr="7885EA44">
              <w:rPr>
                <w:rStyle w:val="Hyperlink"/>
              </w:rPr>
              <w:t>12</w:t>
            </w:r>
            <w:r>
              <w:fldChar w:fldCharType="end"/>
            </w:r>
          </w:hyperlink>
        </w:p>
        <w:p w14:paraId="2DC6C378" w14:textId="311505BC" w:rsidR="7885EA44" w:rsidRDefault="7885EA44" w:rsidP="7885EA44">
          <w:pPr>
            <w:pStyle w:val="TOC2"/>
            <w:tabs>
              <w:tab w:val="right" w:leader="dot" w:pos="9360"/>
            </w:tabs>
            <w:rPr>
              <w:rStyle w:val="Hyperlink"/>
            </w:rPr>
          </w:pPr>
          <w:hyperlink w:anchor="_Toc1201688913">
            <w:r w:rsidRPr="7885EA44">
              <w:rPr>
                <w:rStyle w:val="Hyperlink"/>
              </w:rPr>
              <w:t>2.1 AgriConnect Indicators</w:t>
            </w:r>
            <w:r>
              <w:tab/>
            </w:r>
            <w:r>
              <w:fldChar w:fldCharType="begin"/>
            </w:r>
            <w:r>
              <w:instrText>PAGEREF _Toc1201688913 \h</w:instrText>
            </w:r>
            <w:r>
              <w:fldChar w:fldCharType="separate"/>
            </w:r>
            <w:r w:rsidRPr="7885EA44">
              <w:rPr>
                <w:rStyle w:val="Hyperlink"/>
              </w:rPr>
              <w:t>12</w:t>
            </w:r>
            <w:r>
              <w:fldChar w:fldCharType="end"/>
            </w:r>
          </w:hyperlink>
        </w:p>
        <w:p w14:paraId="195F4A2A" w14:textId="604651D9" w:rsidR="7885EA44" w:rsidRDefault="7885EA44" w:rsidP="7885EA44">
          <w:pPr>
            <w:pStyle w:val="TOC2"/>
            <w:tabs>
              <w:tab w:val="right" w:leader="dot" w:pos="9360"/>
            </w:tabs>
            <w:rPr>
              <w:rStyle w:val="Hyperlink"/>
            </w:rPr>
          </w:pPr>
          <w:hyperlink w:anchor="_Toc1509316283">
            <w:r w:rsidRPr="7885EA44">
              <w:rPr>
                <w:rStyle w:val="Hyperlink"/>
              </w:rPr>
              <w:t>2.2 Interest Margin to Gross Income</w:t>
            </w:r>
            <w:r>
              <w:tab/>
            </w:r>
            <w:r>
              <w:fldChar w:fldCharType="begin"/>
            </w:r>
            <w:r>
              <w:instrText>PAGEREF _Toc1509316283 \h</w:instrText>
            </w:r>
            <w:r>
              <w:fldChar w:fldCharType="separate"/>
            </w:r>
            <w:r w:rsidRPr="7885EA44">
              <w:rPr>
                <w:rStyle w:val="Hyperlink"/>
              </w:rPr>
              <w:t>12</w:t>
            </w:r>
            <w:r>
              <w:fldChar w:fldCharType="end"/>
            </w:r>
          </w:hyperlink>
        </w:p>
        <w:p w14:paraId="31502B14" w14:textId="7276707C" w:rsidR="7885EA44" w:rsidRDefault="7885EA44" w:rsidP="7885EA44">
          <w:pPr>
            <w:pStyle w:val="TOC2"/>
            <w:tabs>
              <w:tab w:val="right" w:leader="dot" w:pos="9360"/>
            </w:tabs>
            <w:rPr>
              <w:rStyle w:val="Hyperlink"/>
            </w:rPr>
          </w:pPr>
          <w:hyperlink w:anchor="_Toc1360278554">
            <w:r w:rsidRPr="7885EA44">
              <w:rPr>
                <w:rStyle w:val="Hyperlink"/>
              </w:rPr>
              <w:t>2.3 Why the Cleaning Matters</w:t>
            </w:r>
            <w:r>
              <w:tab/>
            </w:r>
            <w:r>
              <w:fldChar w:fldCharType="begin"/>
            </w:r>
            <w:r>
              <w:instrText>PAGEREF _Toc1360278554 \h</w:instrText>
            </w:r>
            <w:r>
              <w:fldChar w:fldCharType="separate"/>
            </w:r>
            <w:r w:rsidRPr="7885EA44">
              <w:rPr>
                <w:rStyle w:val="Hyperlink"/>
              </w:rPr>
              <w:t>13</w:t>
            </w:r>
            <w:r>
              <w:fldChar w:fldCharType="end"/>
            </w:r>
          </w:hyperlink>
        </w:p>
        <w:p w14:paraId="41DD9DE1" w14:textId="19AE1480" w:rsidR="7885EA44" w:rsidRDefault="7885EA44" w:rsidP="7885EA44">
          <w:pPr>
            <w:pStyle w:val="TOC2"/>
            <w:tabs>
              <w:tab w:val="right" w:leader="dot" w:pos="9360"/>
            </w:tabs>
            <w:rPr>
              <w:rStyle w:val="Hyperlink"/>
            </w:rPr>
          </w:pPr>
          <w:hyperlink w:anchor="_Toc358007812">
            <w:r w:rsidRPr="7885EA44">
              <w:rPr>
                <w:rStyle w:val="Hyperlink"/>
              </w:rPr>
              <w:t>2.4 Methods used</w:t>
            </w:r>
            <w:r>
              <w:tab/>
            </w:r>
            <w:r>
              <w:fldChar w:fldCharType="begin"/>
            </w:r>
            <w:r>
              <w:instrText>PAGEREF _Toc358007812 \h</w:instrText>
            </w:r>
            <w:r>
              <w:fldChar w:fldCharType="separate"/>
            </w:r>
            <w:r w:rsidRPr="7885EA44">
              <w:rPr>
                <w:rStyle w:val="Hyperlink"/>
              </w:rPr>
              <w:t>13</w:t>
            </w:r>
            <w:r>
              <w:fldChar w:fldCharType="end"/>
            </w:r>
          </w:hyperlink>
        </w:p>
        <w:p w14:paraId="3949CE9A" w14:textId="471B6C87" w:rsidR="7885EA44" w:rsidRDefault="7885EA44" w:rsidP="7885EA44">
          <w:pPr>
            <w:pStyle w:val="TOC1"/>
            <w:tabs>
              <w:tab w:val="right" w:leader="dot" w:pos="9360"/>
            </w:tabs>
            <w:rPr>
              <w:rStyle w:val="Hyperlink"/>
            </w:rPr>
          </w:pPr>
          <w:hyperlink w:anchor="_Toc235372603">
            <w:r w:rsidRPr="7885EA44">
              <w:rPr>
                <w:rStyle w:val="Hyperlink"/>
              </w:rPr>
              <w:t>3. Numerical Analysis Using NumPy</w:t>
            </w:r>
            <w:r>
              <w:tab/>
            </w:r>
            <w:r>
              <w:fldChar w:fldCharType="begin"/>
            </w:r>
            <w:r>
              <w:instrText>PAGEREF _Toc235372603 \h</w:instrText>
            </w:r>
            <w:r>
              <w:fldChar w:fldCharType="separate"/>
            </w:r>
            <w:r w:rsidRPr="7885EA44">
              <w:rPr>
                <w:rStyle w:val="Hyperlink"/>
              </w:rPr>
              <w:t>14</w:t>
            </w:r>
            <w:r>
              <w:fldChar w:fldCharType="end"/>
            </w:r>
          </w:hyperlink>
        </w:p>
        <w:p w14:paraId="33596194" w14:textId="2CF27A9F" w:rsidR="7885EA44" w:rsidRDefault="7885EA44" w:rsidP="7885EA44">
          <w:pPr>
            <w:pStyle w:val="TOC2"/>
            <w:tabs>
              <w:tab w:val="right" w:leader="dot" w:pos="9360"/>
            </w:tabs>
            <w:rPr>
              <w:rStyle w:val="Hyperlink"/>
            </w:rPr>
          </w:pPr>
          <w:hyperlink w:anchor="_Toc328535758">
            <w:r w:rsidRPr="7885EA44">
              <w:rPr>
                <w:rStyle w:val="Hyperlink"/>
              </w:rPr>
              <w:t>3.1 Agricultural Matrix</w:t>
            </w:r>
            <w:r>
              <w:tab/>
            </w:r>
            <w:r>
              <w:fldChar w:fldCharType="begin"/>
            </w:r>
            <w:r>
              <w:instrText>PAGEREF _Toc328535758 \h</w:instrText>
            </w:r>
            <w:r>
              <w:fldChar w:fldCharType="separate"/>
            </w:r>
            <w:r w:rsidRPr="7885EA44">
              <w:rPr>
                <w:rStyle w:val="Hyperlink"/>
              </w:rPr>
              <w:t>14</w:t>
            </w:r>
            <w:r>
              <w:fldChar w:fldCharType="end"/>
            </w:r>
          </w:hyperlink>
        </w:p>
        <w:p w14:paraId="376AD44C" w14:textId="52F64664" w:rsidR="7885EA44" w:rsidRDefault="7885EA44" w:rsidP="7885EA44">
          <w:pPr>
            <w:pStyle w:val="TOC2"/>
            <w:tabs>
              <w:tab w:val="right" w:leader="dot" w:pos="9360"/>
            </w:tabs>
            <w:rPr>
              <w:rStyle w:val="Hyperlink"/>
            </w:rPr>
          </w:pPr>
          <w:hyperlink w:anchor="_Toc292233364">
            <w:r w:rsidRPr="7885EA44">
              <w:rPr>
                <w:rStyle w:val="Hyperlink"/>
              </w:rPr>
              <w:t>3.2 South Africa Interest Margin</w:t>
            </w:r>
            <w:r>
              <w:tab/>
            </w:r>
            <w:r>
              <w:fldChar w:fldCharType="begin"/>
            </w:r>
            <w:r>
              <w:instrText>PAGEREF _Toc292233364 \h</w:instrText>
            </w:r>
            <w:r>
              <w:fldChar w:fldCharType="separate"/>
            </w:r>
            <w:r w:rsidRPr="7885EA44">
              <w:rPr>
                <w:rStyle w:val="Hyperlink"/>
              </w:rPr>
              <w:t>14</w:t>
            </w:r>
            <w:r>
              <w:fldChar w:fldCharType="end"/>
            </w:r>
          </w:hyperlink>
        </w:p>
        <w:p w14:paraId="2FAD49F6" w14:textId="436702D4" w:rsidR="7885EA44" w:rsidRDefault="7885EA44" w:rsidP="7885EA44">
          <w:pPr>
            <w:pStyle w:val="TOC2"/>
            <w:tabs>
              <w:tab w:val="right" w:leader="dot" w:pos="9360"/>
            </w:tabs>
            <w:rPr>
              <w:rStyle w:val="Hyperlink"/>
            </w:rPr>
          </w:pPr>
          <w:hyperlink w:anchor="_Toc972704698">
            <w:r w:rsidRPr="7885EA44">
              <w:rPr>
                <w:rStyle w:val="Hyperlink"/>
              </w:rPr>
              <w:t>3.3 Agricultural Relationships</w:t>
            </w:r>
            <w:r>
              <w:tab/>
            </w:r>
            <w:r>
              <w:fldChar w:fldCharType="begin"/>
            </w:r>
            <w:r>
              <w:instrText>PAGEREF _Toc972704698 \h</w:instrText>
            </w:r>
            <w:r>
              <w:fldChar w:fldCharType="separate"/>
            </w:r>
            <w:r w:rsidRPr="7885EA44">
              <w:rPr>
                <w:rStyle w:val="Hyperlink"/>
              </w:rPr>
              <w:t>15</w:t>
            </w:r>
            <w:r>
              <w:fldChar w:fldCharType="end"/>
            </w:r>
          </w:hyperlink>
        </w:p>
        <w:p w14:paraId="6F692E17" w14:textId="2819266E" w:rsidR="7885EA44" w:rsidRDefault="7885EA44" w:rsidP="7885EA44">
          <w:pPr>
            <w:pStyle w:val="TOC1"/>
            <w:tabs>
              <w:tab w:val="right" w:leader="dot" w:pos="9360"/>
            </w:tabs>
            <w:rPr>
              <w:rStyle w:val="Hyperlink"/>
            </w:rPr>
          </w:pPr>
          <w:hyperlink w:anchor="_Toc1028799376">
            <w:r w:rsidRPr="7885EA44">
              <w:rPr>
                <w:rStyle w:val="Hyperlink"/>
              </w:rPr>
              <w:t>4. Visualization and Interpretation</w:t>
            </w:r>
            <w:r>
              <w:tab/>
            </w:r>
            <w:r>
              <w:fldChar w:fldCharType="begin"/>
            </w:r>
            <w:r>
              <w:instrText>PAGEREF _Toc1028799376 \h</w:instrText>
            </w:r>
            <w:r>
              <w:fldChar w:fldCharType="separate"/>
            </w:r>
            <w:r w:rsidRPr="7885EA44">
              <w:rPr>
                <w:rStyle w:val="Hyperlink"/>
              </w:rPr>
              <w:t>15</w:t>
            </w:r>
            <w:r>
              <w:fldChar w:fldCharType="end"/>
            </w:r>
          </w:hyperlink>
        </w:p>
        <w:p w14:paraId="47CC99C3" w14:textId="586ABDA2" w:rsidR="7885EA44" w:rsidRDefault="7885EA44" w:rsidP="7885EA44">
          <w:pPr>
            <w:pStyle w:val="TOC2"/>
            <w:tabs>
              <w:tab w:val="right" w:leader="dot" w:pos="9360"/>
            </w:tabs>
            <w:rPr>
              <w:rStyle w:val="Hyperlink"/>
            </w:rPr>
          </w:pPr>
          <w:hyperlink w:anchor="_Toc989133917">
            <w:r w:rsidRPr="7885EA44">
              <w:rPr>
                <w:rStyle w:val="Hyperlink"/>
              </w:rPr>
              <w:t>4.1 Market Participation Across Countries</w:t>
            </w:r>
            <w:r>
              <w:tab/>
            </w:r>
            <w:r>
              <w:fldChar w:fldCharType="begin"/>
            </w:r>
            <w:r>
              <w:instrText>PAGEREF _Toc989133917 \h</w:instrText>
            </w:r>
            <w:r>
              <w:fldChar w:fldCharType="separate"/>
            </w:r>
            <w:r w:rsidRPr="7885EA44">
              <w:rPr>
                <w:rStyle w:val="Hyperlink"/>
              </w:rPr>
              <w:t>15</w:t>
            </w:r>
            <w:r>
              <w:fldChar w:fldCharType="end"/>
            </w:r>
          </w:hyperlink>
        </w:p>
        <w:p w14:paraId="1F758C5F" w14:textId="6842E71C" w:rsidR="7885EA44" w:rsidRDefault="7885EA44" w:rsidP="7885EA44">
          <w:pPr>
            <w:pStyle w:val="TOC2"/>
            <w:tabs>
              <w:tab w:val="right" w:leader="dot" w:pos="9360"/>
            </w:tabs>
            <w:rPr>
              <w:rStyle w:val="Hyperlink"/>
            </w:rPr>
          </w:pPr>
          <w:hyperlink w:anchor="_Toc941268968">
            <w:r w:rsidRPr="7885EA44">
              <w:rPr>
                <w:rStyle w:val="Hyperlink"/>
              </w:rPr>
              <w:t>4.2 Fertilizer Use Compared with Market Participation</w:t>
            </w:r>
            <w:r>
              <w:tab/>
            </w:r>
            <w:r>
              <w:fldChar w:fldCharType="begin"/>
            </w:r>
            <w:r>
              <w:instrText>PAGEREF _Toc941268968 \h</w:instrText>
            </w:r>
            <w:r>
              <w:fldChar w:fldCharType="separate"/>
            </w:r>
            <w:r w:rsidRPr="7885EA44">
              <w:rPr>
                <w:rStyle w:val="Hyperlink"/>
              </w:rPr>
              <w:t>16</w:t>
            </w:r>
            <w:r>
              <w:fldChar w:fldCharType="end"/>
            </w:r>
          </w:hyperlink>
        </w:p>
        <w:p w14:paraId="50ACEABF" w14:textId="71E447F6" w:rsidR="7885EA44" w:rsidRDefault="7885EA44" w:rsidP="7885EA44">
          <w:pPr>
            <w:pStyle w:val="TOC2"/>
            <w:tabs>
              <w:tab w:val="right" w:leader="dot" w:pos="9360"/>
            </w:tabs>
            <w:rPr>
              <w:rStyle w:val="Hyperlink"/>
            </w:rPr>
          </w:pPr>
          <w:hyperlink w:anchor="_Toc1295527370">
            <w:r w:rsidRPr="7885EA44">
              <w:rPr>
                <w:rStyle w:val="Hyperlink"/>
              </w:rPr>
              <w:t>4.3 Supporting agricultural visuals</w:t>
            </w:r>
            <w:r>
              <w:tab/>
            </w:r>
            <w:r>
              <w:fldChar w:fldCharType="begin"/>
            </w:r>
            <w:r>
              <w:instrText>PAGEREF _Toc1295527370 \h</w:instrText>
            </w:r>
            <w:r>
              <w:fldChar w:fldCharType="separate"/>
            </w:r>
            <w:r w:rsidRPr="7885EA44">
              <w:rPr>
                <w:rStyle w:val="Hyperlink"/>
              </w:rPr>
              <w:t>17</w:t>
            </w:r>
            <w:r>
              <w:fldChar w:fldCharType="end"/>
            </w:r>
          </w:hyperlink>
        </w:p>
        <w:p w14:paraId="55706725" w14:textId="67198C41" w:rsidR="7885EA44" w:rsidRDefault="7885EA44" w:rsidP="7885EA44">
          <w:pPr>
            <w:pStyle w:val="TOC1"/>
            <w:tabs>
              <w:tab w:val="right" w:leader="dot" w:pos="9360"/>
            </w:tabs>
            <w:rPr>
              <w:rStyle w:val="Hyperlink"/>
            </w:rPr>
          </w:pPr>
          <w:hyperlink w:anchor="_Toc1218962578">
            <w:r w:rsidRPr="7885EA44">
              <w:rPr>
                <w:rStyle w:val="Hyperlink"/>
              </w:rPr>
              <w:t>5. Database Integration</w:t>
            </w:r>
            <w:r>
              <w:tab/>
            </w:r>
            <w:r>
              <w:fldChar w:fldCharType="begin"/>
            </w:r>
            <w:r>
              <w:instrText>PAGEREF _Toc1218962578 \h</w:instrText>
            </w:r>
            <w:r>
              <w:fldChar w:fldCharType="separate"/>
            </w:r>
            <w:r w:rsidRPr="7885EA44">
              <w:rPr>
                <w:rStyle w:val="Hyperlink"/>
              </w:rPr>
              <w:t>17</w:t>
            </w:r>
            <w:r>
              <w:fldChar w:fldCharType="end"/>
            </w:r>
          </w:hyperlink>
        </w:p>
        <w:p w14:paraId="2A477017" w14:textId="1F2B23D6" w:rsidR="7885EA44" w:rsidRDefault="7885EA44" w:rsidP="7885EA44">
          <w:pPr>
            <w:pStyle w:val="TOC2"/>
            <w:tabs>
              <w:tab w:val="right" w:leader="dot" w:pos="9360"/>
            </w:tabs>
            <w:rPr>
              <w:rStyle w:val="Hyperlink"/>
            </w:rPr>
          </w:pPr>
          <w:hyperlink w:anchor="_Toc15076175">
            <w:r w:rsidRPr="7885EA44">
              <w:rPr>
                <w:rStyle w:val="Hyperlink"/>
              </w:rPr>
              <w:t>5.2 Import and Query</w:t>
            </w:r>
            <w:r>
              <w:tab/>
            </w:r>
            <w:r>
              <w:fldChar w:fldCharType="begin"/>
            </w:r>
            <w:r>
              <w:instrText>PAGEREF _Toc15076175 \h</w:instrText>
            </w:r>
            <w:r>
              <w:fldChar w:fldCharType="separate"/>
            </w:r>
            <w:r w:rsidRPr="7885EA44">
              <w:rPr>
                <w:rStyle w:val="Hyperlink"/>
              </w:rPr>
              <w:t>18</w:t>
            </w:r>
            <w:r>
              <w:fldChar w:fldCharType="end"/>
            </w:r>
          </w:hyperlink>
        </w:p>
        <w:p w14:paraId="290E4F76" w14:textId="6850824A" w:rsidR="7885EA44" w:rsidRDefault="7885EA44" w:rsidP="7885EA44">
          <w:pPr>
            <w:pStyle w:val="TOC1"/>
            <w:tabs>
              <w:tab w:val="right" w:leader="dot" w:pos="9360"/>
            </w:tabs>
            <w:rPr>
              <w:rStyle w:val="Hyperlink"/>
            </w:rPr>
          </w:pPr>
          <w:hyperlink w:anchor="_Toc631285059">
            <w:r w:rsidRPr="7885EA44">
              <w:rPr>
                <w:rStyle w:val="Hyperlink"/>
              </w:rPr>
              <w:t>6. Python Integration of the Datasets</w:t>
            </w:r>
            <w:r>
              <w:tab/>
            </w:r>
            <w:r>
              <w:fldChar w:fldCharType="begin"/>
            </w:r>
            <w:r>
              <w:instrText>PAGEREF _Toc631285059 \h</w:instrText>
            </w:r>
            <w:r>
              <w:fldChar w:fldCharType="separate"/>
            </w:r>
            <w:r w:rsidRPr="7885EA44">
              <w:rPr>
                <w:rStyle w:val="Hyperlink"/>
              </w:rPr>
              <w:t>19</w:t>
            </w:r>
            <w:r>
              <w:fldChar w:fldCharType="end"/>
            </w:r>
          </w:hyperlink>
        </w:p>
        <w:p w14:paraId="13A490DE" w14:textId="0A2B210F" w:rsidR="7885EA44" w:rsidRDefault="7885EA44" w:rsidP="7885EA44">
          <w:pPr>
            <w:pStyle w:val="TOC3"/>
            <w:tabs>
              <w:tab w:val="right" w:leader="dot" w:pos="9360"/>
            </w:tabs>
            <w:rPr>
              <w:rStyle w:val="Hyperlink"/>
            </w:rPr>
          </w:pPr>
          <w:hyperlink w:anchor="_Toc1406439609">
            <w:r w:rsidRPr="7885EA44">
              <w:rPr>
                <w:rStyle w:val="Hyperlink"/>
              </w:rPr>
              <w:t>6.1 Conditional formatting applied (in Excel)</w:t>
            </w:r>
            <w:r>
              <w:tab/>
            </w:r>
            <w:r>
              <w:fldChar w:fldCharType="begin"/>
            </w:r>
            <w:r>
              <w:instrText>PAGEREF _Toc1406439609 \h</w:instrText>
            </w:r>
            <w:r>
              <w:fldChar w:fldCharType="separate"/>
            </w:r>
            <w:r w:rsidRPr="7885EA44">
              <w:rPr>
                <w:rStyle w:val="Hyperlink"/>
              </w:rPr>
              <w:t>19</w:t>
            </w:r>
            <w:r>
              <w:fldChar w:fldCharType="end"/>
            </w:r>
          </w:hyperlink>
        </w:p>
        <w:p w14:paraId="46460D67" w14:textId="3D522EFD" w:rsidR="7885EA44" w:rsidRDefault="7885EA44" w:rsidP="7885EA44">
          <w:pPr>
            <w:pStyle w:val="TOC3"/>
            <w:tabs>
              <w:tab w:val="right" w:leader="dot" w:pos="9360"/>
            </w:tabs>
            <w:rPr>
              <w:rStyle w:val="Hyperlink"/>
            </w:rPr>
          </w:pPr>
          <w:hyperlink w:anchor="_Toc222994509">
            <w:r w:rsidRPr="7885EA44">
              <w:rPr>
                <w:rStyle w:val="Hyperlink"/>
              </w:rPr>
              <w:t>6.2 Charts built (in Excel)</w:t>
            </w:r>
            <w:r>
              <w:tab/>
            </w:r>
            <w:r>
              <w:fldChar w:fldCharType="begin"/>
            </w:r>
            <w:r>
              <w:instrText>PAGEREF _Toc222994509 \h</w:instrText>
            </w:r>
            <w:r>
              <w:fldChar w:fldCharType="separate"/>
            </w:r>
            <w:r w:rsidRPr="7885EA44">
              <w:rPr>
                <w:rStyle w:val="Hyperlink"/>
              </w:rPr>
              <w:t>19</w:t>
            </w:r>
            <w:r>
              <w:fldChar w:fldCharType="end"/>
            </w:r>
          </w:hyperlink>
        </w:p>
        <w:p w14:paraId="0C1CE444" w14:textId="05FEDF0F" w:rsidR="7885EA44" w:rsidRDefault="7885EA44" w:rsidP="7885EA44">
          <w:pPr>
            <w:pStyle w:val="TOC1"/>
            <w:tabs>
              <w:tab w:val="right" w:leader="dot" w:pos="9360"/>
            </w:tabs>
            <w:rPr>
              <w:rStyle w:val="Hyperlink"/>
            </w:rPr>
          </w:pPr>
          <w:hyperlink w:anchor="_Toc999011399">
            <w:r w:rsidRPr="7885EA44">
              <w:rPr>
                <w:rStyle w:val="Hyperlink"/>
              </w:rPr>
              <w:t>7. Demo and Conclusion</w:t>
            </w:r>
            <w:r>
              <w:tab/>
            </w:r>
            <w:r>
              <w:fldChar w:fldCharType="begin"/>
            </w:r>
            <w:r>
              <w:instrText>PAGEREF _Toc999011399 \h</w:instrText>
            </w:r>
            <w:r>
              <w:fldChar w:fldCharType="separate"/>
            </w:r>
            <w:r w:rsidRPr="7885EA44">
              <w:rPr>
                <w:rStyle w:val="Hyperlink"/>
              </w:rPr>
              <w:t>20</w:t>
            </w:r>
            <w:r>
              <w:fldChar w:fldCharType="end"/>
            </w:r>
          </w:hyperlink>
        </w:p>
        <w:p w14:paraId="520EB120" w14:textId="2558A4A7" w:rsidR="7885EA44" w:rsidRDefault="7885EA44" w:rsidP="7885EA44">
          <w:pPr>
            <w:pStyle w:val="TOC2"/>
            <w:tabs>
              <w:tab w:val="right" w:leader="dot" w:pos="9360"/>
            </w:tabs>
            <w:rPr>
              <w:rStyle w:val="Hyperlink"/>
            </w:rPr>
          </w:pPr>
          <w:hyperlink w:anchor="_Toc399855834">
            <w:r w:rsidRPr="7885EA44">
              <w:rPr>
                <w:rStyle w:val="Hyperlink"/>
              </w:rPr>
              <w:t>7.1 Main Findings</w:t>
            </w:r>
            <w:r>
              <w:tab/>
            </w:r>
            <w:r>
              <w:fldChar w:fldCharType="begin"/>
            </w:r>
            <w:r>
              <w:instrText>PAGEREF _Toc399855834 \h</w:instrText>
            </w:r>
            <w:r>
              <w:fldChar w:fldCharType="separate"/>
            </w:r>
            <w:r w:rsidRPr="7885EA44">
              <w:rPr>
                <w:rStyle w:val="Hyperlink"/>
              </w:rPr>
              <w:t>20</w:t>
            </w:r>
            <w:r>
              <w:fldChar w:fldCharType="end"/>
            </w:r>
          </w:hyperlink>
        </w:p>
        <w:p w14:paraId="75854D97" w14:textId="6EFB6D43" w:rsidR="7885EA44" w:rsidRDefault="7885EA44" w:rsidP="7885EA44">
          <w:pPr>
            <w:pStyle w:val="TOC2"/>
            <w:tabs>
              <w:tab w:val="right" w:leader="dot" w:pos="9360"/>
            </w:tabs>
            <w:rPr>
              <w:rStyle w:val="Hyperlink"/>
            </w:rPr>
          </w:pPr>
          <w:hyperlink w:anchor="_Toc409512508">
            <w:r w:rsidRPr="7885EA44">
              <w:rPr>
                <w:rStyle w:val="Hyperlink"/>
              </w:rPr>
              <w:t>Conclusion: Does the MAIN QUESTION Hold?</w:t>
            </w:r>
            <w:r>
              <w:tab/>
            </w:r>
            <w:r>
              <w:fldChar w:fldCharType="begin"/>
            </w:r>
            <w:r>
              <w:instrText>PAGEREF _Toc409512508 \h</w:instrText>
            </w:r>
            <w:r>
              <w:fldChar w:fldCharType="separate"/>
            </w:r>
            <w:r w:rsidRPr="7885EA44">
              <w:rPr>
                <w:rStyle w:val="Hyperlink"/>
              </w:rPr>
              <w:t>21</w:t>
            </w:r>
            <w:r>
              <w:fldChar w:fldCharType="end"/>
            </w:r>
          </w:hyperlink>
        </w:p>
        <w:p w14:paraId="1F3DE419" w14:textId="69299CA8" w:rsidR="7885EA44" w:rsidRDefault="7885EA44" w:rsidP="7885EA44">
          <w:pPr>
            <w:pStyle w:val="TOC1"/>
            <w:tabs>
              <w:tab w:val="right" w:leader="dot" w:pos="9360"/>
            </w:tabs>
            <w:rPr>
              <w:rStyle w:val="Hyperlink"/>
            </w:rPr>
          </w:pPr>
          <w:hyperlink w:anchor="_Toc667894951">
            <w:r w:rsidRPr="7885EA44">
              <w:rPr>
                <w:rStyle w:val="Hyperlink"/>
              </w:rPr>
              <w:t>References and Supporting Evidence</w:t>
            </w:r>
            <w:r>
              <w:tab/>
            </w:r>
            <w:r>
              <w:fldChar w:fldCharType="begin"/>
            </w:r>
            <w:r>
              <w:instrText>PAGEREF _Toc667894951 \h</w:instrText>
            </w:r>
            <w:r>
              <w:fldChar w:fldCharType="separate"/>
            </w:r>
            <w:r w:rsidRPr="7885EA44">
              <w:rPr>
                <w:rStyle w:val="Hyperlink"/>
              </w:rPr>
              <w:t>21</w:t>
            </w:r>
            <w:r>
              <w:fldChar w:fldCharType="end"/>
            </w:r>
          </w:hyperlink>
        </w:p>
        <w:p w14:paraId="72EA1334" w14:textId="6AA3AF0F" w:rsidR="7885EA44" w:rsidRDefault="7885EA44" w:rsidP="7885EA44">
          <w:pPr>
            <w:pStyle w:val="TOC2"/>
            <w:tabs>
              <w:tab w:val="right" w:leader="dot" w:pos="9360"/>
            </w:tabs>
            <w:rPr>
              <w:rStyle w:val="Hyperlink"/>
            </w:rPr>
          </w:pPr>
          <w:hyperlink w:anchor="_Toc42226651">
            <w:r w:rsidRPr="7885EA44">
              <w:rPr>
                <w:rStyle w:val="Hyperlink"/>
              </w:rPr>
              <w:t>Data Sources Used</w:t>
            </w:r>
            <w:r>
              <w:tab/>
            </w:r>
            <w:r>
              <w:fldChar w:fldCharType="begin"/>
            </w:r>
            <w:r>
              <w:instrText>PAGEREF _Toc42226651 \h</w:instrText>
            </w:r>
            <w:r>
              <w:fldChar w:fldCharType="separate"/>
            </w:r>
            <w:r w:rsidRPr="7885EA44">
              <w:rPr>
                <w:rStyle w:val="Hyperlink"/>
              </w:rPr>
              <w:t>21</w:t>
            </w:r>
            <w:r>
              <w:fldChar w:fldCharType="end"/>
            </w:r>
          </w:hyperlink>
        </w:p>
        <w:p w14:paraId="2737774C" w14:textId="50B45C2C" w:rsidR="7885EA44" w:rsidRDefault="7885EA44" w:rsidP="7885EA44">
          <w:pPr>
            <w:pStyle w:val="TOC2"/>
            <w:tabs>
              <w:tab w:val="right" w:leader="dot" w:pos="9360"/>
            </w:tabs>
            <w:rPr>
              <w:rStyle w:val="Hyperlink"/>
            </w:rPr>
          </w:pPr>
          <w:hyperlink w:anchor="_Toc201926595">
            <w:r w:rsidRPr="7885EA44">
              <w:rPr>
                <w:rStyle w:val="Hyperlink"/>
              </w:rPr>
              <w:t>Software / Analytical Tools</w:t>
            </w:r>
            <w:r>
              <w:tab/>
            </w:r>
            <w:r>
              <w:fldChar w:fldCharType="begin"/>
            </w:r>
            <w:r>
              <w:instrText>PAGEREF _Toc201926595 \h</w:instrText>
            </w:r>
            <w:r>
              <w:fldChar w:fldCharType="separate"/>
            </w:r>
            <w:r w:rsidRPr="7885EA44">
              <w:rPr>
                <w:rStyle w:val="Hyperlink"/>
              </w:rPr>
              <w:t>21</w:t>
            </w:r>
            <w:r>
              <w:fldChar w:fldCharType="end"/>
            </w:r>
          </w:hyperlink>
        </w:p>
        <w:p w14:paraId="36B81200" w14:textId="2B90EE9B" w:rsidR="7885EA44" w:rsidRDefault="7885EA44">
          <w:r>
            <w:fldChar w:fldCharType="end"/>
          </w:r>
        </w:p>
      </w:sdtContent>
    </w:sdt>
    <w:p w14:paraId="6736362F" w14:textId="05CE86F9" w:rsidR="7885EA44" w:rsidRDefault="7885EA44" w:rsidP="7885EA44">
      <w:pPr>
        <w:spacing w:before="240" w:after="0" w:line="257" w:lineRule="auto"/>
        <w:rPr>
          <w:rFonts w:ascii="Aptos Display" w:eastAsia="Aptos Display" w:hAnsi="Aptos Display" w:cs="Aptos Display"/>
          <w:color w:val="0F4761" w:themeColor="accent1" w:themeShade="BF"/>
          <w:sz w:val="32"/>
          <w:szCs w:val="32"/>
        </w:rPr>
      </w:pPr>
    </w:p>
    <w:p w14:paraId="55BB2EE3" w14:textId="4AD1D0D5" w:rsidR="005E0C7F" w:rsidRDefault="03F4C1C5" w:rsidP="7885EA44">
      <w:pPr>
        <w:pStyle w:val="Heading1"/>
        <w:spacing w:line="276" w:lineRule="auto"/>
        <w:rPr>
          <w:rFonts w:ascii="Aptos Display" w:eastAsia="Aptos Display" w:hAnsi="Aptos Display" w:cs="Aptos Display"/>
        </w:rPr>
      </w:pPr>
      <w:bookmarkStart w:id="0" w:name="_Toc1922779899"/>
      <w:r w:rsidRPr="7885EA44">
        <w:rPr>
          <w:rFonts w:ascii="Aptos Display" w:eastAsia="Aptos Display" w:hAnsi="Aptos Display" w:cs="Aptos Display"/>
        </w:rPr>
        <w:t>1. Introduction</w:t>
      </w:r>
      <w:bookmarkEnd w:id="0"/>
    </w:p>
    <w:p w14:paraId="2DCC3257" w14:textId="49284D54" w:rsidR="005E0C7F" w:rsidRDefault="03F4C1C5" w:rsidP="5D024212">
      <w:pPr>
        <w:spacing w:line="276" w:lineRule="auto"/>
      </w:pPr>
      <w:r w:rsidRPr="5D024212">
        <w:rPr>
          <w:rFonts w:ascii="Aptos" w:eastAsia="Aptos" w:hAnsi="Aptos" w:cs="Aptos"/>
        </w:rPr>
        <w:t>South Africa plays an important role in the regional economy, including agriculture, trade and finance. Changes in financial conditions can affect the cost of borrowing for businesses and households. This makes it useful to ask whether changes in South Africa's borrowing-cost environment occur alongside changes in farming activity across the wider Sub-Saharan African region.</w:t>
      </w:r>
    </w:p>
    <w:p w14:paraId="30BA3750" w14:textId="5DF93538" w:rsidR="005E0C7F" w:rsidRDefault="03F4C1C5" w:rsidP="5D024212">
      <w:pPr>
        <w:spacing w:line="276" w:lineRule="auto"/>
      </w:pPr>
      <w:r w:rsidRPr="5D024212">
        <w:rPr>
          <w:rFonts w:ascii="Aptos" w:eastAsia="Aptos" w:hAnsi="Aptos" w:cs="Aptos"/>
        </w:rPr>
        <w:t xml:space="preserve">This report investigates a simple question: </w:t>
      </w:r>
      <w:r w:rsidRPr="5D024212">
        <w:rPr>
          <w:rFonts w:ascii="Aptos" w:eastAsia="Aptos" w:hAnsi="Aptos" w:cs="Aptos"/>
          <w:b/>
          <w:bCs/>
        </w:rPr>
        <w:t>when South Africa's Interest Margin to Gross Income is higher, does agricultural activity in the surrounding region look weaker in the same year?</w:t>
      </w:r>
      <w:r w:rsidRPr="5D024212">
        <w:rPr>
          <w:rFonts w:ascii="Aptos" w:eastAsia="Aptos" w:hAnsi="Aptos" w:cs="Aptos"/>
        </w:rPr>
        <w:t xml:space="preserve"> Farming activity is represented mainly by inorganic fertilizer use and agricultural market participation.</w:t>
      </w:r>
    </w:p>
    <w:p w14:paraId="30D344EC" w14:textId="3E610E75" w:rsidR="005E0C7F" w:rsidRDefault="03F4C1C5" w:rsidP="7885EA44">
      <w:pPr>
        <w:pStyle w:val="Heading2"/>
        <w:spacing w:line="276" w:lineRule="auto"/>
        <w:rPr>
          <w:rFonts w:ascii="Aptos Display" w:eastAsia="Aptos Display" w:hAnsi="Aptos Display" w:cs="Aptos Display"/>
        </w:rPr>
      </w:pPr>
      <w:bookmarkStart w:id="1" w:name="_Toc1498747263"/>
      <w:r w:rsidRPr="7885EA44">
        <w:rPr>
          <w:rFonts w:ascii="Aptos Display" w:eastAsia="Aptos Display" w:hAnsi="Aptos Display" w:cs="Aptos Display"/>
        </w:rPr>
        <w:t>The datasets</w:t>
      </w:r>
      <w:bookmarkEnd w:id="1"/>
    </w:p>
    <w:tbl>
      <w:tblPr>
        <w:tblStyle w:val="TableGrid"/>
        <w:tblW w:w="0" w:type="auto"/>
        <w:tblLook w:val="04A0" w:firstRow="1" w:lastRow="0" w:firstColumn="1" w:lastColumn="0" w:noHBand="0" w:noVBand="1"/>
      </w:tblPr>
      <w:tblGrid>
        <w:gridCol w:w="3120"/>
        <w:gridCol w:w="3091"/>
        <w:gridCol w:w="3129"/>
      </w:tblGrid>
      <w:tr w:rsidR="5D024212" w14:paraId="69F1AC01" w14:textId="77777777" w:rsidTr="5D024212">
        <w:trPr>
          <w:trHeight w:val="300"/>
        </w:trPr>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35E54812" w14:textId="3728387A" w:rsidR="5D024212" w:rsidRDefault="5D024212" w:rsidP="5D024212">
            <w:r w:rsidRPr="5D024212">
              <w:rPr>
                <w:rFonts w:ascii="Aptos" w:eastAsia="Aptos" w:hAnsi="Aptos" w:cs="Aptos"/>
                <w:b/>
                <w:bCs/>
                <w:color w:val="000000" w:themeColor="text1"/>
                <w:sz w:val="17"/>
                <w:szCs w:val="17"/>
              </w:rPr>
              <w:t>Dataset</w:t>
            </w:r>
          </w:p>
        </w:tc>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251CA56E" w14:textId="71EBA8B0" w:rsidR="5D024212" w:rsidRDefault="5D024212" w:rsidP="5D024212">
            <w:r w:rsidRPr="5D024212">
              <w:rPr>
                <w:rFonts w:ascii="Aptos" w:eastAsia="Aptos" w:hAnsi="Aptos" w:cs="Aptos"/>
                <w:b/>
                <w:bCs/>
                <w:color w:val="000000" w:themeColor="text1"/>
                <w:sz w:val="17"/>
                <w:szCs w:val="17"/>
              </w:rPr>
              <w:t>Role in the story</w:t>
            </w:r>
          </w:p>
        </w:tc>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147D0DE0" w14:textId="01A280C2" w:rsidR="5D024212" w:rsidRDefault="5D024212" w:rsidP="5D024212">
            <w:r w:rsidRPr="5D024212">
              <w:rPr>
                <w:rFonts w:ascii="Aptos" w:eastAsia="Aptos" w:hAnsi="Aptos" w:cs="Aptos"/>
                <w:b/>
                <w:bCs/>
                <w:color w:val="000000" w:themeColor="text1"/>
                <w:sz w:val="17"/>
                <w:szCs w:val="17"/>
              </w:rPr>
              <w:t>Key information</w:t>
            </w:r>
          </w:p>
        </w:tc>
      </w:tr>
      <w:tr w:rsidR="5D024212" w14:paraId="74F2642F" w14:textId="77777777" w:rsidTr="5D024212">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47C5E" w14:textId="63591EBD" w:rsidR="5D024212" w:rsidRDefault="5D024212" w:rsidP="5D024212">
            <w:r w:rsidRPr="5D024212">
              <w:rPr>
                <w:rFonts w:ascii="Aptos" w:eastAsia="Aptos" w:hAnsi="Aptos" w:cs="Aptos"/>
                <w:sz w:val="16"/>
                <w:szCs w:val="16"/>
              </w:rPr>
              <w:t>AgriConnect Indicators</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8584CF" w14:textId="063DCFA7" w:rsidR="5D024212" w:rsidRDefault="5D024212" w:rsidP="5D024212">
            <w:r w:rsidRPr="5D024212">
              <w:rPr>
                <w:rFonts w:ascii="Aptos" w:eastAsia="Aptos" w:hAnsi="Aptos" w:cs="Aptos"/>
                <w:sz w:val="16"/>
                <w:szCs w:val="16"/>
              </w:rPr>
              <w:t>Regional farming activity</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85F32" w14:textId="10AA5A3E" w:rsidR="5D024212" w:rsidRDefault="5D024212" w:rsidP="5D024212">
            <w:r w:rsidRPr="5D024212">
              <w:rPr>
                <w:rFonts w:ascii="Aptos" w:eastAsia="Aptos" w:hAnsi="Aptos" w:cs="Aptos"/>
                <w:sz w:val="16"/>
                <w:szCs w:val="16"/>
              </w:rPr>
              <w:t>Fertilizer use; market participation; production and input indicators</w:t>
            </w:r>
          </w:p>
        </w:tc>
      </w:tr>
      <w:tr w:rsidR="5D024212" w14:paraId="0C73131F" w14:textId="77777777" w:rsidTr="5D024212">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9A5CD" w14:textId="6C320096" w:rsidR="5D024212" w:rsidRDefault="5D024212" w:rsidP="5D024212">
            <w:r w:rsidRPr="5D024212">
              <w:rPr>
                <w:rFonts w:ascii="Aptos" w:eastAsia="Aptos" w:hAnsi="Aptos" w:cs="Aptos"/>
                <w:sz w:val="16"/>
                <w:szCs w:val="16"/>
              </w:rPr>
              <w:t>Interest Margin to Gross Income (Core FSI)</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39149" w14:textId="0E67EB90" w:rsidR="5D024212" w:rsidRDefault="5D024212" w:rsidP="5D024212">
            <w:r w:rsidRPr="5D024212">
              <w:rPr>
                <w:rFonts w:ascii="Aptos" w:eastAsia="Aptos" w:hAnsi="Aptos" w:cs="Aptos"/>
                <w:sz w:val="16"/>
                <w:szCs w:val="16"/>
              </w:rPr>
              <w:t>South African financial context</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6BAB95" w14:textId="35531D3E" w:rsidR="5D024212" w:rsidRDefault="5D024212" w:rsidP="5D024212">
            <w:r w:rsidRPr="5D024212">
              <w:rPr>
                <w:rFonts w:ascii="Aptos" w:eastAsia="Aptos" w:hAnsi="Aptos" w:cs="Aptos"/>
                <w:sz w:val="16"/>
                <w:szCs w:val="16"/>
              </w:rPr>
              <w:t>Annual South Africa series, 2008–2024</w:t>
            </w:r>
          </w:p>
        </w:tc>
      </w:tr>
    </w:tbl>
    <w:p w14:paraId="38EF6117" w14:textId="19E3AEBB" w:rsidR="005E0C7F" w:rsidRDefault="03F4C1C5" w:rsidP="7885EA44">
      <w:pPr>
        <w:spacing w:line="276" w:lineRule="auto"/>
      </w:pPr>
      <w:r w:rsidRPr="7885EA44">
        <w:rPr>
          <w:rFonts w:ascii="Aptos" w:eastAsia="Aptos" w:hAnsi="Aptos" w:cs="Aptos"/>
        </w:rPr>
        <w:t>The datasets are connected through year.The analysis uses annual regional agricultural information alongside South Africa's annual interest-margin series.</w:t>
      </w:r>
    </w:p>
    <w:p w14:paraId="07F45B5A" w14:textId="55934423" w:rsidR="005E0C7F" w:rsidRDefault="03F4C1C5" w:rsidP="5D024212">
      <w:pPr>
        <w:spacing w:line="276" w:lineRule="auto"/>
      </w:pPr>
      <w:r>
        <w:rPr>
          <w:noProof/>
        </w:rPr>
        <w:drawing>
          <wp:inline distT="0" distB="0" distL="0" distR="0" wp14:anchorId="08947A57" wp14:editId="555D0863">
            <wp:extent cx="4377796" cy="1663574"/>
            <wp:effectExtent l="0" t="0" r="0" b="0"/>
            <wp:docPr id="111371669" name="drawing">
              <a:extLst xmlns:a="http://schemas.openxmlformats.org/drawingml/2006/main">
                <a:ext uri="{FF2B5EF4-FFF2-40B4-BE49-F238E27FC236}">
                  <a16:creationId xmlns:a16="http://schemas.microsoft.com/office/drawing/2014/main" id="{E8F0FBE0-0F52-48DE-BA1B-F94D2AE67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669" name="Picture 111371669"/>
                    <pic:cNvPicPr/>
                  </pic:nvPicPr>
                  <pic:blipFill>
                    <a:blip r:embed="rId5">
                      <a:extLst>
                        <a:ext uri="{28A0092B-C50C-407E-A947-70E740481C1C}">
                          <a14:useLocalDpi xmlns:a14="http://schemas.microsoft.com/office/drawing/2010/main"/>
                        </a:ext>
                      </a:extLst>
                    </a:blip>
                    <a:stretch>
                      <a:fillRect/>
                    </a:stretch>
                  </pic:blipFill>
                  <pic:spPr>
                    <a:xfrm>
                      <a:off x="0" y="0"/>
                      <a:ext cx="4377796" cy="1663574"/>
                    </a:xfrm>
                    <a:prstGeom prst="rect">
                      <a:avLst/>
                    </a:prstGeom>
                  </pic:spPr>
                </pic:pic>
              </a:graphicData>
            </a:graphic>
          </wp:inline>
        </w:drawing>
      </w:r>
    </w:p>
    <w:p w14:paraId="2DAF27B8" w14:textId="7E854943" w:rsidR="005E0C7F" w:rsidRDefault="03F4C1C5" w:rsidP="5D024212">
      <w:pPr>
        <w:spacing w:line="276" w:lineRule="auto"/>
      </w:pPr>
      <w:r w:rsidRPr="7885EA44">
        <w:rPr>
          <w:rFonts w:ascii="Aptos" w:eastAsia="Aptos" w:hAnsi="Aptos" w:cs="Aptos"/>
          <w:b/>
          <w:bCs/>
          <w:sz w:val="18"/>
          <w:szCs w:val="18"/>
        </w:rPr>
        <w:t>Figure 1: Main Analysis</w:t>
      </w:r>
    </w:p>
    <w:p w14:paraId="4EF4D5E2" w14:textId="2ACA4C7E" w:rsidR="005E0C7F" w:rsidRDefault="03F4C1C5" w:rsidP="7885EA44">
      <w:pPr>
        <w:pStyle w:val="Heading1"/>
        <w:spacing w:line="276" w:lineRule="auto"/>
        <w:rPr>
          <w:rFonts w:ascii="Aptos Display" w:eastAsia="Aptos Display" w:hAnsi="Aptos Display" w:cs="Aptos Display"/>
        </w:rPr>
      </w:pPr>
      <w:bookmarkStart w:id="2" w:name="_Toc1656561965"/>
      <w:r w:rsidRPr="7885EA44">
        <w:rPr>
          <w:rFonts w:ascii="Aptos Display" w:eastAsia="Aptos Display" w:hAnsi="Aptos Display" w:cs="Aptos Display"/>
        </w:rPr>
        <w:t>2. Data Preparation</w:t>
      </w:r>
      <w:bookmarkEnd w:id="2"/>
    </w:p>
    <w:p w14:paraId="673A9A11" w14:textId="7BD5E360" w:rsidR="005E0C7F" w:rsidRDefault="03F4C1C5" w:rsidP="5D024212">
      <w:pPr>
        <w:spacing w:line="276" w:lineRule="auto"/>
      </w:pPr>
      <w:r w:rsidRPr="5D024212">
        <w:rPr>
          <w:rFonts w:ascii="Aptos" w:eastAsia="Aptos" w:hAnsi="Aptos" w:cs="Aptos"/>
        </w:rPr>
        <w:t>The first stage was to load, inspect, and clean both datasets. Python and Pandas were used to load the CSV files, inspect their structure, select relevant fields, filter observations, handle missing values, and remove duplicates. NumPy was also imported, but its main analytical use appears in the separate numerical-analysis section, where it performs array and statistical calculations.</w:t>
      </w:r>
    </w:p>
    <w:p w14:paraId="29C6D5CA" w14:textId="73EC547D" w:rsidR="005E0C7F" w:rsidRDefault="03F4C1C5" w:rsidP="7885EA44">
      <w:pPr>
        <w:pStyle w:val="Heading2"/>
        <w:spacing w:line="276" w:lineRule="auto"/>
        <w:rPr>
          <w:rFonts w:ascii="Aptos Display" w:eastAsia="Aptos Display" w:hAnsi="Aptos Display" w:cs="Aptos Display"/>
        </w:rPr>
      </w:pPr>
      <w:bookmarkStart w:id="3" w:name="_Toc1201688913"/>
      <w:r w:rsidRPr="7885EA44">
        <w:rPr>
          <w:rFonts w:ascii="Aptos Display" w:eastAsia="Aptos Display" w:hAnsi="Aptos Display" w:cs="Aptos Display"/>
        </w:rPr>
        <w:t>2.1 AgriConnect Indicators</w:t>
      </w:r>
      <w:bookmarkEnd w:id="3"/>
    </w:p>
    <w:p w14:paraId="0B333FA5" w14:textId="233FA1A8" w:rsidR="005E0C7F" w:rsidRDefault="03F4C1C5" w:rsidP="5D024212">
      <w:pPr>
        <w:spacing w:line="276" w:lineRule="auto"/>
      </w:pPr>
      <w:r w:rsidRPr="5D024212">
        <w:rPr>
          <w:rFonts w:ascii="Aptos" w:eastAsia="Aptos" w:hAnsi="Aptos" w:cs="Aptos"/>
        </w:rPr>
        <w:t>Seven agricultural indicators were selected, including market participation, average sold production, inorganic fertilizer use, improved seed use, irrigation, median cultivated area, and median agricultural production value. Non-informative label columns containing 'Not applicable' were removed.</w:t>
      </w:r>
    </w:p>
    <w:p w14:paraId="64B3AE06" w14:textId="59DE20AC" w:rsidR="005E0C7F" w:rsidRDefault="03F4C1C5" w:rsidP="7885EA44">
      <w:pPr>
        <w:pStyle w:val="Heading2"/>
        <w:spacing w:line="276" w:lineRule="auto"/>
        <w:rPr>
          <w:rFonts w:ascii="Aptos Display" w:eastAsia="Aptos Display" w:hAnsi="Aptos Display" w:cs="Aptos Display"/>
        </w:rPr>
      </w:pPr>
      <w:bookmarkStart w:id="4" w:name="_Toc1509316283"/>
      <w:r w:rsidRPr="7885EA44">
        <w:rPr>
          <w:rFonts w:ascii="Aptos Display" w:eastAsia="Aptos Display" w:hAnsi="Aptos Display" w:cs="Aptos Display"/>
        </w:rPr>
        <w:t>2.2 Interest Margin to Gross Income</w:t>
      </w:r>
      <w:bookmarkEnd w:id="4"/>
    </w:p>
    <w:p w14:paraId="2553F1E8" w14:textId="19F46CD2" w:rsidR="03F4C1C5" w:rsidRDefault="03F4C1C5" w:rsidP="7885EA44">
      <w:pPr>
        <w:spacing w:line="276" w:lineRule="auto"/>
      </w:pPr>
      <w:r w:rsidRPr="7885EA44">
        <w:rPr>
          <w:rFonts w:ascii="Aptos" w:eastAsia="Aptos" w:hAnsi="Aptos" w:cs="Aptos"/>
        </w:rPr>
        <w:t>The financial dataset was reduced to the fields required for the analysis: country, frequency, financial sector, period, and observation value. South Africa was identified using country code ZAF. The annual series was then used for the main trend and year-based comparison.</w:t>
      </w:r>
    </w:p>
    <w:tbl>
      <w:tblPr>
        <w:tblStyle w:val="TableGrid"/>
        <w:tblW w:w="0" w:type="auto"/>
        <w:tblLook w:val="04A0" w:firstRow="1" w:lastRow="0" w:firstColumn="1" w:lastColumn="0" w:noHBand="0" w:noVBand="1"/>
      </w:tblPr>
      <w:tblGrid>
        <w:gridCol w:w="3125"/>
        <w:gridCol w:w="3126"/>
        <w:gridCol w:w="3089"/>
      </w:tblGrid>
      <w:tr w:rsidR="5D024212" w14:paraId="2FBE6177" w14:textId="77777777" w:rsidTr="7885EA44">
        <w:trPr>
          <w:trHeight w:val="300"/>
        </w:trPr>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34ABCADA" w14:textId="62A9C321" w:rsidR="5D024212" w:rsidRDefault="5D024212" w:rsidP="5D024212">
            <w:r w:rsidRPr="5D024212">
              <w:rPr>
                <w:rFonts w:ascii="Aptos" w:eastAsia="Aptos" w:hAnsi="Aptos" w:cs="Aptos"/>
                <w:b/>
                <w:bCs/>
                <w:color w:val="000000" w:themeColor="text1"/>
                <w:sz w:val="17"/>
                <w:szCs w:val="17"/>
              </w:rPr>
              <w:t>Cleaning check</w:t>
            </w:r>
          </w:p>
        </w:tc>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402C514B" w14:textId="2639F77A" w:rsidR="5D024212" w:rsidRDefault="5D024212" w:rsidP="5D024212">
            <w:r w:rsidRPr="5D024212">
              <w:rPr>
                <w:rFonts w:ascii="Aptos" w:eastAsia="Aptos" w:hAnsi="Aptos" w:cs="Aptos"/>
                <w:b/>
                <w:bCs/>
                <w:color w:val="000000" w:themeColor="text1"/>
                <w:sz w:val="17"/>
                <w:szCs w:val="17"/>
              </w:rPr>
              <w:t>AgriConnect</w:t>
            </w:r>
          </w:p>
        </w:tc>
        <w:tc>
          <w:tcPr>
            <w:tcW w:w="340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38A4AE6C" w14:textId="4CB8A878" w:rsidR="5D024212" w:rsidRDefault="5D024212" w:rsidP="5D024212">
            <w:r w:rsidRPr="5D024212">
              <w:rPr>
                <w:rFonts w:ascii="Aptos" w:eastAsia="Aptos" w:hAnsi="Aptos" w:cs="Aptos"/>
                <w:b/>
                <w:bCs/>
                <w:color w:val="000000" w:themeColor="text1"/>
                <w:sz w:val="17"/>
                <w:szCs w:val="17"/>
              </w:rPr>
              <w:t>Interest Margin</w:t>
            </w:r>
          </w:p>
        </w:tc>
      </w:tr>
      <w:tr w:rsidR="5D024212" w14:paraId="1C46C254" w14:textId="77777777" w:rsidTr="7885EA44">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8123D" w14:textId="2B164B37" w:rsidR="5D024212" w:rsidRDefault="5D024212" w:rsidP="5D024212">
            <w:r w:rsidRPr="5D024212">
              <w:rPr>
                <w:rFonts w:ascii="Aptos" w:eastAsia="Aptos" w:hAnsi="Aptos" w:cs="Aptos"/>
                <w:sz w:val="16"/>
                <w:szCs w:val="16"/>
              </w:rPr>
              <w:t>Observations after cleaning</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A6AE7F" w14:textId="4D3E7D18" w:rsidR="5D024212" w:rsidRDefault="5D024212" w:rsidP="5D024212">
            <w:r w:rsidRPr="5D024212">
              <w:rPr>
                <w:rFonts w:ascii="Aptos" w:eastAsia="Aptos" w:hAnsi="Aptos" w:cs="Aptos"/>
                <w:sz w:val="16"/>
                <w:szCs w:val="16"/>
              </w:rPr>
              <w:t>157</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17F37" w14:textId="03B6995E" w:rsidR="5D024212" w:rsidRDefault="5D024212" w:rsidP="5D024212">
            <w:r w:rsidRPr="5D024212">
              <w:rPr>
                <w:rFonts w:ascii="Aptos" w:eastAsia="Aptos" w:hAnsi="Aptos" w:cs="Aptos"/>
                <w:sz w:val="16"/>
                <w:szCs w:val="16"/>
              </w:rPr>
              <w:t>15,737</w:t>
            </w:r>
          </w:p>
        </w:tc>
      </w:tr>
      <w:tr w:rsidR="5D024212" w14:paraId="41A07085" w14:textId="77777777" w:rsidTr="7885EA44">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4B71C" w14:textId="0A28FA1C" w:rsidR="5D024212" w:rsidRDefault="5D024212" w:rsidP="5D024212">
            <w:r w:rsidRPr="5D024212">
              <w:rPr>
                <w:rFonts w:ascii="Aptos" w:eastAsia="Aptos" w:hAnsi="Aptos" w:cs="Aptos"/>
                <w:sz w:val="16"/>
                <w:szCs w:val="16"/>
              </w:rPr>
              <w:t>Missing values</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86827" w14:textId="4390FA07" w:rsidR="5D024212" w:rsidRDefault="5D024212" w:rsidP="5D024212">
            <w:r w:rsidRPr="5D024212">
              <w:rPr>
                <w:rFonts w:ascii="Aptos" w:eastAsia="Aptos" w:hAnsi="Aptos" w:cs="Aptos"/>
                <w:sz w:val="16"/>
                <w:szCs w:val="16"/>
              </w:rPr>
              <w:t>0</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E7204" w14:textId="3440414C" w:rsidR="5D024212" w:rsidRDefault="5D024212" w:rsidP="5D024212">
            <w:r w:rsidRPr="5D024212">
              <w:rPr>
                <w:rFonts w:ascii="Aptos" w:eastAsia="Aptos" w:hAnsi="Aptos" w:cs="Aptos"/>
                <w:sz w:val="16"/>
                <w:szCs w:val="16"/>
              </w:rPr>
              <w:t>0</w:t>
            </w:r>
          </w:p>
        </w:tc>
      </w:tr>
      <w:tr w:rsidR="5D024212" w14:paraId="7F480A93" w14:textId="77777777" w:rsidTr="7885EA44">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CB8D2" w14:textId="4E33B765" w:rsidR="5D024212" w:rsidRDefault="5D024212" w:rsidP="5D024212">
            <w:r w:rsidRPr="5D024212">
              <w:rPr>
                <w:rFonts w:ascii="Aptos" w:eastAsia="Aptos" w:hAnsi="Aptos" w:cs="Aptos"/>
                <w:sz w:val="16"/>
                <w:szCs w:val="16"/>
              </w:rPr>
              <w:t>Duplicate rows</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59823" w14:textId="409C7C95" w:rsidR="5D024212" w:rsidRDefault="5D024212" w:rsidP="5D024212">
            <w:r w:rsidRPr="5D024212">
              <w:rPr>
                <w:rFonts w:ascii="Aptos" w:eastAsia="Aptos" w:hAnsi="Aptos" w:cs="Aptos"/>
                <w:sz w:val="16"/>
                <w:szCs w:val="16"/>
              </w:rPr>
              <w:t>0</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F000ED" w14:textId="29BE7DE1" w:rsidR="5D024212" w:rsidRDefault="5D024212" w:rsidP="5D024212">
            <w:r w:rsidRPr="5D024212">
              <w:rPr>
                <w:rFonts w:ascii="Aptos" w:eastAsia="Aptos" w:hAnsi="Aptos" w:cs="Aptos"/>
                <w:sz w:val="16"/>
                <w:szCs w:val="16"/>
              </w:rPr>
              <w:t>0</w:t>
            </w:r>
          </w:p>
        </w:tc>
      </w:tr>
      <w:tr w:rsidR="5D024212" w14:paraId="7C30C2E2" w14:textId="77777777" w:rsidTr="7885EA44">
        <w:trPr>
          <w:trHeight w:val="300"/>
        </w:trPr>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E92E7" w14:textId="510AE764" w:rsidR="5D024212" w:rsidRDefault="5D024212" w:rsidP="5D024212">
            <w:r w:rsidRPr="5D024212">
              <w:rPr>
                <w:rFonts w:ascii="Aptos" w:eastAsia="Aptos" w:hAnsi="Aptos" w:cs="Aptos"/>
                <w:sz w:val="16"/>
                <w:szCs w:val="16"/>
              </w:rPr>
              <w:t>South Africa subset</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A48AA" w14:textId="7999DEA2" w:rsidR="5D024212" w:rsidRDefault="5D024212" w:rsidP="5D024212">
            <w:r w:rsidRPr="5D024212">
              <w:rPr>
                <w:rFonts w:ascii="Aptos" w:eastAsia="Aptos" w:hAnsi="Aptos" w:cs="Aptos"/>
                <w:sz w:val="16"/>
                <w:szCs w:val="16"/>
              </w:rPr>
              <w:t>Not available in AgriConnect</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7F501" w14:textId="5CE6AE81" w:rsidR="5D024212" w:rsidRDefault="5D024212" w:rsidP="5D024212">
            <w:r w:rsidRPr="5D024212">
              <w:rPr>
                <w:rFonts w:ascii="Aptos" w:eastAsia="Aptos" w:hAnsi="Aptos" w:cs="Aptos"/>
                <w:sz w:val="16"/>
                <w:szCs w:val="16"/>
              </w:rPr>
              <w:t>ZAF</w:t>
            </w:r>
          </w:p>
        </w:tc>
      </w:tr>
    </w:tbl>
    <w:p w14:paraId="1CAD3EB2" w14:textId="422BC51C" w:rsidR="005E0C7F" w:rsidRDefault="03F4C1C5" w:rsidP="5D024212">
      <w:pPr>
        <w:spacing w:line="276" w:lineRule="auto"/>
      </w:pPr>
      <w:r w:rsidRPr="5D024212">
        <w:rPr>
          <w:rFonts w:ascii="Aptos" w:eastAsia="Aptos" w:hAnsi="Aptos" w:cs="Aptos"/>
        </w:rPr>
        <w:t xml:space="preserve"> </w:t>
      </w:r>
    </w:p>
    <w:p w14:paraId="479DFE2B" w14:textId="4C985EA7" w:rsidR="005E0C7F" w:rsidRDefault="03F4C1C5" w:rsidP="7885EA44">
      <w:pPr>
        <w:pStyle w:val="Heading2"/>
        <w:spacing w:line="276" w:lineRule="auto"/>
        <w:rPr>
          <w:rFonts w:ascii="Aptos Display" w:eastAsia="Aptos Display" w:hAnsi="Aptos Display" w:cs="Aptos Display"/>
        </w:rPr>
      </w:pPr>
      <w:bookmarkStart w:id="5" w:name="_Toc1360278554"/>
      <w:r w:rsidRPr="7885EA44">
        <w:rPr>
          <w:rFonts w:ascii="Aptos Display" w:eastAsia="Aptos Display" w:hAnsi="Aptos Display" w:cs="Aptos Display"/>
        </w:rPr>
        <w:t>2.3 Why the Cleaning Matters</w:t>
      </w:r>
      <w:bookmarkEnd w:id="5"/>
    </w:p>
    <w:p w14:paraId="556ED1F8" w14:textId="264B62DA" w:rsidR="005E0C7F" w:rsidRDefault="03F4C1C5" w:rsidP="5D024212">
      <w:pPr>
        <w:spacing w:line="276" w:lineRule="auto"/>
      </w:pPr>
      <w:r w:rsidRPr="1C47AA19">
        <w:rPr>
          <w:rFonts w:ascii="Aptos" w:eastAsia="Aptos" w:hAnsi="Aptos" w:cs="Aptos"/>
        </w:rPr>
        <w:t xml:space="preserve">Cleaning makes the later comparisons more reliable. Missing values and duplicate rows could distort averages, </w:t>
      </w:r>
      <w:r w:rsidR="31526D68" w:rsidRPr="1C47AA19">
        <w:rPr>
          <w:rFonts w:ascii="Aptos" w:eastAsia="Aptos" w:hAnsi="Aptos" w:cs="Aptos"/>
        </w:rPr>
        <w:t>trends,</w:t>
      </w:r>
      <w:r w:rsidRPr="1C47AA19">
        <w:rPr>
          <w:rFonts w:ascii="Aptos" w:eastAsia="Aptos" w:hAnsi="Aptos" w:cs="Aptos"/>
        </w:rPr>
        <w:t xml:space="preserve"> and correlations. The final datasets were therefore checked before being used in the analysis.</w:t>
      </w:r>
    </w:p>
    <w:p w14:paraId="112922CF" w14:textId="0A0701A6" w:rsidR="005E0C7F" w:rsidRDefault="79294AEF" w:rsidP="7885EA44">
      <w:pPr>
        <w:pStyle w:val="Heading2"/>
        <w:spacing w:line="276" w:lineRule="auto"/>
        <w:rPr>
          <w:rFonts w:ascii="Aptos Display" w:eastAsia="Aptos Display" w:hAnsi="Aptos Display" w:cs="Aptos Display"/>
        </w:rPr>
      </w:pPr>
      <w:bookmarkStart w:id="6" w:name="_Toc358007812"/>
      <w:r w:rsidRPr="7885EA44">
        <w:rPr>
          <w:rFonts w:ascii="Aptos Display" w:eastAsia="Aptos Display" w:hAnsi="Aptos Display" w:cs="Aptos Display"/>
        </w:rPr>
        <w:t>2.4 Methods used</w:t>
      </w:r>
      <w:bookmarkEnd w:id="6"/>
    </w:p>
    <w:p w14:paraId="286959BE" w14:textId="3B17B989" w:rsidR="005E0C7F" w:rsidRDefault="1BCA61CE" w:rsidP="360647C1">
      <w:r>
        <w:t xml:space="preserve">The main goal of data understanding is to gain general insights about the data, which covers the number of rows and columns, values in the data, datatypes, and Missing values in the dataset. Particular </w:t>
      </w:r>
      <w:r w:rsidR="3AAC4BCA">
        <w:t xml:space="preserve">methods were used to perform all necessary </w:t>
      </w:r>
      <w:r w:rsidR="0A6F6835">
        <w:t>preparation and analysis.</w:t>
      </w:r>
    </w:p>
    <w:p w14:paraId="0F6E304B" w14:textId="25DC5462" w:rsidR="005E0C7F" w:rsidRDefault="1BCA61CE" w:rsidP="4437E7CF">
      <w:pPr>
        <w:spacing w:line="276" w:lineRule="auto"/>
      </w:pPr>
      <w:r>
        <w:t>- shape – shape will display the number of observations(rows) and features(columns) in the dataset</w:t>
      </w:r>
    </w:p>
    <w:p w14:paraId="0448653C" w14:textId="441EDAF8" w:rsidR="005E0C7F" w:rsidRDefault="1BCA61CE" w:rsidP="4437E7CF">
      <w:pPr>
        <w:spacing w:line="276" w:lineRule="auto"/>
      </w:pPr>
      <w:r>
        <w:t xml:space="preserve">- head() will display the top 5 observations of the dataset </w:t>
      </w:r>
    </w:p>
    <w:p w14:paraId="0D8D8401" w14:textId="04922EFD" w:rsidR="005E0C7F" w:rsidRDefault="1BCA61CE" w:rsidP="6462AF33">
      <w:pPr>
        <w:spacing w:line="276" w:lineRule="auto"/>
      </w:pPr>
      <w:r>
        <w:t xml:space="preserve">- tail() will display the last 5 observations of the dataset </w:t>
      </w:r>
    </w:p>
    <w:p w14:paraId="65FEED65" w14:textId="5BF9DF77" w:rsidR="005E0C7F" w:rsidRDefault="1BCA61CE" w:rsidP="5D024212">
      <w:pPr>
        <w:spacing w:line="276" w:lineRule="auto"/>
      </w:pPr>
      <w:r>
        <w:t>- info() shows the variables that  have missing values.</w:t>
      </w:r>
    </w:p>
    <w:p w14:paraId="13E90D95" w14:textId="7102719B" w:rsidR="005E0C7F" w:rsidRDefault="5D1E23B6" w:rsidP="5D024212">
      <w:pPr>
        <w:spacing w:line="276" w:lineRule="auto"/>
      </w:pPr>
      <w:r>
        <w:rPr>
          <w:noProof/>
        </w:rPr>
        <w:drawing>
          <wp:inline distT="0" distB="0" distL="0" distR="0" wp14:anchorId="0C98C2C9" wp14:editId="21133E2F">
            <wp:extent cx="4838700" cy="1695450"/>
            <wp:effectExtent l="0" t="0" r="0" b="0"/>
            <wp:docPr id="1672621584" name="drawing">
              <a:extLst xmlns:a="http://schemas.openxmlformats.org/drawingml/2006/main">
                <a:ext uri="{FF2B5EF4-FFF2-40B4-BE49-F238E27FC236}">
                  <a16:creationId xmlns:a16="http://schemas.microsoft.com/office/drawing/2014/main" id="{F5D33B50-BE3D-4915-B61A-7FECB7228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9529" name="Picture 1204399529"/>
                    <pic:cNvPicPr/>
                  </pic:nvPicPr>
                  <pic:blipFill>
                    <a:blip r:embed="rId6">
                      <a:extLst>
                        <a:ext uri="{28A0092B-C50C-407E-A947-70E740481C1C}">
                          <a14:useLocalDpi xmlns:a14="http://schemas.microsoft.com/office/drawing/2010/main"/>
                        </a:ext>
                      </a:extLst>
                    </a:blip>
                    <a:stretch>
                      <a:fillRect/>
                    </a:stretch>
                  </pic:blipFill>
                  <pic:spPr>
                    <a:xfrm>
                      <a:off x="0" y="0"/>
                      <a:ext cx="4838700" cy="1695450"/>
                    </a:xfrm>
                    <a:prstGeom prst="rect">
                      <a:avLst/>
                    </a:prstGeom>
                  </pic:spPr>
                </pic:pic>
              </a:graphicData>
            </a:graphic>
          </wp:inline>
        </w:drawing>
      </w:r>
    </w:p>
    <w:p w14:paraId="5E79016E" w14:textId="16D86606" w:rsidR="005E0C7F" w:rsidRDefault="03F4C1C5" w:rsidP="5D024212">
      <w:pPr>
        <w:spacing w:line="276" w:lineRule="auto"/>
      </w:pPr>
      <w:r w:rsidRPr="5D024212">
        <w:rPr>
          <w:rFonts w:ascii="Aptos" w:eastAsia="Aptos" w:hAnsi="Aptos" w:cs="Aptos"/>
          <w:b/>
          <w:bCs/>
          <w:sz w:val="18"/>
          <w:szCs w:val="18"/>
        </w:rPr>
        <w:t>Figure 2: Data preparation evidence</w:t>
      </w:r>
    </w:p>
    <w:p w14:paraId="0FC82724" w14:textId="4D16FF75" w:rsidR="005E0C7F" w:rsidRDefault="03F4C1C5" w:rsidP="7885EA44">
      <w:pPr>
        <w:pStyle w:val="Heading1"/>
        <w:spacing w:line="276" w:lineRule="auto"/>
        <w:rPr>
          <w:rFonts w:ascii="Aptos Display" w:eastAsia="Aptos Display" w:hAnsi="Aptos Display" w:cs="Aptos Display"/>
        </w:rPr>
      </w:pPr>
      <w:bookmarkStart w:id="7" w:name="_Toc235372603"/>
      <w:r w:rsidRPr="7885EA44">
        <w:rPr>
          <w:rFonts w:ascii="Aptos Display" w:eastAsia="Aptos Display" w:hAnsi="Aptos Display" w:cs="Aptos Display"/>
        </w:rPr>
        <w:t>3. Numerical Analysis Using NumPy</w:t>
      </w:r>
      <w:bookmarkEnd w:id="7"/>
    </w:p>
    <w:p w14:paraId="17C63353" w14:textId="6E5EE671" w:rsidR="005E0C7F" w:rsidRDefault="03F4C1C5" w:rsidP="5D024212">
      <w:pPr>
        <w:spacing w:line="276" w:lineRule="auto"/>
      </w:pPr>
      <w:r w:rsidRPr="1C47AA19">
        <w:rPr>
          <w:rFonts w:ascii="Aptos" w:eastAsia="Aptos" w:hAnsi="Aptos" w:cs="Aptos"/>
        </w:rPr>
        <w:t xml:space="preserve">NumPy was used directly for the numerical analysis required for the datasets. This included </w:t>
      </w:r>
      <w:r w:rsidR="11FD48E2" w:rsidRPr="1C47AA19">
        <w:rPr>
          <w:rFonts w:ascii="Aptos" w:eastAsia="Aptos" w:hAnsi="Aptos" w:cs="Aptos"/>
        </w:rPr>
        <w:t xml:space="preserve">array </w:t>
      </w:r>
      <w:r w:rsidRPr="1C47AA19">
        <w:rPr>
          <w:rFonts w:ascii="Aptos" w:eastAsia="Aptos" w:hAnsi="Aptos" w:cs="Aptos"/>
        </w:rPr>
        <w:t xml:space="preserve">reshaping and integrity checks, least-squares trend calculations, percentage changes, z-score standardisation, composite-score </w:t>
      </w:r>
      <w:r w:rsidR="427BD263" w:rsidRPr="1C47AA19">
        <w:rPr>
          <w:rFonts w:ascii="Aptos" w:eastAsia="Aptos" w:hAnsi="Aptos" w:cs="Aptos"/>
        </w:rPr>
        <w:t>calculations,</w:t>
      </w:r>
      <w:r w:rsidRPr="1C47AA19">
        <w:rPr>
          <w:rFonts w:ascii="Aptos" w:eastAsia="Aptos" w:hAnsi="Aptos" w:cs="Aptos"/>
        </w:rPr>
        <w:t xml:space="preserve"> and pairwise correlation analysis.</w:t>
      </w:r>
    </w:p>
    <w:p w14:paraId="659C6F96" w14:textId="77534D03" w:rsidR="005E0C7F" w:rsidRDefault="03F4C1C5" w:rsidP="7885EA44">
      <w:pPr>
        <w:pStyle w:val="Heading2"/>
        <w:spacing w:line="276" w:lineRule="auto"/>
        <w:rPr>
          <w:rFonts w:ascii="Aptos Display" w:eastAsia="Aptos Display" w:hAnsi="Aptos Display" w:cs="Aptos Display"/>
        </w:rPr>
      </w:pPr>
      <w:bookmarkStart w:id="8" w:name="_Toc328535758"/>
      <w:r w:rsidRPr="7885EA44">
        <w:rPr>
          <w:rFonts w:ascii="Aptos Display" w:eastAsia="Aptos Display" w:hAnsi="Aptos Display" w:cs="Aptos Display"/>
        </w:rPr>
        <w:t>3.1 Agricultural Matrix</w:t>
      </w:r>
      <w:bookmarkEnd w:id="8"/>
    </w:p>
    <w:p w14:paraId="512A14CC" w14:textId="281C677A" w:rsidR="005E0C7F" w:rsidRDefault="03F4C1C5" w:rsidP="5D024212">
      <w:pPr>
        <w:spacing w:line="276" w:lineRule="auto"/>
      </w:pPr>
      <w:r w:rsidRPr="5D024212">
        <w:rPr>
          <w:rFonts w:ascii="Aptos" w:eastAsia="Aptos" w:hAnsi="Aptos" w:cs="Aptos"/>
        </w:rPr>
        <w:t>The AgriConnect data was pivoted into a country-by-indicator matrix after excluding the continental 'Overall' aggregate. The resulting matrix contained 34 peer countries and 7 indicators. The matrix was flattened into a 1-dimensional array of 238 values and reshaped back to 34 × 7; np.allclose confirmed that the reshape preserved the data structure, including missing-value positions.</w:t>
      </w:r>
    </w:p>
    <w:tbl>
      <w:tblPr>
        <w:tblStyle w:val="TableGrid"/>
        <w:tblW w:w="0" w:type="auto"/>
        <w:tblLook w:val="04A0" w:firstRow="1" w:lastRow="0" w:firstColumn="1" w:lastColumn="0" w:noHBand="0" w:noVBand="1"/>
      </w:tblPr>
      <w:tblGrid>
        <w:gridCol w:w="4530"/>
        <w:gridCol w:w="4485"/>
      </w:tblGrid>
      <w:tr w:rsidR="5D024212" w14:paraId="38C994A8" w14:textId="77777777" w:rsidTr="5D024212">
        <w:trPr>
          <w:trHeight w:val="300"/>
        </w:trPr>
        <w:tc>
          <w:tcPr>
            <w:tcW w:w="4530"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70761937" w14:textId="19E4CA7B" w:rsidR="5D024212" w:rsidRDefault="5D024212" w:rsidP="5D024212">
            <w:r w:rsidRPr="5D024212">
              <w:rPr>
                <w:rFonts w:ascii="Aptos" w:eastAsia="Aptos" w:hAnsi="Aptos" w:cs="Aptos"/>
                <w:b/>
                <w:bCs/>
                <w:color w:val="000000" w:themeColor="text1"/>
                <w:sz w:val="17"/>
                <w:szCs w:val="17"/>
              </w:rPr>
              <w:t>Calculation</w:t>
            </w:r>
          </w:p>
        </w:tc>
        <w:tc>
          <w:tcPr>
            <w:tcW w:w="448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4E9C58A3" w14:textId="71580D0B" w:rsidR="5D024212" w:rsidRDefault="5D024212" w:rsidP="5D024212">
            <w:r w:rsidRPr="5D024212">
              <w:rPr>
                <w:rFonts w:ascii="Aptos" w:eastAsia="Aptos" w:hAnsi="Aptos" w:cs="Aptos"/>
                <w:b/>
                <w:bCs/>
                <w:color w:val="000000" w:themeColor="text1"/>
                <w:sz w:val="17"/>
                <w:szCs w:val="17"/>
              </w:rPr>
              <w:t>Result</w:t>
            </w:r>
          </w:p>
        </w:tc>
      </w:tr>
      <w:tr w:rsidR="5D024212" w14:paraId="5206093C" w14:textId="77777777" w:rsidTr="5D024212">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9A9477" w14:textId="400A81C0" w:rsidR="5D024212" w:rsidRDefault="5D024212" w:rsidP="5D024212">
            <w:r w:rsidRPr="5D024212">
              <w:rPr>
                <w:rFonts w:ascii="Aptos" w:eastAsia="Aptos" w:hAnsi="Aptos" w:cs="Aptos"/>
                <w:sz w:val="16"/>
                <w:szCs w:val="16"/>
              </w:rPr>
              <w:t>Country × indicator matrix</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5578C" w14:textId="4715E19E" w:rsidR="5D024212" w:rsidRDefault="5D024212" w:rsidP="5D024212">
            <w:r w:rsidRPr="5D024212">
              <w:rPr>
                <w:rFonts w:ascii="Aptos" w:eastAsia="Aptos" w:hAnsi="Aptos" w:cs="Aptos"/>
                <w:sz w:val="16"/>
                <w:szCs w:val="16"/>
              </w:rPr>
              <w:t>34 × 7</w:t>
            </w:r>
          </w:p>
        </w:tc>
      </w:tr>
      <w:tr w:rsidR="5D024212" w14:paraId="7D31319C" w14:textId="77777777" w:rsidTr="5D024212">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C425E8" w14:textId="5CCC3599" w:rsidR="5D024212" w:rsidRDefault="5D024212" w:rsidP="5D024212">
            <w:r w:rsidRPr="5D024212">
              <w:rPr>
                <w:rFonts w:ascii="Aptos" w:eastAsia="Aptos" w:hAnsi="Aptos" w:cs="Aptos"/>
                <w:sz w:val="16"/>
                <w:szCs w:val="16"/>
              </w:rPr>
              <w:t>Flattened array</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C885C" w14:textId="199DDF89" w:rsidR="5D024212" w:rsidRDefault="5D024212" w:rsidP="5D024212">
            <w:r w:rsidRPr="5D024212">
              <w:rPr>
                <w:rFonts w:ascii="Aptos" w:eastAsia="Aptos" w:hAnsi="Aptos" w:cs="Aptos"/>
                <w:sz w:val="16"/>
                <w:szCs w:val="16"/>
              </w:rPr>
              <w:t>238 values</w:t>
            </w:r>
          </w:p>
        </w:tc>
      </w:tr>
      <w:tr w:rsidR="5D024212" w14:paraId="092CD15B" w14:textId="77777777" w:rsidTr="5D024212">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A17FD" w14:textId="38630C05" w:rsidR="5D024212" w:rsidRDefault="5D024212" w:rsidP="5D024212">
            <w:r w:rsidRPr="5D024212">
              <w:rPr>
                <w:rFonts w:ascii="Aptos" w:eastAsia="Aptos" w:hAnsi="Aptos" w:cs="Aptos"/>
                <w:sz w:val="16"/>
                <w:szCs w:val="16"/>
              </w:rPr>
              <w:t>Reshaped array</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05988E" w14:textId="3027E6C6" w:rsidR="5D024212" w:rsidRDefault="5D024212" w:rsidP="5D024212">
            <w:r w:rsidRPr="5D024212">
              <w:rPr>
                <w:rFonts w:ascii="Aptos" w:eastAsia="Aptos" w:hAnsi="Aptos" w:cs="Aptos"/>
                <w:sz w:val="16"/>
                <w:szCs w:val="16"/>
              </w:rPr>
              <w:t>34 × 7; structure preserved</w:t>
            </w:r>
          </w:p>
        </w:tc>
      </w:tr>
    </w:tbl>
    <w:p w14:paraId="0F641897" w14:textId="07A561BE" w:rsidR="005E0C7F" w:rsidRDefault="03F4C1C5" w:rsidP="7885EA44">
      <w:pPr>
        <w:pStyle w:val="Heading2"/>
        <w:spacing w:line="276" w:lineRule="auto"/>
        <w:rPr>
          <w:rFonts w:ascii="Aptos Display" w:eastAsia="Aptos Display" w:hAnsi="Aptos Display" w:cs="Aptos Display"/>
        </w:rPr>
      </w:pPr>
      <w:bookmarkStart w:id="9" w:name="_Toc292233364"/>
      <w:r w:rsidRPr="7885EA44">
        <w:rPr>
          <w:rFonts w:ascii="Aptos Display" w:eastAsia="Aptos Display" w:hAnsi="Aptos Display" w:cs="Aptos Display"/>
        </w:rPr>
        <w:t>3.2 South Africa Interest Margin</w:t>
      </w:r>
      <w:bookmarkEnd w:id="9"/>
    </w:p>
    <w:p w14:paraId="5646EC39" w14:textId="10929D74" w:rsidR="005E0C7F" w:rsidRDefault="03F4C1C5" w:rsidP="5D024212">
      <w:pPr>
        <w:spacing w:line="276" w:lineRule="auto"/>
      </w:pPr>
      <w:r w:rsidRPr="5D024212">
        <w:rPr>
          <w:rFonts w:ascii="Aptos" w:eastAsia="Aptos" w:hAnsi="Aptos" w:cs="Aptos"/>
        </w:rPr>
        <w:t>The annual South African series rises overall, although it fluctuates from year to year. From 2008 to 2024, the mean was 52.71, the standard deviation was 3.33 percentage points, the linear trend slope was 0.5925 percentage points per year, and R-squared was 0.8073. The series increased by 7.84 percentage points overall, from 50.29 in 2008 to 58.13 in 2024. The largest relative increase was 8.29% in 2013, while the largest decrease was 4.12% in 2009.</w:t>
      </w:r>
    </w:p>
    <w:p w14:paraId="45651EAD" w14:textId="539DE926" w:rsidR="005E0C7F" w:rsidRDefault="03F4C1C5" w:rsidP="1C47AA19">
      <w:pPr>
        <w:spacing w:line="276" w:lineRule="auto"/>
      </w:pPr>
      <w:r>
        <w:rPr>
          <w:noProof/>
        </w:rPr>
        <w:drawing>
          <wp:inline distT="0" distB="0" distL="0" distR="0" wp14:anchorId="5EEC9417" wp14:editId="757FA946">
            <wp:extent cx="5585883" cy="1796585"/>
            <wp:effectExtent l="0" t="0" r="0" b="0"/>
            <wp:docPr id="695672248" name="drawing">
              <a:extLst xmlns:a="http://schemas.openxmlformats.org/drawingml/2006/main">
                <a:ext uri="{FF2B5EF4-FFF2-40B4-BE49-F238E27FC236}">
                  <a16:creationId xmlns:a16="http://schemas.microsoft.com/office/drawing/2014/main" id="{06EE93D2-D063-428C-AAE8-E35DEA8BD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72248" name="Picture 695672248"/>
                    <pic:cNvPicPr/>
                  </pic:nvPicPr>
                  <pic:blipFill>
                    <a:blip r:embed="rId7">
                      <a:extLst>
                        <a:ext uri="{28A0092B-C50C-407E-A947-70E740481C1C}">
                          <a14:useLocalDpi xmlns:a14="http://schemas.microsoft.com/office/drawing/2010/main"/>
                        </a:ext>
                      </a:extLst>
                    </a:blip>
                    <a:stretch>
                      <a:fillRect/>
                    </a:stretch>
                  </pic:blipFill>
                  <pic:spPr>
                    <a:xfrm>
                      <a:off x="0" y="0"/>
                      <a:ext cx="5585883" cy="1796585"/>
                    </a:xfrm>
                    <a:prstGeom prst="rect">
                      <a:avLst/>
                    </a:prstGeom>
                  </pic:spPr>
                </pic:pic>
              </a:graphicData>
            </a:graphic>
          </wp:inline>
        </w:drawing>
      </w:r>
    </w:p>
    <w:p w14:paraId="4CFD559F" w14:textId="021953BA" w:rsidR="005E0C7F" w:rsidRDefault="03F4C1C5" w:rsidP="5D024212">
      <w:pPr>
        <w:spacing w:after="40" w:line="276" w:lineRule="auto"/>
        <w:jc w:val="center"/>
      </w:pPr>
      <w:r w:rsidRPr="5D024212">
        <w:rPr>
          <w:rFonts w:ascii="Aptos" w:eastAsia="Aptos" w:hAnsi="Aptos" w:cs="Aptos"/>
          <w:b/>
          <w:bCs/>
          <w:sz w:val="18"/>
          <w:szCs w:val="18"/>
        </w:rPr>
        <w:t>Figure 4: South Africa interest margin trend</w:t>
      </w:r>
      <w:r w:rsidRPr="5D024212">
        <w:rPr>
          <w:rFonts w:ascii="Aptos" w:eastAsia="Aptos" w:hAnsi="Aptos" w:cs="Aptos"/>
          <w:i/>
          <w:iCs/>
          <w:sz w:val="16"/>
          <w:szCs w:val="16"/>
        </w:rPr>
        <w:t>.</w:t>
      </w:r>
    </w:p>
    <w:p w14:paraId="7DB5D78C" w14:textId="3C06E3D0" w:rsidR="005E0C7F" w:rsidRDefault="03F4C1C5" w:rsidP="7885EA44">
      <w:pPr>
        <w:pStyle w:val="Heading2"/>
        <w:spacing w:line="276" w:lineRule="auto"/>
        <w:rPr>
          <w:rFonts w:ascii="Aptos Display" w:eastAsia="Aptos Display" w:hAnsi="Aptos Display" w:cs="Aptos Display"/>
        </w:rPr>
      </w:pPr>
      <w:bookmarkStart w:id="10" w:name="_Toc972704698"/>
      <w:r w:rsidRPr="7885EA44">
        <w:rPr>
          <w:rFonts w:ascii="Aptos Display" w:eastAsia="Aptos Display" w:hAnsi="Aptos Display" w:cs="Aptos Display"/>
        </w:rPr>
        <w:t>3.3 Agricultural Relationships</w:t>
      </w:r>
      <w:bookmarkEnd w:id="10"/>
    </w:p>
    <w:p w14:paraId="29FFC270" w14:textId="31956FF7" w:rsidR="005E0C7F" w:rsidRDefault="03F4C1C5" w:rsidP="0D9B1F35">
      <w:pPr>
        <w:spacing w:line="276" w:lineRule="auto"/>
      </w:pPr>
      <w:r w:rsidRPr="7885EA44">
        <w:rPr>
          <w:rFonts w:ascii="Aptos" w:eastAsia="Aptos" w:hAnsi="Aptos" w:cs="Aptos"/>
        </w:rPr>
        <w:t xml:space="preserve">The notebook </w:t>
      </w:r>
      <w:r w:rsidR="10C2C70E" w:rsidRPr="7885EA44">
        <w:rPr>
          <w:rFonts w:ascii="Aptos" w:eastAsia="Aptos" w:hAnsi="Aptos" w:cs="Aptos"/>
        </w:rPr>
        <w:t>standardized</w:t>
      </w:r>
      <w:r w:rsidRPr="7885EA44">
        <w:rPr>
          <w:rFonts w:ascii="Aptos" w:eastAsia="Aptos" w:hAnsi="Aptos" w:cs="Aptos"/>
        </w:rPr>
        <w:t xml:space="preserve"> the agricultural indicators using NaN-safe means and standard deviations and calculated an Agricultural Market Integration Index (AMII). The three highest AMII scores were Mozambique (0.753), Somalia (0.700) and The Gambia (0.523), while the three lowest were Comoros (−0.624), Niger (−0.733) and the Central African Republic (−1.086). The pairwise correlation matrix also showed a correlation of 0.684 between production value and market participation and 0.544 between improved seed use and fertilizer use.</w:t>
      </w:r>
    </w:p>
    <w:p w14:paraId="57E724B0" w14:textId="3754C9AC" w:rsidR="005E0C7F" w:rsidRDefault="03F4C1C5" w:rsidP="7885EA44">
      <w:pPr>
        <w:pStyle w:val="Heading1"/>
        <w:spacing w:line="276" w:lineRule="auto"/>
        <w:rPr>
          <w:rFonts w:ascii="Aptos Display" w:eastAsia="Aptos Display" w:hAnsi="Aptos Display" w:cs="Aptos Display"/>
        </w:rPr>
      </w:pPr>
      <w:bookmarkStart w:id="11" w:name="_Toc1028799376"/>
      <w:r w:rsidRPr="7885EA44">
        <w:rPr>
          <w:rFonts w:ascii="Aptos Display" w:eastAsia="Aptos Display" w:hAnsi="Aptos Display" w:cs="Aptos Display"/>
        </w:rPr>
        <w:t xml:space="preserve">4. </w:t>
      </w:r>
      <w:r w:rsidR="105E2F61" w:rsidRPr="7885EA44">
        <w:rPr>
          <w:rFonts w:ascii="Aptos Display" w:eastAsia="Aptos Display" w:hAnsi="Aptos Display" w:cs="Aptos Display"/>
        </w:rPr>
        <w:t>Visualization</w:t>
      </w:r>
      <w:r w:rsidRPr="7885EA44">
        <w:rPr>
          <w:rFonts w:ascii="Aptos Display" w:eastAsia="Aptos Display" w:hAnsi="Aptos Display" w:cs="Aptos Display"/>
        </w:rPr>
        <w:t xml:space="preserve"> and Interpretation</w:t>
      </w:r>
      <w:bookmarkEnd w:id="11"/>
    </w:p>
    <w:p w14:paraId="7AB455E3" w14:textId="6E97B96D" w:rsidR="005E0C7F" w:rsidRDefault="03F4C1C5" w:rsidP="5D024212">
      <w:pPr>
        <w:spacing w:line="276" w:lineRule="auto"/>
      </w:pPr>
      <w:r w:rsidRPr="5D024212">
        <w:rPr>
          <w:rFonts w:ascii="Aptos" w:eastAsia="Aptos" w:hAnsi="Aptos" w:cs="Aptos"/>
        </w:rPr>
        <w:t>The charts were designed to answer the research question visually. Each chart focuses on one part of the story.</w:t>
      </w:r>
    </w:p>
    <w:p w14:paraId="220A5606" w14:textId="7452A839" w:rsidR="005E0C7F" w:rsidRDefault="03F4C1C5" w:rsidP="7885EA44">
      <w:pPr>
        <w:pStyle w:val="Heading2"/>
        <w:spacing w:line="276" w:lineRule="auto"/>
        <w:rPr>
          <w:rFonts w:ascii="Aptos Display" w:eastAsia="Aptos Display" w:hAnsi="Aptos Display" w:cs="Aptos Display"/>
        </w:rPr>
      </w:pPr>
      <w:bookmarkStart w:id="12" w:name="_Toc989133917"/>
      <w:r w:rsidRPr="7885EA44">
        <w:rPr>
          <w:rFonts w:ascii="Aptos Display" w:eastAsia="Aptos Display" w:hAnsi="Aptos Display" w:cs="Aptos Display"/>
        </w:rPr>
        <w:t>4.1 Market Participation Across Countries</w:t>
      </w:r>
      <w:bookmarkEnd w:id="12"/>
    </w:p>
    <w:p w14:paraId="088D1BBB" w14:textId="15128BB2" w:rsidR="005E0C7F" w:rsidRDefault="03F4C1C5" w:rsidP="5D024212">
      <w:pPr>
        <w:spacing w:line="276" w:lineRule="auto"/>
      </w:pPr>
      <w:r w:rsidRPr="5D024212">
        <w:rPr>
          <w:rFonts w:ascii="Aptos" w:eastAsia="Aptos" w:hAnsi="Aptos" w:cs="Aptos"/>
        </w:rPr>
        <w:t>Market participation varies substantially across the countries in the AgriConnect data. Guinea-Bissau and Côte d'Ivoire are among the countries with higher observed market participation, while other countries record lower levels.</w:t>
      </w:r>
    </w:p>
    <w:p w14:paraId="73F75D4A" w14:textId="7302CC1D" w:rsidR="005E0C7F" w:rsidRDefault="03F4C1C5" w:rsidP="5D024212">
      <w:pPr>
        <w:spacing w:line="276" w:lineRule="auto"/>
      </w:pPr>
      <w:r>
        <w:rPr>
          <w:noProof/>
        </w:rPr>
        <w:drawing>
          <wp:inline distT="0" distB="0" distL="0" distR="0" wp14:anchorId="37C969F0" wp14:editId="0AB0E181">
            <wp:extent cx="5734050" cy="3019425"/>
            <wp:effectExtent l="0" t="0" r="0" b="0"/>
            <wp:docPr id="1292343206" name="drawing">
              <a:extLst xmlns:a="http://schemas.openxmlformats.org/drawingml/2006/main">
                <a:ext uri="{FF2B5EF4-FFF2-40B4-BE49-F238E27FC236}">
                  <a16:creationId xmlns:a16="http://schemas.microsoft.com/office/drawing/2014/main" id="{4A4559E0-0CD3-4D34-ACFA-E21E5C47A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43206" name="Picture 1292343206"/>
                    <pic:cNvPicPr/>
                  </pic:nvPicPr>
                  <pic:blipFill>
                    <a:blip r:embed="rId8">
                      <a:extLst>
                        <a:ext uri="{28A0092B-C50C-407E-A947-70E740481C1C}">
                          <a14:useLocalDpi xmlns:a14="http://schemas.microsoft.com/office/drawing/2010/main"/>
                        </a:ext>
                      </a:extLst>
                    </a:blip>
                    <a:stretch>
                      <a:fillRect/>
                    </a:stretch>
                  </pic:blipFill>
                  <pic:spPr>
                    <a:xfrm>
                      <a:off x="0" y="0"/>
                      <a:ext cx="5734050" cy="3019425"/>
                    </a:xfrm>
                    <a:prstGeom prst="rect">
                      <a:avLst/>
                    </a:prstGeom>
                  </pic:spPr>
                </pic:pic>
              </a:graphicData>
            </a:graphic>
          </wp:inline>
        </w:drawing>
      </w:r>
    </w:p>
    <w:p w14:paraId="4356559D" w14:textId="75B3E180" w:rsidR="005E0C7F" w:rsidRDefault="03F4C1C5" w:rsidP="5D024212">
      <w:pPr>
        <w:spacing w:after="40" w:line="276" w:lineRule="auto"/>
        <w:jc w:val="center"/>
      </w:pPr>
      <w:r w:rsidRPr="5D024212">
        <w:rPr>
          <w:rFonts w:ascii="Aptos" w:eastAsia="Aptos" w:hAnsi="Aptos" w:cs="Aptos"/>
          <w:b/>
          <w:bCs/>
          <w:sz w:val="18"/>
          <w:szCs w:val="18"/>
        </w:rPr>
        <w:t xml:space="preserve">Figure 5: BAR GRAPH showing Market participation by country </w:t>
      </w:r>
    </w:p>
    <w:p w14:paraId="01F862DE" w14:textId="4C7992EB" w:rsidR="005E0C7F" w:rsidRDefault="03F4C1C5" w:rsidP="5D024212">
      <w:pPr>
        <w:spacing w:after="40" w:line="276" w:lineRule="auto"/>
        <w:jc w:val="center"/>
      </w:pPr>
      <w:r w:rsidRPr="5D024212">
        <w:rPr>
          <w:rFonts w:ascii="Aptos" w:eastAsia="Aptos" w:hAnsi="Aptos" w:cs="Aptos"/>
        </w:rPr>
        <w:t xml:space="preserve"> </w:t>
      </w:r>
    </w:p>
    <w:p w14:paraId="718ACB8C" w14:textId="6A64FD05" w:rsidR="005E0C7F" w:rsidRDefault="03F4C1C5" w:rsidP="7885EA44">
      <w:pPr>
        <w:pStyle w:val="Heading2"/>
        <w:spacing w:line="276" w:lineRule="auto"/>
        <w:rPr>
          <w:rFonts w:ascii="Aptos Display" w:eastAsia="Aptos Display" w:hAnsi="Aptos Display" w:cs="Aptos Display"/>
        </w:rPr>
      </w:pPr>
      <w:bookmarkStart w:id="13" w:name="_Toc941268968"/>
      <w:r w:rsidRPr="7885EA44">
        <w:rPr>
          <w:rFonts w:ascii="Aptos Display" w:eastAsia="Aptos Display" w:hAnsi="Aptos Display" w:cs="Aptos Display"/>
        </w:rPr>
        <w:t>4.2 Fertilizer Use Compared with Market Participation</w:t>
      </w:r>
      <w:bookmarkEnd w:id="13"/>
    </w:p>
    <w:p w14:paraId="0D939B49" w14:textId="2F14CB1C" w:rsidR="005E0C7F" w:rsidRDefault="03F4C1C5" w:rsidP="5D024212">
      <w:pPr>
        <w:spacing w:line="276" w:lineRule="auto"/>
      </w:pPr>
      <w:r w:rsidRPr="1C47AA19">
        <w:rPr>
          <w:rFonts w:ascii="Aptos" w:eastAsia="Aptos" w:hAnsi="Aptos" w:cs="Aptos"/>
        </w:rPr>
        <w:t>The notebook matched fertilizer-use observations with market-participation observations by country and year and fitted a regression line. The relationship is weak and slightly negative: the slope is −0.1258, correlation is −0.1632, R-squared is 0.0266 and the p-value is 0.4919.</w:t>
      </w:r>
    </w:p>
    <w:p w14:paraId="1FF2FBA2" w14:textId="24E95E4E" w:rsidR="005E0C7F" w:rsidRDefault="03F4C1C5" w:rsidP="5D024212">
      <w:pPr>
        <w:spacing w:line="276" w:lineRule="auto"/>
      </w:pPr>
      <w:r w:rsidRPr="7885EA44">
        <w:rPr>
          <w:rFonts w:ascii="Aptos" w:eastAsia="Aptos" w:hAnsi="Aptos" w:cs="Aptos"/>
        </w:rPr>
        <w:t xml:space="preserve">An R-squared of 0.0266 means fertilizer adoption explains very little of the variation in market participation in these matched observations. The p-value of 0.4919 also </w:t>
      </w:r>
      <w:r w:rsidR="11DF3D6B" w:rsidRPr="7885EA44">
        <w:rPr>
          <w:rFonts w:ascii="Aptos" w:eastAsia="Aptos" w:hAnsi="Aptos" w:cs="Aptos"/>
        </w:rPr>
        <w:t>indicates the notebook provides no</w:t>
      </w:r>
      <w:r w:rsidRPr="7885EA44">
        <w:rPr>
          <w:rFonts w:ascii="Aptos" w:eastAsia="Aptos" w:hAnsi="Aptos" w:cs="Aptos"/>
        </w:rPr>
        <w:t xml:space="preserve"> strong statistical evidence of a linear relationship between these two agricultural indicators.</w:t>
      </w:r>
    </w:p>
    <w:p w14:paraId="2054C24C" w14:textId="24214BEC" w:rsidR="005E0C7F" w:rsidRDefault="03F4C1C5" w:rsidP="5D024212">
      <w:pPr>
        <w:spacing w:line="276" w:lineRule="auto"/>
      </w:pPr>
      <w:r>
        <w:rPr>
          <w:noProof/>
        </w:rPr>
        <w:drawing>
          <wp:inline distT="0" distB="0" distL="0" distR="0" wp14:anchorId="6AF5F8B3" wp14:editId="5F037CCB">
            <wp:extent cx="5734050" cy="2743200"/>
            <wp:effectExtent l="0" t="0" r="0" b="0"/>
            <wp:docPr id="1634174991" name="drawing">
              <a:extLst xmlns:a="http://schemas.openxmlformats.org/drawingml/2006/main">
                <a:ext uri="{FF2B5EF4-FFF2-40B4-BE49-F238E27FC236}">
                  <a16:creationId xmlns:a16="http://schemas.microsoft.com/office/drawing/2014/main" id="{79A9A2EC-051D-49B8-9B28-E6A8DDD95A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4991" name="Picture 1634174991"/>
                    <pic:cNvPicPr/>
                  </pic:nvPicPr>
                  <pic:blipFill>
                    <a:blip r:embed="rId9">
                      <a:extLst>
                        <a:ext uri="{28A0092B-C50C-407E-A947-70E740481C1C}">
                          <a14:useLocalDpi xmlns:a14="http://schemas.microsoft.com/office/drawing/2010/main"/>
                        </a:ext>
                      </a:extLst>
                    </a:blip>
                    <a:stretch>
                      <a:fillRect/>
                    </a:stretch>
                  </pic:blipFill>
                  <pic:spPr>
                    <a:xfrm>
                      <a:off x="0" y="0"/>
                      <a:ext cx="5734050" cy="2743200"/>
                    </a:xfrm>
                    <a:prstGeom prst="rect">
                      <a:avLst/>
                    </a:prstGeom>
                  </pic:spPr>
                </pic:pic>
              </a:graphicData>
            </a:graphic>
          </wp:inline>
        </w:drawing>
      </w:r>
    </w:p>
    <w:p w14:paraId="56A2EDA5" w14:textId="3033AB2A" w:rsidR="005E0C7F" w:rsidRDefault="03F4C1C5" w:rsidP="5D024212">
      <w:pPr>
        <w:spacing w:line="276" w:lineRule="auto"/>
      </w:pPr>
      <w:r w:rsidRPr="5D024212">
        <w:rPr>
          <w:rFonts w:ascii="Aptos" w:eastAsia="Aptos" w:hAnsi="Aptos" w:cs="Aptos"/>
          <w:b/>
          <w:bCs/>
          <w:sz w:val="18"/>
          <w:szCs w:val="18"/>
        </w:rPr>
        <w:t xml:space="preserve">Figure 6 : SCATTER PLOT showing Fertilizer vs market participation </w:t>
      </w:r>
    </w:p>
    <w:p w14:paraId="5FA79902" w14:textId="20A35443" w:rsidR="005E0C7F" w:rsidRDefault="03F4C1C5" w:rsidP="7885EA44">
      <w:pPr>
        <w:pStyle w:val="Heading2"/>
        <w:spacing w:line="276" w:lineRule="auto"/>
        <w:rPr>
          <w:rFonts w:ascii="Aptos Display" w:eastAsia="Aptos Display" w:hAnsi="Aptos Display" w:cs="Aptos Display"/>
        </w:rPr>
      </w:pPr>
      <w:bookmarkStart w:id="14" w:name="_Toc1295527370"/>
      <w:r w:rsidRPr="7885EA44">
        <w:rPr>
          <w:rFonts w:ascii="Aptos Display" w:eastAsia="Aptos Display" w:hAnsi="Aptos Display" w:cs="Aptos Display"/>
        </w:rPr>
        <w:t>4.3 Supporting agricultural visuals</w:t>
      </w:r>
      <w:bookmarkEnd w:id="14"/>
    </w:p>
    <w:tbl>
      <w:tblPr>
        <w:tblStyle w:val="TableGrid"/>
        <w:tblW w:w="0" w:type="auto"/>
        <w:tblLook w:val="04A0" w:firstRow="1" w:lastRow="0" w:firstColumn="1" w:lastColumn="0" w:noHBand="0" w:noVBand="1"/>
      </w:tblPr>
      <w:tblGrid>
        <w:gridCol w:w="4656"/>
        <w:gridCol w:w="4521"/>
      </w:tblGrid>
      <w:tr w:rsidR="5D024212" w14:paraId="77116EC4" w14:textId="77777777" w:rsidTr="5D024212">
        <w:trPr>
          <w:trHeight w:val="3870"/>
        </w:trPr>
        <w:tc>
          <w:tcPr>
            <w:tcW w:w="4530" w:type="dxa"/>
            <w:tcMar>
              <w:left w:w="108" w:type="dxa"/>
              <w:right w:w="108" w:type="dxa"/>
            </w:tcMar>
          </w:tcPr>
          <w:p w14:paraId="5E6D2487" w14:textId="4E1F6EF6" w:rsidR="03F4C1C5" w:rsidRDefault="03F4C1C5" w:rsidP="5D024212">
            <w:r>
              <w:rPr>
                <w:noProof/>
              </w:rPr>
              <w:drawing>
                <wp:inline distT="0" distB="0" distL="0" distR="0" wp14:anchorId="31A17538" wp14:editId="41D8ADE2">
                  <wp:extent cx="2819400" cy="2552700"/>
                  <wp:effectExtent l="0" t="0" r="0" b="0"/>
                  <wp:docPr id="1780176321" name="drawing">
                    <a:extLst xmlns:a="http://schemas.openxmlformats.org/drawingml/2006/main">
                      <a:ext uri="{FF2B5EF4-FFF2-40B4-BE49-F238E27FC236}">
                        <a16:creationId xmlns:a16="http://schemas.microsoft.com/office/drawing/2014/main" id="{0DCDEFE1-33D7-4D53-885A-137D43575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76321" name="Picture 1780176321"/>
                          <pic:cNvPicPr/>
                        </pic:nvPicPr>
                        <pic:blipFill>
                          <a:blip r:embed="rId10">
                            <a:extLst>
                              <a:ext uri="{28A0092B-C50C-407E-A947-70E740481C1C}">
                                <a14:useLocalDpi xmlns:a14="http://schemas.microsoft.com/office/drawing/2010/main"/>
                              </a:ext>
                            </a:extLst>
                          </a:blip>
                          <a:stretch>
                            <a:fillRect/>
                          </a:stretch>
                        </pic:blipFill>
                        <pic:spPr>
                          <a:xfrm>
                            <a:off x="0" y="0"/>
                            <a:ext cx="2819400" cy="2552700"/>
                          </a:xfrm>
                          <a:prstGeom prst="rect">
                            <a:avLst/>
                          </a:prstGeom>
                        </pic:spPr>
                      </pic:pic>
                    </a:graphicData>
                  </a:graphic>
                </wp:inline>
              </w:drawing>
            </w:r>
          </w:p>
        </w:tc>
        <w:tc>
          <w:tcPr>
            <w:tcW w:w="4485" w:type="dxa"/>
            <w:tcMar>
              <w:left w:w="108" w:type="dxa"/>
              <w:right w:w="108" w:type="dxa"/>
            </w:tcMar>
          </w:tcPr>
          <w:p w14:paraId="7906FE65" w14:textId="5698A56A" w:rsidR="03F4C1C5" w:rsidRDefault="03F4C1C5" w:rsidP="5D024212">
            <w:r>
              <w:rPr>
                <w:noProof/>
              </w:rPr>
              <w:drawing>
                <wp:inline distT="0" distB="0" distL="0" distR="0" wp14:anchorId="7835CCB9" wp14:editId="6123245F">
                  <wp:extent cx="2733675" cy="2533650"/>
                  <wp:effectExtent l="0" t="0" r="0" b="0"/>
                  <wp:docPr id="1692358385" name="drawing">
                    <a:extLst xmlns:a="http://schemas.openxmlformats.org/drawingml/2006/main">
                      <a:ext uri="{FF2B5EF4-FFF2-40B4-BE49-F238E27FC236}">
                        <a16:creationId xmlns:a16="http://schemas.microsoft.com/office/drawing/2014/main" id="{0C197DCE-2395-4BC0-B436-F02D099B1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58385" name="Picture 1692358385"/>
                          <pic:cNvPicPr/>
                        </pic:nvPicPr>
                        <pic:blipFill>
                          <a:blip r:embed="rId11">
                            <a:extLst>
                              <a:ext uri="{28A0092B-C50C-407E-A947-70E740481C1C}">
                                <a14:useLocalDpi xmlns:a14="http://schemas.microsoft.com/office/drawing/2010/main"/>
                              </a:ext>
                            </a:extLst>
                          </a:blip>
                          <a:stretch>
                            <a:fillRect/>
                          </a:stretch>
                        </pic:blipFill>
                        <pic:spPr>
                          <a:xfrm>
                            <a:off x="0" y="0"/>
                            <a:ext cx="2733675" cy="2533650"/>
                          </a:xfrm>
                          <a:prstGeom prst="rect">
                            <a:avLst/>
                          </a:prstGeom>
                        </pic:spPr>
                      </pic:pic>
                    </a:graphicData>
                  </a:graphic>
                </wp:inline>
              </w:drawing>
            </w:r>
          </w:p>
        </w:tc>
      </w:tr>
    </w:tbl>
    <w:p w14:paraId="3D7896DD" w14:textId="20BFC48D" w:rsidR="005E0C7F" w:rsidRDefault="03F4C1C5" w:rsidP="5D024212">
      <w:pPr>
        <w:spacing w:line="276" w:lineRule="auto"/>
      </w:pPr>
      <w:r w:rsidRPr="5D024212">
        <w:rPr>
          <w:rFonts w:ascii="Aptos" w:eastAsia="Aptos" w:hAnsi="Aptos" w:cs="Aptos"/>
          <w:b/>
          <w:bCs/>
          <w:sz w:val="18"/>
          <w:szCs w:val="18"/>
        </w:rPr>
        <w:t xml:space="preserve">Figure 7: PIE CHART Agricultural input adoption                       Figure 8: HISTOGRAM                          </w:t>
      </w:r>
    </w:p>
    <w:p w14:paraId="2D642A74" w14:textId="06CCE7E5" w:rsidR="005E0C7F" w:rsidRDefault="03F4C1C5" w:rsidP="7885EA44">
      <w:pPr>
        <w:pStyle w:val="Heading1"/>
        <w:spacing w:line="276" w:lineRule="auto"/>
        <w:rPr>
          <w:rFonts w:ascii="Aptos Display" w:eastAsia="Aptos Display" w:hAnsi="Aptos Display" w:cs="Aptos Display"/>
        </w:rPr>
      </w:pPr>
      <w:bookmarkStart w:id="15" w:name="_Toc1218962578"/>
      <w:r w:rsidRPr="7885EA44">
        <w:rPr>
          <w:rFonts w:ascii="Aptos Display" w:eastAsia="Aptos Display" w:hAnsi="Aptos Display" w:cs="Aptos Display"/>
        </w:rPr>
        <w:t>5. Database Integration</w:t>
      </w:r>
      <w:bookmarkEnd w:id="15"/>
    </w:p>
    <w:p w14:paraId="5E76D81E" w14:textId="34702E18" w:rsidR="005E0C7F" w:rsidRDefault="03F4C1C5" w:rsidP="7885EA44">
      <w:pPr>
        <w:spacing w:line="276" w:lineRule="auto"/>
      </w:pPr>
      <w:r w:rsidRPr="7885EA44">
        <w:rPr>
          <w:rFonts w:ascii="Aptos" w:eastAsia="Aptos" w:hAnsi="Aptos" w:cs="Aptos"/>
        </w:rPr>
        <w:t xml:space="preserve">The database stage shows that the cleaned information could be stored, queried, updated, </w:t>
      </w:r>
      <w:r w:rsidR="4452D4F9" w:rsidRPr="7885EA44">
        <w:rPr>
          <w:rFonts w:ascii="Aptos" w:eastAsia="Aptos" w:hAnsi="Aptos" w:cs="Aptos"/>
        </w:rPr>
        <w:t>deleted,</w:t>
      </w:r>
      <w:r w:rsidRPr="7885EA44">
        <w:rPr>
          <w:rFonts w:ascii="Aptos" w:eastAsia="Aptos" w:hAnsi="Aptos" w:cs="Aptos"/>
        </w:rPr>
        <w:t xml:space="preserve"> and loaded back into Pandas. The notebook used SQLite through Python's sqlite3 library, providing a working database component for the project.</w:t>
      </w:r>
    </w:p>
    <w:p w14:paraId="7A68027B" w14:textId="22D09E7D" w:rsidR="005E0C7F" w:rsidRDefault="03F4C1C5" w:rsidP="7885EA44">
      <w:pPr>
        <w:spacing w:line="276" w:lineRule="auto"/>
      </w:pPr>
      <w:r w:rsidRPr="7885EA44">
        <w:rPr>
          <w:rFonts w:ascii="Aptos Display" w:eastAsia="Aptos Display" w:hAnsi="Aptos Display" w:cs="Aptos Display"/>
        </w:rPr>
        <w:t>5.1 Database Structure</w:t>
      </w:r>
    </w:p>
    <w:p w14:paraId="1D61CD6D" w14:textId="54B10C14" w:rsidR="005E0C7F" w:rsidRDefault="03F4C1C5" w:rsidP="5D024212">
      <w:pPr>
        <w:spacing w:line="276" w:lineRule="auto"/>
      </w:pPr>
      <w:r w:rsidRPr="5D024212">
        <w:rPr>
          <w:rFonts w:ascii="Aptos" w:eastAsia="Aptos" w:hAnsi="Aptos" w:cs="Aptos"/>
        </w:rPr>
        <w:t>A SQLite database file named worldbank_data.db was created with two main tables: interest_margin and agri_indicators. The first stores country, year, quarter and interest-margin values. The second stores country, indicator code, indicator name, year and agricultural values.</w:t>
      </w:r>
    </w:p>
    <w:tbl>
      <w:tblPr>
        <w:tblStyle w:val="TableGrid"/>
        <w:tblW w:w="0" w:type="auto"/>
        <w:tblLook w:val="04A0" w:firstRow="1" w:lastRow="0" w:firstColumn="1" w:lastColumn="0" w:noHBand="0" w:noVBand="1"/>
      </w:tblPr>
      <w:tblGrid>
        <w:gridCol w:w="3030"/>
        <w:gridCol w:w="3000"/>
        <w:gridCol w:w="2985"/>
      </w:tblGrid>
      <w:tr w:rsidR="5D024212" w14:paraId="256CD248" w14:textId="77777777" w:rsidTr="5D024212">
        <w:trPr>
          <w:trHeight w:val="300"/>
        </w:trPr>
        <w:tc>
          <w:tcPr>
            <w:tcW w:w="3030"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7763AA5C" w14:textId="6C6C76CB" w:rsidR="5D024212" w:rsidRDefault="5D024212" w:rsidP="5D024212">
            <w:r w:rsidRPr="5D024212">
              <w:rPr>
                <w:rFonts w:ascii="Aptos" w:eastAsia="Aptos" w:hAnsi="Aptos" w:cs="Aptos"/>
                <w:b/>
                <w:bCs/>
                <w:color w:val="000000" w:themeColor="text1"/>
                <w:sz w:val="17"/>
                <w:szCs w:val="17"/>
              </w:rPr>
              <w:t>Table</w:t>
            </w:r>
          </w:p>
        </w:tc>
        <w:tc>
          <w:tcPr>
            <w:tcW w:w="3000"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09D37182" w14:textId="5FE5ACEA" w:rsidR="5D024212" w:rsidRDefault="5D024212" w:rsidP="5D024212">
            <w:r w:rsidRPr="5D024212">
              <w:rPr>
                <w:rFonts w:ascii="Aptos" w:eastAsia="Aptos" w:hAnsi="Aptos" w:cs="Aptos"/>
                <w:b/>
                <w:bCs/>
                <w:color w:val="000000" w:themeColor="text1"/>
                <w:sz w:val="17"/>
                <w:szCs w:val="17"/>
              </w:rPr>
              <w:t>Purpose</w:t>
            </w:r>
          </w:p>
        </w:tc>
        <w:tc>
          <w:tcPr>
            <w:tcW w:w="298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5B6D3083" w14:textId="4CB7F46F" w:rsidR="5D024212" w:rsidRDefault="5D024212" w:rsidP="5D024212">
            <w:r w:rsidRPr="5D024212">
              <w:rPr>
                <w:rFonts w:ascii="Aptos" w:eastAsia="Aptos" w:hAnsi="Aptos" w:cs="Aptos"/>
                <w:b/>
                <w:bCs/>
                <w:color w:val="000000" w:themeColor="text1"/>
                <w:sz w:val="17"/>
                <w:szCs w:val="17"/>
              </w:rPr>
              <w:t>Important fields</w:t>
            </w:r>
          </w:p>
        </w:tc>
      </w:tr>
      <w:tr w:rsidR="5D024212" w14:paraId="7B77372A" w14:textId="77777777" w:rsidTr="5D024212">
        <w:trPr>
          <w:trHeight w:val="300"/>
        </w:trPr>
        <w:tc>
          <w:tcPr>
            <w:tcW w:w="30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A72C0" w14:textId="7C033E20" w:rsidR="5D024212" w:rsidRDefault="5D024212" w:rsidP="5D024212">
            <w:r w:rsidRPr="5D024212">
              <w:rPr>
                <w:rFonts w:ascii="Aptos" w:eastAsia="Aptos" w:hAnsi="Aptos" w:cs="Aptos"/>
                <w:sz w:val="16"/>
                <w:szCs w:val="16"/>
              </w:rPr>
              <w:t>interest_margin</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1A5EC" w14:textId="22B93D7B" w:rsidR="5D024212" w:rsidRDefault="5D024212" w:rsidP="5D024212">
            <w:r w:rsidRPr="5D024212">
              <w:rPr>
                <w:rFonts w:ascii="Aptos" w:eastAsia="Aptos" w:hAnsi="Aptos" w:cs="Aptos"/>
                <w:sz w:val="16"/>
                <w:szCs w:val="16"/>
              </w:rPr>
              <w:t>South Africa and other financial observations</w:t>
            </w:r>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82193E" w14:textId="17198C2E" w:rsidR="5D024212" w:rsidRDefault="5D024212" w:rsidP="5D024212">
            <w:r w:rsidRPr="5D024212">
              <w:rPr>
                <w:rFonts w:ascii="Aptos" w:eastAsia="Aptos" w:hAnsi="Aptos" w:cs="Aptos"/>
                <w:sz w:val="16"/>
                <w:szCs w:val="16"/>
              </w:rPr>
              <w:t>Country, year, quarter, interest margin value</w:t>
            </w:r>
          </w:p>
        </w:tc>
      </w:tr>
      <w:tr w:rsidR="5D024212" w14:paraId="3A14D754" w14:textId="77777777" w:rsidTr="5D024212">
        <w:trPr>
          <w:trHeight w:val="300"/>
        </w:trPr>
        <w:tc>
          <w:tcPr>
            <w:tcW w:w="30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4C0E06" w14:textId="67FE7F85" w:rsidR="5D024212" w:rsidRDefault="5D024212" w:rsidP="5D024212">
            <w:r w:rsidRPr="5D024212">
              <w:rPr>
                <w:rFonts w:ascii="Aptos" w:eastAsia="Aptos" w:hAnsi="Aptos" w:cs="Aptos"/>
                <w:sz w:val="16"/>
                <w:szCs w:val="16"/>
              </w:rPr>
              <w:t>agri_indicators</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3E3045" w14:textId="498653F3" w:rsidR="5D024212" w:rsidRDefault="5D024212" w:rsidP="5D024212">
            <w:r w:rsidRPr="5D024212">
              <w:rPr>
                <w:rFonts w:ascii="Aptos" w:eastAsia="Aptos" w:hAnsi="Aptos" w:cs="Aptos"/>
                <w:sz w:val="16"/>
                <w:szCs w:val="16"/>
              </w:rPr>
              <w:t>Agricultural indicators</w:t>
            </w:r>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BE251D" w14:textId="13DF7416" w:rsidR="5D024212" w:rsidRDefault="5D024212" w:rsidP="5D024212">
            <w:r w:rsidRPr="5D024212">
              <w:rPr>
                <w:rFonts w:ascii="Aptos" w:eastAsia="Aptos" w:hAnsi="Aptos" w:cs="Aptos"/>
                <w:sz w:val="16"/>
                <w:szCs w:val="16"/>
              </w:rPr>
              <w:t>Country, indicator code/name, year, agricultural value</w:t>
            </w:r>
          </w:p>
        </w:tc>
      </w:tr>
    </w:tbl>
    <w:p w14:paraId="0BFA8634" w14:textId="1577C6C0" w:rsidR="005E0C7F" w:rsidRDefault="03F4C1C5" w:rsidP="5D024212">
      <w:pPr>
        <w:spacing w:after="40" w:line="276" w:lineRule="auto"/>
        <w:jc w:val="center"/>
      </w:pPr>
      <w:r w:rsidRPr="5D024212">
        <w:rPr>
          <w:rFonts w:ascii="Aptos" w:eastAsia="Aptos" w:hAnsi="Aptos" w:cs="Aptos"/>
          <w:b/>
          <w:bCs/>
          <w:sz w:val="18"/>
          <w:szCs w:val="18"/>
        </w:rPr>
        <w:t xml:space="preserve"> </w:t>
      </w:r>
    </w:p>
    <w:p w14:paraId="452D11B2" w14:textId="6DD919A6" w:rsidR="005E0C7F" w:rsidRDefault="03F4C1C5" w:rsidP="5D024212">
      <w:pPr>
        <w:spacing w:after="40" w:line="276" w:lineRule="auto"/>
        <w:jc w:val="center"/>
      </w:pPr>
      <w:r>
        <w:rPr>
          <w:noProof/>
        </w:rPr>
        <w:drawing>
          <wp:inline distT="0" distB="0" distL="0" distR="0" wp14:anchorId="72D8E559" wp14:editId="569B47E4">
            <wp:extent cx="5734050" cy="2381250"/>
            <wp:effectExtent l="0" t="0" r="0" b="0"/>
            <wp:docPr id="1493724823" name="drawing">
              <a:extLst xmlns:a="http://schemas.openxmlformats.org/drawingml/2006/main">
                <a:ext uri="{FF2B5EF4-FFF2-40B4-BE49-F238E27FC236}">
                  <a16:creationId xmlns:a16="http://schemas.microsoft.com/office/drawing/2014/main" id="{62523B46-2B0B-4F60-A9DE-9ACB8DB3DD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4823" name="Picture 1493724823"/>
                    <pic:cNvPicPr/>
                  </pic:nvPicPr>
                  <pic:blipFill>
                    <a:blip r:embed="rId12">
                      <a:extLst>
                        <a:ext uri="{28A0092B-C50C-407E-A947-70E740481C1C}">
                          <a14:useLocalDpi xmlns:a14="http://schemas.microsoft.com/office/drawing/2010/main"/>
                        </a:ext>
                      </a:extLst>
                    </a:blip>
                    <a:stretch>
                      <a:fillRect/>
                    </a:stretch>
                  </pic:blipFill>
                  <pic:spPr>
                    <a:xfrm>
                      <a:off x="0" y="0"/>
                      <a:ext cx="5734050" cy="2381250"/>
                    </a:xfrm>
                    <a:prstGeom prst="rect">
                      <a:avLst/>
                    </a:prstGeom>
                  </pic:spPr>
                </pic:pic>
              </a:graphicData>
            </a:graphic>
          </wp:inline>
        </w:drawing>
      </w:r>
    </w:p>
    <w:p w14:paraId="2E2E9E4A" w14:textId="17D4BFF2" w:rsidR="005E0C7F" w:rsidRDefault="03F4C1C5" w:rsidP="5D024212">
      <w:pPr>
        <w:spacing w:after="40" w:line="276" w:lineRule="auto"/>
        <w:jc w:val="center"/>
      </w:pPr>
      <w:r w:rsidRPr="5D024212">
        <w:rPr>
          <w:rFonts w:ascii="Aptos" w:eastAsia="Aptos" w:hAnsi="Aptos" w:cs="Aptos"/>
          <w:b/>
          <w:bCs/>
          <w:sz w:val="18"/>
          <w:szCs w:val="18"/>
        </w:rPr>
        <w:t>Figure 9: Database schema</w:t>
      </w:r>
    </w:p>
    <w:p w14:paraId="27F7677E" w14:textId="7B037C30" w:rsidR="005E0C7F" w:rsidRDefault="03F4C1C5" w:rsidP="5D024212">
      <w:pPr>
        <w:spacing w:line="276" w:lineRule="auto"/>
      </w:pPr>
      <w:r w:rsidRPr="5D024212">
        <w:rPr>
          <w:rFonts w:ascii="Aptos" w:eastAsia="Aptos" w:hAnsi="Aptos" w:cs="Aptos"/>
        </w:rPr>
        <w:t xml:space="preserve"> </w:t>
      </w:r>
    </w:p>
    <w:p w14:paraId="25F3C716" w14:textId="7A0FBBF6" w:rsidR="005E0C7F" w:rsidRDefault="03F4C1C5" w:rsidP="7885EA44">
      <w:pPr>
        <w:pStyle w:val="Heading2"/>
        <w:spacing w:line="276" w:lineRule="auto"/>
        <w:rPr>
          <w:rFonts w:ascii="Aptos Display" w:eastAsia="Aptos Display" w:hAnsi="Aptos Display" w:cs="Aptos Display"/>
        </w:rPr>
      </w:pPr>
      <w:bookmarkStart w:id="16" w:name="_Toc15076175"/>
      <w:r w:rsidRPr="7885EA44">
        <w:rPr>
          <w:rFonts w:ascii="Aptos Display" w:eastAsia="Aptos Display" w:hAnsi="Aptos Display" w:cs="Aptos Display"/>
        </w:rPr>
        <w:t>5.2 Import and Query</w:t>
      </w:r>
      <w:bookmarkEnd w:id="16"/>
    </w:p>
    <w:p w14:paraId="2BAB50B0" w14:textId="20AB058F" w:rsidR="005E0C7F" w:rsidRDefault="03F4C1C5" w:rsidP="5D024212">
      <w:pPr>
        <w:spacing w:line="276" w:lineRule="auto"/>
      </w:pPr>
      <w:r w:rsidRPr="7885EA44">
        <w:rPr>
          <w:rFonts w:ascii="Aptos" w:eastAsia="Aptos" w:hAnsi="Aptos" w:cs="Aptos"/>
        </w:rPr>
        <w:t>The cleaned datasets were prepared as DataFrames and loaded into the two SQLite tables: 15,737 rows into interest_margin and 157 rows into agri_indicators. The notebook then demonstrated parameterised SELECT queries for South Africa, a safe update operation and a safe delete operation. Finally, both tables were loaded back into Pandas and exported to CSV.</w:t>
      </w:r>
    </w:p>
    <w:tbl>
      <w:tblPr>
        <w:tblStyle w:val="TableGrid"/>
        <w:tblW w:w="0" w:type="auto"/>
        <w:tblLook w:val="04A0" w:firstRow="1" w:lastRow="0" w:firstColumn="1" w:lastColumn="0" w:noHBand="0" w:noVBand="1"/>
      </w:tblPr>
      <w:tblGrid>
        <w:gridCol w:w="4761"/>
        <w:gridCol w:w="4589"/>
      </w:tblGrid>
      <w:tr w:rsidR="5D024212" w14:paraId="3D60EF68" w14:textId="77777777" w:rsidTr="5D024212">
        <w:trPr>
          <w:trHeight w:val="2625"/>
        </w:trPr>
        <w:tc>
          <w:tcPr>
            <w:tcW w:w="4605" w:type="dxa"/>
            <w:tcMar>
              <w:left w:w="108" w:type="dxa"/>
              <w:right w:w="108" w:type="dxa"/>
            </w:tcMar>
          </w:tcPr>
          <w:p w14:paraId="1439CDF0" w14:textId="6EA83EB5" w:rsidR="03F4C1C5" w:rsidRDefault="03F4C1C5" w:rsidP="5D024212">
            <w:r>
              <w:rPr>
                <w:noProof/>
              </w:rPr>
              <w:drawing>
                <wp:inline distT="0" distB="0" distL="0" distR="0" wp14:anchorId="317354AD" wp14:editId="1CEC6A47">
                  <wp:extent cx="3009900" cy="2971800"/>
                  <wp:effectExtent l="0" t="0" r="0" b="0"/>
                  <wp:docPr id="1974194276" name="drawing">
                    <a:extLst xmlns:a="http://schemas.openxmlformats.org/drawingml/2006/main">
                      <a:ext uri="{FF2B5EF4-FFF2-40B4-BE49-F238E27FC236}">
                        <a16:creationId xmlns:a16="http://schemas.microsoft.com/office/drawing/2014/main" id="{0DD5264A-11B3-4B5E-952A-6B7D7575B2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4276" name="Picture 1974194276"/>
                          <pic:cNvPicPr/>
                        </pic:nvPicPr>
                        <pic:blipFill>
                          <a:blip r:embed="rId13">
                            <a:extLst>
                              <a:ext uri="{28A0092B-C50C-407E-A947-70E740481C1C}">
                                <a14:useLocalDpi xmlns:a14="http://schemas.microsoft.com/office/drawing/2010/main"/>
                              </a:ext>
                            </a:extLst>
                          </a:blip>
                          <a:stretch>
                            <a:fillRect/>
                          </a:stretch>
                        </pic:blipFill>
                        <pic:spPr>
                          <a:xfrm>
                            <a:off x="0" y="0"/>
                            <a:ext cx="3009900" cy="2971800"/>
                          </a:xfrm>
                          <a:prstGeom prst="rect">
                            <a:avLst/>
                          </a:prstGeom>
                        </pic:spPr>
                      </pic:pic>
                    </a:graphicData>
                  </a:graphic>
                </wp:inline>
              </w:drawing>
            </w:r>
          </w:p>
        </w:tc>
        <w:tc>
          <w:tcPr>
            <w:tcW w:w="4425" w:type="dxa"/>
            <w:tcMar>
              <w:left w:w="108" w:type="dxa"/>
              <w:right w:w="108" w:type="dxa"/>
            </w:tcMar>
          </w:tcPr>
          <w:p w14:paraId="649586E9" w14:textId="12FBDC84" w:rsidR="03F4C1C5" w:rsidRDefault="03F4C1C5" w:rsidP="5D024212">
            <w:r>
              <w:rPr>
                <w:noProof/>
              </w:rPr>
              <w:drawing>
                <wp:inline distT="0" distB="0" distL="0" distR="0" wp14:anchorId="7451DA14" wp14:editId="3C149464">
                  <wp:extent cx="2895600" cy="3038475"/>
                  <wp:effectExtent l="0" t="0" r="0" b="0"/>
                  <wp:docPr id="19308092" name="drawing">
                    <a:extLst xmlns:a="http://schemas.openxmlformats.org/drawingml/2006/main">
                      <a:ext uri="{FF2B5EF4-FFF2-40B4-BE49-F238E27FC236}">
                        <a16:creationId xmlns:a16="http://schemas.microsoft.com/office/drawing/2014/main" id="{1DD03C3E-B01D-41F4-AE54-CEB2CAF44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092" name="Picture 19308092"/>
                          <pic:cNvPicPr/>
                        </pic:nvPicPr>
                        <pic:blipFill>
                          <a:blip r:embed="rId14">
                            <a:extLst>
                              <a:ext uri="{28A0092B-C50C-407E-A947-70E740481C1C}">
                                <a14:useLocalDpi xmlns:a14="http://schemas.microsoft.com/office/drawing/2010/main"/>
                              </a:ext>
                            </a:extLst>
                          </a:blip>
                          <a:stretch>
                            <a:fillRect/>
                          </a:stretch>
                        </pic:blipFill>
                        <pic:spPr>
                          <a:xfrm>
                            <a:off x="0" y="0"/>
                            <a:ext cx="2895600" cy="3038475"/>
                          </a:xfrm>
                          <a:prstGeom prst="rect">
                            <a:avLst/>
                          </a:prstGeom>
                        </pic:spPr>
                      </pic:pic>
                    </a:graphicData>
                  </a:graphic>
                </wp:inline>
              </w:drawing>
            </w:r>
          </w:p>
        </w:tc>
      </w:tr>
    </w:tbl>
    <w:p w14:paraId="14AF274B" w14:textId="1EEDC8FC" w:rsidR="005E0C7F" w:rsidRDefault="03F4C1C5" w:rsidP="5D024212">
      <w:pPr>
        <w:spacing w:after="40" w:line="276" w:lineRule="auto"/>
        <w:jc w:val="center"/>
      </w:pPr>
      <w:r w:rsidRPr="5D024212">
        <w:rPr>
          <w:rFonts w:ascii="Aptos" w:eastAsia="Aptos" w:hAnsi="Aptos" w:cs="Aptos"/>
          <w:b/>
          <w:bCs/>
          <w:sz w:val="18"/>
          <w:szCs w:val="18"/>
        </w:rPr>
        <w:t xml:space="preserve">    Figure 10: Successful data import                                                    Figure 11: South Africa query</w:t>
      </w:r>
    </w:p>
    <w:p w14:paraId="5033EA03" w14:textId="2DBE34A2" w:rsidR="005E0C7F" w:rsidRDefault="03F4C1C5" w:rsidP="7885EA44">
      <w:pPr>
        <w:pStyle w:val="Heading1"/>
        <w:spacing w:line="276" w:lineRule="auto"/>
      </w:pPr>
      <w:bookmarkStart w:id="17" w:name="_Toc631285059"/>
      <w:r w:rsidRPr="7885EA44">
        <w:rPr>
          <w:rFonts w:ascii="Aptos Display" w:eastAsia="Aptos Display" w:hAnsi="Aptos Display" w:cs="Aptos Display"/>
        </w:rPr>
        <w:t>6. Python Integration of the Datasets</w:t>
      </w:r>
      <w:bookmarkEnd w:id="17"/>
      <w:r w:rsidRPr="7885EA44">
        <w:rPr>
          <w:rFonts w:ascii="Aptos" w:eastAsia="Aptos" w:hAnsi="Aptos" w:cs="Aptos"/>
        </w:rPr>
        <w:t xml:space="preserve"> </w:t>
      </w:r>
    </w:p>
    <w:p w14:paraId="2D8A90CC" w14:textId="4F2BD0DA" w:rsidR="54B812F0" w:rsidRDefault="54B812F0" w:rsidP="233343CF">
      <w:pPr>
        <w:shd w:val="clear" w:color="auto" w:fill="FFFFFF" w:themeFill="background1"/>
        <w:spacing w:after="210"/>
      </w:pPr>
      <w:r w:rsidRPr="233343CF">
        <w:rPr>
          <w:rFonts w:ascii="system-ui" w:eastAsia="system-ui" w:hAnsi="system-ui" w:cs="system-ui"/>
          <w:sz w:val="21"/>
          <w:szCs w:val="21"/>
        </w:rPr>
        <w:t xml:space="preserve">This section </w:t>
      </w:r>
      <w:r w:rsidRPr="23A8635C">
        <w:rPr>
          <w:rFonts w:ascii="system-ui" w:eastAsia="system-ui" w:hAnsi="system-ui" w:cs="system-ui"/>
          <w:sz w:val="21"/>
          <w:szCs w:val="21"/>
        </w:rPr>
        <w:t>of</w:t>
      </w:r>
      <w:r w:rsidRPr="233343CF">
        <w:rPr>
          <w:rFonts w:ascii="system-ui" w:eastAsia="system-ui" w:hAnsi="system-ui" w:cs="system-ui"/>
          <w:sz w:val="21"/>
          <w:szCs w:val="21"/>
        </w:rPr>
        <w:t xml:space="preserve"> </w:t>
      </w:r>
      <w:r w:rsidRPr="496CB0B5">
        <w:rPr>
          <w:rFonts w:ascii="system-ui" w:eastAsia="system-ui" w:hAnsi="system-ui" w:cs="system-ui"/>
          <w:sz w:val="21"/>
          <w:szCs w:val="21"/>
        </w:rPr>
        <w:t xml:space="preserve">question 5 </w:t>
      </w:r>
      <w:r w:rsidRPr="59C66EA7">
        <w:rPr>
          <w:rFonts w:ascii="system-ui" w:eastAsia="system-ui" w:hAnsi="system-ui" w:cs="system-ui"/>
          <w:sz w:val="21"/>
          <w:szCs w:val="21"/>
        </w:rPr>
        <w:t>in the</w:t>
      </w:r>
      <w:r w:rsidRPr="233343CF">
        <w:rPr>
          <w:rFonts w:ascii="system-ui" w:eastAsia="system-ui" w:hAnsi="system-ui" w:cs="system-ui"/>
          <w:sz w:val="21"/>
          <w:szCs w:val="21"/>
        </w:rPr>
        <w:t xml:space="preserve"> assignment </w:t>
      </w:r>
      <w:r w:rsidRPr="104BC1C6">
        <w:rPr>
          <w:rFonts w:ascii="system-ui" w:eastAsia="system-ui" w:hAnsi="system-ui" w:cs="system-ui"/>
          <w:sz w:val="21"/>
          <w:szCs w:val="21"/>
        </w:rPr>
        <w:t xml:space="preserve">is </w:t>
      </w:r>
      <w:r w:rsidRPr="597356E4">
        <w:rPr>
          <w:rFonts w:ascii="system-ui" w:eastAsia="system-ui" w:hAnsi="system-ui" w:cs="system-ui"/>
          <w:sz w:val="21"/>
          <w:szCs w:val="21"/>
        </w:rPr>
        <w:t xml:space="preserve">responsible </w:t>
      </w:r>
      <w:r w:rsidRPr="2984E993">
        <w:rPr>
          <w:rFonts w:ascii="system-ui" w:eastAsia="system-ui" w:hAnsi="system-ui" w:cs="system-ui"/>
          <w:sz w:val="21"/>
          <w:szCs w:val="21"/>
        </w:rPr>
        <w:t xml:space="preserve">for </w:t>
      </w:r>
      <w:r w:rsidRPr="0AFFBFFA">
        <w:rPr>
          <w:rFonts w:ascii="system-ui" w:eastAsia="system-ui" w:hAnsi="system-ui" w:cs="system-ui"/>
          <w:sz w:val="21"/>
          <w:szCs w:val="21"/>
        </w:rPr>
        <w:t>cleaning</w:t>
      </w:r>
      <w:r w:rsidRPr="233343CF">
        <w:rPr>
          <w:rFonts w:ascii="system-ui" w:eastAsia="system-ui" w:hAnsi="system-ui" w:cs="system-ui"/>
          <w:sz w:val="21"/>
          <w:szCs w:val="21"/>
        </w:rPr>
        <w:t xml:space="preserve"> and </w:t>
      </w:r>
      <w:r w:rsidR="16E67F27" w:rsidRPr="28B3529C">
        <w:rPr>
          <w:rFonts w:ascii="system-ui" w:eastAsia="system-ui" w:hAnsi="system-ui" w:cs="system-ui"/>
          <w:sz w:val="21"/>
          <w:szCs w:val="21"/>
        </w:rPr>
        <w:t>tr</w:t>
      </w:r>
      <w:r w:rsidRPr="28B3529C">
        <w:rPr>
          <w:rFonts w:ascii="system-ui" w:eastAsia="system-ui" w:hAnsi="system-ui" w:cs="system-ui"/>
          <w:sz w:val="21"/>
          <w:szCs w:val="21"/>
        </w:rPr>
        <w:t>ansforming</w:t>
      </w:r>
      <w:r w:rsidRPr="233343CF">
        <w:rPr>
          <w:rFonts w:ascii="system-ui" w:eastAsia="system-ui" w:hAnsi="system-ui" w:cs="system-ui"/>
          <w:sz w:val="21"/>
          <w:szCs w:val="21"/>
        </w:rPr>
        <w:t xml:space="preserve"> data, </w:t>
      </w:r>
      <w:r w:rsidRPr="1E1CE65C">
        <w:rPr>
          <w:rFonts w:ascii="system-ui" w:eastAsia="system-ui" w:hAnsi="system-ui" w:cs="system-ui"/>
          <w:sz w:val="21"/>
          <w:szCs w:val="21"/>
        </w:rPr>
        <w:t>applying</w:t>
      </w:r>
      <w:r w:rsidRPr="233343CF">
        <w:rPr>
          <w:rFonts w:ascii="system-ui" w:eastAsia="system-ui" w:hAnsi="system-ui" w:cs="system-ui"/>
          <w:sz w:val="21"/>
          <w:szCs w:val="21"/>
        </w:rPr>
        <w:t xml:space="preserve"> conditional formatting, </w:t>
      </w:r>
      <w:r w:rsidRPr="4D4C36F7">
        <w:rPr>
          <w:rFonts w:ascii="system-ui" w:eastAsia="system-ui" w:hAnsi="system-ui" w:cs="system-ui"/>
          <w:sz w:val="21"/>
          <w:szCs w:val="21"/>
        </w:rPr>
        <w:t>creating</w:t>
      </w:r>
      <w:r w:rsidRPr="233343CF">
        <w:rPr>
          <w:rFonts w:ascii="system-ui" w:eastAsia="system-ui" w:hAnsi="system-ui" w:cs="system-ui"/>
          <w:sz w:val="21"/>
          <w:szCs w:val="21"/>
        </w:rPr>
        <w:t xml:space="preserve"> charts, and </w:t>
      </w:r>
      <w:r w:rsidRPr="171DCBFB">
        <w:rPr>
          <w:rFonts w:ascii="system-ui" w:eastAsia="system-ui" w:hAnsi="system-ui" w:cs="system-ui"/>
          <w:sz w:val="21"/>
          <w:szCs w:val="21"/>
        </w:rPr>
        <w:t>summarising</w:t>
      </w:r>
      <w:r w:rsidRPr="233343CF">
        <w:rPr>
          <w:rFonts w:ascii="system-ui" w:eastAsia="system-ui" w:hAnsi="system-ui" w:cs="system-ui"/>
          <w:sz w:val="21"/>
          <w:szCs w:val="21"/>
        </w:rPr>
        <w:t xml:space="preserve"> findings, done in Excel rather than with matplotlib/seaborn as in Part </w:t>
      </w:r>
      <w:r w:rsidR="2D1AC97D" w:rsidRPr="6FB43512">
        <w:rPr>
          <w:rFonts w:ascii="system-ui" w:eastAsia="system-ui" w:hAnsi="system-ui" w:cs="system-ui"/>
          <w:sz w:val="21"/>
          <w:szCs w:val="21"/>
        </w:rPr>
        <w:t>3</w:t>
      </w:r>
      <w:r w:rsidRPr="233343CF">
        <w:rPr>
          <w:rFonts w:ascii="system-ui" w:eastAsia="system-ui" w:hAnsi="system-ui" w:cs="system-ui"/>
          <w:sz w:val="21"/>
          <w:szCs w:val="21"/>
        </w:rPr>
        <w:t>. It reuses the same South Africa Interest Margin to Gross Income series cleaned in Part 1 and analysed in Part 3, but performs an independent clean and transform pass and writes the result into an Excel workbook (</w:t>
      </w:r>
      <w:r w:rsidRPr="233343CF">
        <w:rPr>
          <w:rFonts w:ascii="Consolas" w:eastAsia="Consolas" w:hAnsi="Consolas" w:cs="Consolas"/>
          <w:sz w:val="21"/>
          <w:szCs w:val="21"/>
        </w:rPr>
        <w:t>Q5_Excel_Analysis.xlsx</w:t>
      </w:r>
      <w:r w:rsidRPr="233343CF">
        <w:rPr>
          <w:rFonts w:ascii="system-ui" w:eastAsia="system-ui" w:hAnsi="system-ui" w:cs="system-ui"/>
          <w:sz w:val="21"/>
          <w:szCs w:val="21"/>
        </w:rPr>
        <w:t xml:space="preserve">) using the companion script </w:t>
      </w:r>
      <w:r w:rsidRPr="233343CF">
        <w:rPr>
          <w:rFonts w:ascii="Consolas" w:eastAsia="Consolas" w:hAnsi="Consolas" w:cs="Consolas"/>
          <w:sz w:val="21"/>
          <w:szCs w:val="21"/>
        </w:rPr>
        <w:t>excel_analysis.py</w:t>
      </w:r>
      <w:r w:rsidRPr="233343CF">
        <w:rPr>
          <w:rFonts w:ascii="system-ui" w:eastAsia="system-ui" w:hAnsi="system-ui" w:cs="system-ui"/>
          <w:sz w:val="21"/>
          <w:szCs w:val="21"/>
        </w:rPr>
        <w:t xml:space="preserve"> in this same folder.</w:t>
      </w:r>
    </w:p>
    <w:p w14:paraId="600E1446" w14:textId="180FE2EF" w:rsidR="54B812F0" w:rsidRDefault="5E119145" w:rsidP="7885EA44">
      <w:pPr>
        <w:pStyle w:val="Heading3"/>
        <w:shd w:val="clear" w:color="auto" w:fill="FFFFFF" w:themeFill="background1"/>
        <w:spacing w:before="181" w:after="242"/>
        <w:rPr>
          <w:rFonts w:ascii="system-ui" w:eastAsia="system-ui" w:hAnsi="system-ui" w:cs="system-ui"/>
          <w:sz w:val="30"/>
          <w:szCs w:val="30"/>
        </w:rPr>
      </w:pPr>
      <w:bookmarkStart w:id="18" w:name="_Toc1406439609"/>
      <w:r w:rsidRPr="7885EA44">
        <w:rPr>
          <w:rFonts w:ascii="system-ui" w:eastAsia="system-ui" w:hAnsi="system-ui" w:cs="system-ui"/>
          <w:sz w:val="30"/>
          <w:szCs w:val="30"/>
        </w:rPr>
        <w:t xml:space="preserve">6.1 </w:t>
      </w:r>
      <w:r w:rsidR="5A61CE19" w:rsidRPr="7885EA44">
        <w:rPr>
          <w:rFonts w:ascii="system-ui" w:eastAsia="system-ui" w:hAnsi="system-ui" w:cs="system-ui"/>
          <w:sz w:val="30"/>
          <w:szCs w:val="30"/>
        </w:rPr>
        <w:t>Conditional formatting applied (in Excel)</w:t>
      </w:r>
      <w:bookmarkEnd w:id="18"/>
    </w:p>
    <w:p w14:paraId="4C444A33" w14:textId="5BA33B0E" w:rsidR="54B812F0" w:rsidRDefault="5A61CE19" w:rsidP="2E6FF13F">
      <w:pPr>
        <w:pStyle w:val="ListParagraph"/>
        <w:numPr>
          <w:ilvl w:val="0"/>
          <w:numId w:val="2"/>
        </w:numPr>
        <w:shd w:val="clear" w:color="auto" w:fill="FFFFFF" w:themeFill="background1"/>
        <w:spacing w:after="0"/>
        <w:rPr>
          <w:rFonts w:ascii="system-ui" w:eastAsia="system-ui" w:hAnsi="system-ui" w:cs="system-ui"/>
          <w:sz w:val="21"/>
          <w:szCs w:val="21"/>
        </w:rPr>
      </w:pPr>
      <w:r w:rsidRPr="2E6FF13F">
        <w:rPr>
          <w:rFonts w:ascii="system-ui" w:eastAsia="system-ui" w:hAnsi="system-ui" w:cs="system-ui"/>
          <w:b/>
          <w:bCs/>
          <w:sz w:val="21"/>
          <w:szCs w:val="21"/>
        </w:rPr>
        <w:t>Colour scale</w:t>
      </w:r>
      <w:r w:rsidRPr="2E6FF13F">
        <w:rPr>
          <w:rFonts w:ascii="system-ui" w:eastAsia="system-ui" w:hAnsi="system-ui" w:cs="system-ui"/>
          <w:sz w:val="21"/>
          <w:szCs w:val="21"/>
        </w:rPr>
        <w:t xml:space="preserve"> (green to yellow to red) on </w:t>
      </w:r>
      <w:r w:rsidRPr="2E6FF13F">
        <w:rPr>
          <w:rFonts w:ascii="Consolas" w:eastAsia="Consolas" w:hAnsi="Consolas" w:cs="Consolas"/>
          <w:sz w:val="21"/>
          <w:szCs w:val="21"/>
        </w:rPr>
        <w:t>Interest_Margin_Pct</w:t>
      </w:r>
      <w:r w:rsidRPr="2E6FF13F">
        <w:rPr>
          <w:rFonts w:ascii="system-ui" w:eastAsia="system-ui" w:hAnsi="system-ui" w:cs="system-ui"/>
          <w:sz w:val="21"/>
          <w:szCs w:val="21"/>
        </w:rPr>
        <w:t>, to flag low vs high values at a glance</w:t>
      </w:r>
    </w:p>
    <w:p w14:paraId="3B4DEEB0" w14:textId="2E86333E" w:rsidR="54B812F0" w:rsidRDefault="5A61CE19" w:rsidP="2E6FF13F">
      <w:pPr>
        <w:pStyle w:val="ListParagraph"/>
        <w:numPr>
          <w:ilvl w:val="0"/>
          <w:numId w:val="2"/>
        </w:numPr>
        <w:shd w:val="clear" w:color="auto" w:fill="FFFFFF" w:themeFill="background1"/>
        <w:spacing w:after="0"/>
        <w:rPr>
          <w:rFonts w:ascii="system-ui" w:eastAsia="system-ui" w:hAnsi="system-ui" w:cs="system-ui"/>
          <w:sz w:val="21"/>
          <w:szCs w:val="21"/>
        </w:rPr>
      </w:pPr>
      <w:r w:rsidRPr="2E6FF13F">
        <w:rPr>
          <w:rFonts w:ascii="system-ui" w:eastAsia="system-ui" w:hAnsi="system-ui" w:cs="system-ui"/>
          <w:b/>
          <w:bCs/>
          <w:sz w:val="21"/>
          <w:szCs w:val="21"/>
        </w:rPr>
        <w:t>Red / blue highlight</w:t>
      </w:r>
      <w:r w:rsidRPr="2E6FF13F">
        <w:rPr>
          <w:rFonts w:ascii="system-ui" w:eastAsia="system-ui" w:hAnsi="system-ui" w:cs="system-ui"/>
          <w:sz w:val="21"/>
          <w:szCs w:val="21"/>
        </w:rPr>
        <w:t xml:space="preserve"> on </w:t>
      </w:r>
      <w:r w:rsidRPr="2E6FF13F">
        <w:rPr>
          <w:rFonts w:ascii="Consolas" w:eastAsia="Consolas" w:hAnsi="Consolas" w:cs="Consolas"/>
          <w:sz w:val="21"/>
          <w:szCs w:val="21"/>
        </w:rPr>
        <w:t>YoY_Change_pct</w:t>
      </w:r>
      <w:r w:rsidRPr="2E6FF13F">
        <w:rPr>
          <w:rFonts w:ascii="system-ui" w:eastAsia="system-ui" w:hAnsi="system-ui" w:cs="system-ui"/>
          <w:sz w:val="21"/>
          <w:szCs w:val="21"/>
        </w:rPr>
        <w:t>. Red means the margin rose that year, blue means it fell</w:t>
      </w:r>
    </w:p>
    <w:p w14:paraId="25CDB217" w14:textId="46A4B0FF" w:rsidR="54B812F0" w:rsidRDefault="5A61CE19" w:rsidP="2E6FF13F">
      <w:pPr>
        <w:pStyle w:val="ListParagraph"/>
        <w:numPr>
          <w:ilvl w:val="0"/>
          <w:numId w:val="2"/>
        </w:numPr>
        <w:shd w:val="clear" w:color="auto" w:fill="FFFFFF" w:themeFill="background1"/>
        <w:spacing w:after="0"/>
        <w:rPr>
          <w:rFonts w:ascii="system-ui" w:eastAsia="system-ui" w:hAnsi="system-ui" w:cs="system-ui"/>
          <w:sz w:val="21"/>
          <w:szCs w:val="21"/>
        </w:rPr>
      </w:pPr>
      <w:r w:rsidRPr="2E6FF13F">
        <w:rPr>
          <w:rFonts w:ascii="system-ui" w:eastAsia="system-ui" w:hAnsi="system-ui" w:cs="system-ui"/>
          <w:b/>
          <w:bCs/>
          <w:sz w:val="21"/>
          <w:szCs w:val="21"/>
        </w:rPr>
        <w:t>Red highlight</w:t>
      </w:r>
      <w:r w:rsidRPr="2E6FF13F">
        <w:rPr>
          <w:rFonts w:ascii="system-ui" w:eastAsia="system-ui" w:hAnsi="system-ui" w:cs="system-ui"/>
          <w:sz w:val="21"/>
          <w:szCs w:val="21"/>
        </w:rPr>
        <w:t xml:space="preserve"> on rows where </w:t>
      </w:r>
      <w:r w:rsidRPr="2E6FF13F">
        <w:rPr>
          <w:rFonts w:ascii="Consolas" w:eastAsia="Consolas" w:hAnsi="Consolas" w:cs="Consolas"/>
          <w:sz w:val="21"/>
          <w:szCs w:val="21"/>
        </w:rPr>
        <w:t>Margin_Band</w:t>
      </w:r>
      <w:r w:rsidRPr="2E6FF13F">
        <w:rPr>
          <w:rFonts w:ascii="system-ui" w:eastAsia="system-ui" w:hAnsi="system-ui" w:cs="system-ui"/>
          <w:sz w:val="21"/>
          <w:szCs w:val="21"/>
        </w:rPr>
        <w:t xml:space="preserve"> is "High" (54% and above)</w:t>
      </w:r>
    </w:p>
    <w:p w14:paraId="071E5F87" w14:textId="54F5591B" w:rsidR="54B812F0" w:rsidRDefault="44C96319" w:rsidP="7885EA44">
      <w:pPr>
        <w:pStyle w:val="Heading3"/>
        <w:shd w:val="clear" w:color="auto" w:fill="FFFFFF" w:themeFill="background1"/>
        <w:spacing w:before="363" w:after="242"/>
        <w:rPr>
          <w:rFonts w:ascii="system-ui" w:eastAsia="system-ui" w:hAnsi="system-ui" w:cs="system-ui"/>
          <w:sz w:val="30"/>
          <w:szCs w:val="30"/>
        </w:rPr>
      </w:pPr>
      <w:bookmarkStart w:id="19" w:name="_Toc222994509"/>
      <w:r w:rsidRPr="7885EA44">
        <w:rPr>
          <w:rFonts w:ascii="system-ui" w:eastAsia="system-ui" w:hAnsi="system-ui" w:cs="system-ui"/>
          <w:sz w:val="30"/>
          <w:szCs w:val="30"/>
        </w:rPr>
        <w:t xml:space="preserve">6.2 </w:t>
      </w:r>
      <w:r w:rsidR="5A61CE19" w:rsidRPr="7885EA44">
        <w:rPr>
          <w:rFonts w:ascii="system-ui" w:eastAsia="system-ui" w:hAnsi="system-ui" w:cs="system-ui"/>
          <w:sz w:val="30"/>
          <w:szCs w:val="30"/>
        </w:rPr>
        <w:t>Charts built (in Excel)</w:t>
      </w:r>
      <w:bookmarkEnd w:id="19"/>
    </w:p>
    <w:p w14:paraId="7B34B78B" w14:textId="6A09CCA2" w:rsidR="54B812F0" w:rsidRDefault="5A61CE19" w:rsidP="2E6FF13F">
      <w:pPr>
        <w:pStyle w:val="ListParagraph"/>
        <w:numPr>
          <w:ilvl w:val="0"/>
          <w:numId w:val="1"/>
        </w:numPr>
        <w:shd w:val="clear" w:color="auto" w:fill="FFFFFF" w:themeFill="background1"/>
        <w:spacing w:after="0"/>
        <w:rPr>
          <w:rFonts w:ascii="system-ui" w:eastAsia="system-ui" w:hAnsi="system-ui" w:cs="system-ui"/>
          <w:sz w:val="21"/>
          <w:szCs w:val="21"/>
        </w:rPr>
      </w:pPr>
      <w:r w:rsidRPr="2E6FF13F">
        <w:rPr>
          <w:rFonts w:ascii="system-ui" w:eastAsia="system-ui" w:hAnsi="system-ui" w:cs="system-ui"/>
          <w:sz w:val="21"/>
          <w:szCs w:val="21"/>
        </w:rPr>
        <w:t>Trend chart: area filled line, 2008 to 2024, with callouts on the start (2008), low (2010), and high (2024) points</w:t>
      </w:r>
    </w:p>
    <w:p w14:paraId="695A2D98" w14:textId="576C5582" w:rsidR="54B812F0" w:rsidRDefault="5A61CE19" w:rsidP="2E6FF13F">
      <w:pPr>
        <w:pStyle w:val="ListParagraph"/>
        <w:numPr>
          <w:ilvl w:val="0"/>
          <w:numId w:val="1"/>
        </w:numPr>
        <w:shd w:val="clear" w:color="auto" w:fill="FFFFFF" w:themeFill="background1"/>
        <w:spacing w:after="0"/>
        <w:rPr>
          <w:rFonts w:ascii="system-ui" w:eastAsia="system-ui" w:hAnsi="system-ui" w:cs="system-ui"/>
          <w:sz w:val="21"/>
          <w:szCs w:val="21"/>
        </w:rPr>
      </w:pPr>
      <w:r w:rsidRPr="2E6FF13F">
        <w:rPr>
          <w:rFonts w:ascii="system-ui" w:eastAsia="system-ui" w:hAnsi="system-ui" w:cs="system-ui"/>
          <w:sz w:val="21"/>
          <w:szCs w:val="21"/>
        </w:rPr>
        <w:t>Year over year change bar chart: red/blue bars matching the same rising/falling logic, with value labels</w:t>
      </w:r>
    </w:p>
    <w:p w14:paraId="174EF8C2" w14:textId="6E0D47C2" w:rsidR="54B812F0" w:rsidRDefault="5A61CE19" w:rsidP="1C47AA19">
      <w:pPr>
        <w:pStyle w:val="ListParagraph"/>
        <w:numPr>
          <w:ilvl w:val="0"/>
          <w:numId w:val="1"/>
        </w:numPr>
        <w:shd w:val="clear" w:color="auto" w:fill="FFFFFF" w:themeFill="background1"/>
        <w:spacing w:after="0"/>
        <w:rPr>
          <w:rFonts w:ascii="system-ui" w:eastAsia="system-ui" w:hAnsi="system-ui" w:cs="system-ui"/>
          <w:sz w:val="21"/>
          <w:szCs w:val="21"/>
        </w:rPr>
      </w:pPr>
      <w:r w:rsidRPr="1C47AA19">
        <w:rPr>
          <w:rFonts w:ascii="system-ui" w:eastAsia="system-ui" w:hAnsi="system-ui" w:cs="system-ui"/>
          <w:sz w:val="21"/>
          <w:szCs w:val="21"/>
        </w:rPr>
        <w:t>Pie chart: share of the 17 years spent in each Margin_Band (Low, Medium, High)</w:t>
      </w:r>
    </w:p>
    <w:p w14:paraId="7C7F87A6" w14:textId="2611925C" w:rsidR="54B812F0" w:rsidRDefault="54B812F0" w:rsidP="233343CF">
      <w:pPr>
        <w:shd w:val="clear" w:color="auto" w:fill="FFFFFF" w:themeFill="background1"/>
        <w:spacing w:after="105"/>
        <w:rPr>
          <w:rFonts w:ascii="system-ui" w:eastAsia="system-ui" w:hAnsi="system-ui" w:cs="system-ui"/>
          <w:sz w:val="21"/>
          <w:szCs w:val="21"/>
        </w:rPr>
      </w:pPr>
    </w:p>
    <w:p w14:paraId="635D14BA" w14:textId="7088DAF6" w:rsidR="40876D78" w:rsidRDefault="6FE8BE2C" w:rsidP="7E9A5DD0">
      <w:pPr>
        <w:shd w:val="clear" w:color="auto" w:fill="FFFFFF" w:themeFill="background1"/>
        <w:spacing w:after="105" w:line="276" w:lineRule="auto"/>
      </w:pPr>
      <w:r>
        <w:rPr>
          <w:noProof/>
        </w:rPr>
        <w:drawing>
          <wp:inline distT="0" distB="0" distL="0" distR="0" wp14:anchorId="6784106B" wp14:editId="4A7760AC">
            <wp:extent cx="5943600" cy="3038475"/>
            <wp:effectExtent l="0" t="0" r="0" b="0"/>
            <wp:docPr id="257473128" name="drawing">
              <a:extLst xmlns:a="http://schemas.openxmlformats.org/drawingml/2006/main">
                <a:ext uri="{FF2B5EF4-FFF2-40B4-BE49-F238E27FC236}">
                  <a16:creationId xmlns:a16="http://schemas.microsoft.com/office/drawing/2014/main" id="{13737943-54A2-4857-A9F7-597B39DE7A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73128" name="Picture 257473128"/>
                    <pic:cNvPicPr/>
                  </pic:nvPicPr>
                  <pic:blipFill>
                    <a:blip r:embed="rId15">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rsidRPr="1C47AA19">
        <w:rPr>
          <w:rFonts w:ascii="Aptos" w:eastAsia="Aptos" w:hAnsi="Aptos" w:cs="Aptos"/>
          <w:b/>
          <w:bCs/>
          <w:sz w:val="18"/>
          <w:szCs w:val="18"/>
        </w:rPr>
        <w:t>Figure 1</w:t>
      </w:r>
      <w:r w:rsidR="559F1F9B" w:rsidRPr="1C47AA19">
        <w:rPr>
          <w:rFonts w:ascii="Aptos" w:eastAsia="Aptos" w:hAnsi="Aptos" w:cs="Aptos"/>
          <w:b/>
          <w:bCs/>
          <w:sz w:val="18"/>
          <w:szCs w:val="18"/>
        </w:rPr>
        <w:t>2</w:t>
      </w:r>
      <w:r w:rsidRPr="1C47AA19">
        <w:rPr>
          <w:rFonts w:ascii="Aptos" w:eastAsia="Aptos" w:hAnsi="Aptos" w:cs="Aptos"/>
          <w:b/>
          <w:bCs/>
          <w:sz w:val="18"/>
          <w:szCs w:val="18"/>
        </w:rPr>
        <w:t xml:space="preserve">: </w:t>
      </w:r>
      <w:r w:rsidR="7B6B2D4E" w:rsidRPr="1C47AA19">
        <w:rPr>
          <w:rFonts w:ascii="Aptos" w:eastAsia="Aptos" w:hAnsi="Aptos" w:cs="Aptos"/>
          <w:b/>
          <w:bCs/>
          <w:sz w:val="18"/>
          <w:szCs w:val="18"/>
        </w:rPr>
        <w:t>Q5_Excel_Analysis.xlsx workbook</w:t>
      </w:r>
    </w:p>
    <w:p w14:paraId="7A74961D" w14:textId="2E9D0904" w:rsidR="40876D78" w:rsidRDefault="40876D78" w:rsidP="7885EA44">
      <w:pPr>
        <w:shd w:val="clear" w:color="auto" w:fill="FFFFFF" w:themeFill="background1"/>
        <w:spacing w:after="105" w:line="276" w:lineRule="auto"/>
        <w:rPr>
          <w:rFonts w:ascii="system-ui" w:eastAsia="system-ui" w:hAnsi="system-ui" w:cs="system-ui"/>
          <w:sz w:val="21"/>
          <w:szCs w:val="21"/>
        </w:rPr>
      </w:pPr>
    </w:p>
    <w:p w14:paraId="67FB7A29" w14:textId="408A9695" w:rsidR="005E0C7F" w:rsidRDefault="03F4C1C5" w:rsidP="7885EA44">
      <w:pPr>
        <w:pStyle w:val="Heading1"/>
        <w:spacing w:line="276" w:lineRule="auto"/>
      </w:pPr>
      <w:bookmarkStart w:id="20" w:name="_Toc999011399"/>
      <w:r w:rsidRPr="7885EA44">
        <w:rPr>
          <w:rFonts w:ascii="Aptos Display" w:eastAsia="Aptos Display" w:hAnsi="Aptos Display" w:cs="Aptos Display"/>
        </w:rPr>
        <w:t>7. Demo and Conclusion</w:t>
      </w:r>
      <w:bookmarkEnd w:id="20"/>
      <w:r w:rsidRPr="7885EA44">
        <w:rPr>
          <w:rFonts w:ascii="Aptos" w:eastAsia="Aptos" w:hAnsi="Aptos" w:cs="Aptos"/>
        </w:rPr>
        <w:t xml:space="preserve"> </w:t>
      </w:r>
    </w:p>
    <w:p w14:paraId="434F4DAB" w14:textId="6F81B601" w:rsidR="005E0C7F" w:rsidRDefault="03F4C1C5" w:rsidP="7885EA44">
      <w:pPr>
        <w:pStyle w:val="Heading2"/>
        <w:spacing w:line="276" w:lineRule="auto"/>
        <w:rPr>
          <w:rFonts w:ascii="Aptos Display" w:eastAsia="Aptos Display" w:hAnsi="Aptos Display" w:cs="Aptos Display"/>
        </w:rPr>
      </w:pPr>
      <w:bookmarkStart w:id="21" w:name="_Toc399855834"/>
      <w:r w:rsidRPr="7885EA44">
        <w:rPr>
          <w:rFonts w:ascii="Aptos Display" w:eastAsia="Aptos Display" w:hAnsi="Aptos Display" w:cs="Aptos Display"/>
        </w:rPr>
        <w:t>7.1 Main Findings</w:t>
      </w:r>
      <w:bookmarkEnd w:id="21"/>
    </w:p>
    <w:p w14:paraId="248FFA6E" w14:textId="31488654" w:rsidR="005E0C7F" w:rsidRDefault="03F4C1C5" w:rsidP="5D024212">
      <w:pPr>
        <w:spacing w:line="276" w:lineRule="auto"/>
      </w:pPr>
      <w:r w:rsidRPr="5D024212">
        <w:rPr>
          <w:rFonts w:ascii="Aptos" w:eastAsia="Aptos" w:hAnsi="Aptos" w:cs="Aptos"/>
        </w:rPr>
        <w:t>• Data preparation produced clean working datasets: 157 AgriConnect observations and 15,737 Interest Margin observations, with no remaining missing values or duplicate rows after cleaning.</w:t>
      </w:r>
    </w:p>
    <w:p w14:paraId="5C2914E8" w14:textId="58CBF60A" w:rsidR="005E0C7F" w:rsidRDefault="03F4C1C5" w:rsidP="5D024212">
      <w:pPr>
        <w:spacing w:line="276" w:lineRule="auto"/>
      </w:pPr>
      <w:r w:rsidRPr="5D024212">
        <w:rPr>
          <w:rFonts w:ascii="Aptos" w:eastAsia="Aptos" w:hAnsi="Aptos" w:cs="Aptos"/>
        </w:rPr>
        <w:t>• South Africa's Interest Margin to Gross Income increased overall from 50.29 in 2008 to 58.13 in 2024. The linear trend slope was 0.5925 percentage points per year and R-squared was 0.8073.</w:t>
      </w:r>
    </w:p>
    <w:p w14:paraId="6FF628F2" w14:textId="454DAE48" w:rsidR="005E0C7F" w:rsidRDefault="03F4C1C5" w:rsidP="5D024212">
      <w:pPr>
        <w:spacing w:line="276" w:lineRule="auto"/>
      </w:pPr>
      <w:r w:rsidRPr="5D024212">
        <w:rPr>
          <w:rFonts w:ascii="Aptos" w:eastAsia="Aptos" w:hAnsi="Aptos" w:cs="Aptos"/>
        </w:rPr>
        <w:t>• Agricultural indicators vary considerably across the covered countries. The notebook's fertilizer-versus-market-participation regression shows only a weak relationship.</w:t>
      </w:r>
    </w:p>
    <w:p w14:paraId="5AFD143C" w14:textId="27498CCE" w:rsidR="005E0C7F" w:rsidRDefault="03F4C1C5" w:rsidP="5D024212">
      <w:pPr>
        <w:spacing w:line="276" w:lineRule="auto"/>
      </w:pPr>
      <w:r w:rsidRPr="5D024212">
        <w:rPr>
          <w:rFonts w:ascii="Aptos" w:eastAsia="Aptos" w:hAnsi="Aptos" w:cs="Aptos"/>
        </w:rPr>
        <w:t>• The fertilizer/market-participation relationship had r = −0.1632 and R-squared = 0.0266, so fertilizer adoption alone is not a strong predictor of market participation.</w:t>
      </w:r>
    </w:p>
    <w:p w14:paraId="65820625" w14:textId="19053CB2" w:rsidR="005E0C7F" w:rsidRDefault="03F4C1C5" w:rsidP="5D024212">
      <w:pPr>
        <w:spacing w:line="276" w:lineRule="auto"/>
      </w:pPr>
      <w:r w:rsidRPr="5D024212">
        <w:rPr>
          <w:rFonts w:ascii="Aptos" w:eastAsia="Aptos" w:hAnsi="Aptos" w:cs="Aptos"/>
        </w:rPr>
        <w:t>• The datasets can be connected through year, but AgriConnect has uneven survey coverage. Only 14 of the 17 South African annual years have at least one AgriConnect indicator available in the merged table, which limits the strength of the comparison.</w:t>
      </w:r>
    </w:p>
    <w:p w14:paraId="4BC89484" w14:textId="2602E2E3" w:rsidR="005E0C7F" w:rsidRDefault="03F4C1C5" w:rsidP="5D024212">
      <w:pPr>
        <w:spacing w:line="276" w:lineRule="auto"/>
      </w:pPr>
      <w:r w:rsidRPr="5D024212">
        <w:rPr>
          <w:rFonts w:ascii="Aptos" w:eastAsia="Aptos" w:hAnsi="Aptos" w:cs="Aptos"/>
        </w:rPr>
        <w:t xml:space="preserve"> </w:t>
      </w:r>
    </w:p>
    <w:p w14:paraId="59EB0FCC" w14:textId="60E172F6" w:rsidR="005E0C7F" w:rsidRDefault="03F4C1C5" w:rsidP="7885EA44">
      <w:pPr>
        <w:pStyle w:val="Heading2"/>
        <w:spacing w:line="276" w:lineRule="auto"/>
        <w:rPr>
          <w:rFonts w:ascii="Aptos Display" w:eastAsia="Aptos Display" w:hAnsi="Aptos Display" w:cs="Aptos Display"/>
        </w:rPr>
      </w:pPr>
      <w:bookmarkStart w:id="22" w:name="_Toc409512508"/>
      <w:r w:rsidRPr="7885EA44">
        <w:rPr>
          <w:rFonts w:ascii="Aptos Display" w:eastAsia="Aptos Display" w:hAnsi="Aptos Display" w:cs="Aptos Display"/>
        </w:rPr>
        <w:t>Conclusion: Does the MAIN QUESTION Hold?</w:t>
      </w:r>
      <w:bookmarkEnd w:id="22"/>
    </w:p>
    <w:p w14:paraId="04CC9B34" w14:textId="494B5590" w:rsidR="005E0C7F" w:rsidRDefault="03F4C1C5" w:rsidP="5D024212">
      <w:pPr>
        <w:spacing w:line="276" w:lineRule="auto"/>
      </w:pPr>
      <w:r w:rsidRPr="5D024212">
        <w:rPr>
          <w:rFonts w:ascii="Aptos" w:eastAsia="Aptos" w:hAnsi="Aptos" w:cs="Aptos"/>
        </w:rPr>
        <w:t>The question asks whether years with a higher South African interest margin also show weaker farming activity in the surrounding Sub-Saharan African region. The analysis provides a clear framework for testing this idea.</w:t>
      </w:r>
    </w:p>
    <w:p w14:paraId="3D9048C0" w14:textId="022A2B9A" w:rsidR="005E0C7F" w:rsidRDefault="03F4C1C5" w:rsidP="5D024212">
      <w:pPr>
        <w:spacing w:line="276" w:lineRule="auto"/>
      </w:pPr>
      <w:r w:rsidRPr="5D024212">
        <w:rPr>
          <w:rFonts w:ascii="Aptos" w:eastAsia="Aptos" w:hAnsi="Aptos" w:cs="Aptos"/>
        </w:rPr>
        <w:t>The strongest supported conclusion is that South Africa's interest margin increased over the study period, while regional agricultural indicators varied across countries and survey years.</w:t>
      </w:r>
    </w:p>
    <w:p w14:paraId="1497A336" w14:textId="08B01B6E" w:rsidR="005E0C7F" w:rsidRDefault="03F4C1C5" w:rsidP="7885EA44">
      <w:pPr>
        <w:spacing w:line="276" w:lineRule="auto"/>
        <w:rPr>
          <w:rFonts w:ascii="Aptos" w:eastAsia="Aptos" w:hAnsi="Aptos" w:cs="Aptos"/>
          <w:highlight w:val="yellow"/>
        </w:rPr>
      </w:pPr>
      <w:r w:rsidRPr="7885EA44">
        <w:rPr>
          <w:rFonts w:ascii="Aptos" w:eastAsia="Aptos" w:hAnsi="Aptos" w:cs="Aptos"/>
        </w:rPr>
        <w:t xml:space="preserve"> In simple terms: the datasets tell one connected story about financial conditions in South Africa and agricultural activity in the wider region, but they do not show a strong enough statistical link to conclude that more expensive credit directly leads to weaker farming activity.</w:t>
      </w:r>
    </w:p>
    <w:p w14:paraId="66801152" w14:textId="47DC9286" w:rsidR="005E0C7F" w:rsidRDefault="03F4C1C5" w:rsidP="5D024212">
      <w:pPr>
        <w:spacing w:line="276" w:lineRule="auto"/>
      </w:pPr>
      <w:r w:rsidRPr="7885EA44">
        <w:rPr>
          <w:rFonts w:ascii="Aptos" w:eastAsia="Aptos" w:hAnsi="Aptos" w:cs="Aptos"/>
        </w:rPr>
        <w:t xml:space="preserve"> </w:t>
      </w:r>
    </w:p>
    <w:p w14:paraId="68B2CE75" w14:textId="786CD745" w:rsidR="005E0C7F" w:rsidRDefault="03F4C1C5" w:rsidP="5D024212">
      <w:pPr>
        <w:spacing w:line="276" w:lineRule="auto"/>
      </w:pPr>
      <w:r w:rsidRPr="7885EA44">
        <w:rPr>
          <w:rFonts w:ascii="Aptos" w:eastAsia="Aptos" w:hAnsi="Aptos" w:cs="Aptos"/>
          <w:b/>
          <w:bCs/>
          <w:sz w:val="18"/>
          <w:szCs w:val="18"/>
        </w:rPr>
        <w:t>Figure 11  End-to-end demo evidence</w:t>
      </w:r>
    </w:p>
    <w:p w14:paraId="5C925EA8" w14:textId="21F182CF" w:rsidR="005E0C7F" w:rsidRDefault="03F4C1C5" w:rsidP="7885EA44">
      <w:pPr>
        <w:pStyle w:val="Heading1"/>
        <w:spacing w:line="276" w:lineRule="auto"/>
        <w:rPr>
          <w:rFonts w:ascii="Aptos Display" w:eastAsia="Aptos Display" w:hAnsi="Aptos Display" w:cs="Aptos Display"/>
        </w:rPr>
      </w:pPr>
      <w:bookmarkStart w:id="23" w:name="_Toc667894951"/>
      <w:r w:rsidRPr="7885EA44">
        <w:rPr>
          <w:rFonts w:ascii="Aptos Display" w:eastAsia="Aptos Display" w:hAnsi="Aptos Display" w:cs="Aptos Display"/>
        </w:rPr>
        <w:t>References and Supporting Evidence</w:t>
      </w:r>
      <w:bookmarkEnd w:id="23"/>
    </w:p>
    <w:p w14:paraId="127B266E" w14:textId="7FF8B4F4" w:rsidR="005E0C7F" w:rsidRDefault="03F4C1C5" w:rsidP="7885EA44">
      <w:pPr>
        <w:pStyle w:val="Heading2"/>
        <w:spacing w:line="276" w:lineRule="auto"/>
        <w:rPr>
          <w:rFonts w:ascii="Aptos Display" w:eastAsia="Aptos Display" w:hAnsi="Aptos Display" w:cs="Aptos Display"/>
        </w:rPr>
      </w:pPr>
      <w:bookmarkStart w:id="24" w:name="_Toc42226651"/>
      <w:r w:rsidRPr="7885EA44">
        <w:rPr>
          <w:rFonts w:ascii="Aptos Display" w:eastAsia="Aptos Display" w:hAnsi="Aptos Display" w:cs="Aptos Display"/>
        </w:rPr>
        <w:t>Data Sources Used</w:t>
      </w:r>
      <w:bookmarkEnd w:id="24"/>
    </w:p>
    <w:p w14:paraId="7AB6FF69" w14:textId="357B1175" w:rsidR="005E0C7F" w:rsidRDefault="03F4C1C5" w:rsidP="5D024212">
      <w:pPr>
        <w:spacing w:line="276" w:lineRule="auto"/>
      </w:pPr>
      <w:r w:rsidRPr="5D024212">
        <w:rPr>
          <w:rFonts w:ascii="Aptos" w:eastAsia="Aptos" w:hAnsi="Aptos" w:cs="Aptos"/>
        </w:rPr>
        <w:t>World Bank Data360 : AgriConnect Indicators dataset. Used for the agricultural indicators analysed in this report.</w:t>
      </w:r>
    </w:p>
    <w:p w14:paraId="10FF2219" w14:textId="41DE454B" w:rsidR="005E0C7F" w:rsidRDefault="03F4C1C5" w:rsidP="5D024212">
      <w:pPr>
        <w:spacing w:line="276" w:lineRule="auto"/>
      </w:pPr>
      <w:r w:rsidRPr="5D024212">
        <w:rPr>
          <w:rFonts w:ascii="Aptos" w:eastAsia="Aptos" w:hAnsi="Aptos" w:cs="Aptos"/>
        </w:rPr>
        <w:t>World Bank Data360 :Interest Margin to Gross Income (Core FSI) dataset. Used for the South Africa financial-sector time series.</w:t>
      </w:r>
    </w:p>
    <w:p w14:paraId="51EED68A" w14:textId="44FAC621" w:rsidR="005E0C7F" w:rsidRDefault="03F4C1C5" w:rsidP="7885EA44">
      <w:pPr>
        <w:pStyle w:val="Heading2"/>
        <w:spacing w:line="276" w:lineRule="auto"/>
        <w:rPr>
          <w:rFonts w:ascii="Aptos Display" w:eastAsia="Aptos Display" w:hAnsi="Aptos Display" w:cs="Aptos Display"/>
        </w:rPr>
      </w:pPr>
      <w:bookmarkStart w:id="25" w:name="_Toc201926595"/>
      <w:r w:rsidRPr="7885EA44">
        <w:rPr>
          <w:rFonts w:ascii="Aptos Display" w:eastAsia="Aptos Display" w:hAnsi="Aptos Display" w:cs="Aptos Display"/>
        </w:rPr>
        <w:t>Software / Analytical Tools</w:t>
      </w:r>
      <w:bookmarkEnd w:id="25"/>
    </w:p>
    <w:tbl>
      <w:tblPr>
        <w:tblStyle w:val="TableGrid"/>
        <w:tblW w:w="0" w:type="auto"/>
        <w:tblLook w:val="04A0" w:firstRow="1" w:lastRow="0" w:firstColumn="1" w:lastColumn="0" w:noHBand="0" w:noVBand="1"/>
      </w:tblPr>
      <w:tblGrid>
        <w:gridCol w:w="4657"/>
        <w:gridCol w:w="4683"/>
      </w:tblGrid>
      <w:tr w:rsidR="5D024212" w14:paraId="70C7B766"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3DAC6AFB" w14:textId="4737F1A9" w:rsidR="5D024212" w:rsidRDefault="5D024212" w:rsidP="5D024212">
            <w:r w:rsidRPr="5D024212">
              <w:rPr>
                <w:rFonts w:ascii="Aptos" w:eastAsia="Aptos" w:hAnsi="Aptos" w:cs="Aptos"/>
                <w:b/>
                <w:bCs/>
                <w:color w:val="000000" w:themeColor="text1"/>
                <w:sz w:val="17"/>
                <w:szCs w:val="17"/>
              </w:rPr>
              <w:t>Tool</w:t>
            </w:r>
          </w:p>
        </w:tc>
        <w:tc>
          <w:tcPr>
            <w:tcW w:w="5115" w:type="dxa"/>
            <w:tcBorders>
              <w:top w:val="single" w:sz="8" w:space="0" w:color="auto"/>
              <w:left w:val="single" w:sz="8" w:space="0" w:color="auto"/>
              <w:bottom w:val="single" w:sz="8" w:space="0" w:color="auto"/>
              <w:right w:val="single" w:sz="8" w:space="0" w:color="auto"/>
            </w:tcBorders>
            <w:shd w:val="clear" w:color="auto" w:fill="E7E7E7"/>
            <w:tcMar>
              <w:left w:w="108" w:type="dxa"/>
              <w:right w:w="108" w:type="dxa"/>
            </w:tcMar>
          </w:tcPr>
          <w:p w14:paraId="7D10231F" w14:textId="2C7813D8" w:rsidR="5D024212" w:rsidRDefault="5D024212" w:rsidP="5D024212">
            <w:r w:rsidRPr="5D024212">
              <w:rPr>
                <w:rFonts w:ascii="Aptos" w:eastAsia="Aptos" w:hAnsi="Aptos" w:cs="Aptos"/>
                <w:b/>
                <w:bCs/>
                <w:color w:val="000000" w:themeColor="text1"/>
                <w:sz w:val="17"/>
                <w:szCs w:val="17"/>
              </w:rPr>
              <w:t>Use in the project</w:t>
            </w:r>
          </w:p>
        </w:tc>
      </w:tr>
      <w:tr w:rsidR="5D024212" w14:paraId="3D49D19B"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1232E" w14:textId="574D64AC" w:rsidR="5D024212" w:rsidRDefault="5D024212" w:rsidP="5D024212">
            <w:r w:rsidRPr="5D024212">
              <w:rPr>
                <w:rFonts w:ascii="Aptos" w:eastAsia="Aptos" w:hAnsi="Aptos" w:cs="Aptos"/>
                <w:sz w:val="16"/>
                <w:szCs w:val="16"/>
              </w:rPr>
              <w:t>Python</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A0EA6" w14:textId="0D32BD29" w:rsidR="5D024212" w:rsidRDefault="5D024212" w:rsidP="5D024212">
            <w:r w:rsidRPr="5D024212">
              <w:rPr>
                <w:rFonts w:ascii="Aptos" w:eastAsia="Aptos" w:hAnsi="Aptos" w:cs="Aptos"/>
                <w:sz w:val="16"/>
                <w:szCs w:val="16"/>
              </w:rPr>
              <w:t>Main analysis and workflow</w:t>
            </w:r>
          </w:p>
        </w:tc>
      </w:tr>
      <w:tr w:rsidR="5D024212" w14:paraId="202730F1"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625EE9" w14:textId="747F9738" w:rsidR="5D024212" w:rsidRDefault="5D024212" w:rsidP="5D024212">
            <w:r w:rsidRPr="5D024212">
              <w:rPr>
                <w:rFonts w:ascii="Aptos" w:eastAsia="Aptos" w:hAnsi="Aptos" w:cs="Aptos"/>
                <w:sz w:val="16"/>
                <w:szCs w:val="16"/>
              </w:rPr>
              <w:t>Pandas</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4FC2C9" w14:textId="69598BA6" w:rsidR="5D024212" w:rsidRDefault="5D024212" w:rsidP="5D024212">
            <w:r w:rsidRPr="5D024212">
              <w:rPr>
                <w:rFonts w:ascii="Aptos" w:eastAsia="Aptos" w:hAnsi="Aptos" w:cs="Aptos"/>
                <w:sz w:val="16"/>
                <w:szCs w:val="16"/>
              </w:rPr>
              <w:t>Data loading, cleaning, reshaping and DataFrame operations</w:t>
            </w:r>
          </w:p>
        </w:tc>
      </w:tr>
      <w:tr w:rsidR="5D024212" w14:paraId="155DD083"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10BF53" w14:textId="6CE949B9" w:rsidR="5D024212" w:rsidRDefault="5D024212" w:rsidP="5D024212">
            <w:r w:rsidRPr="5D024212">
              <w:rPr>
                <w:rFonts w:ascii="Aptos" w:eastAsia="Aptos" w:hAnsi="Aptos" w:cs="Aptos"/>
                <w:sz w:val="16"/>
                <w:szCs w:val="16"/>
              </w:rPr>
              <w:t>NumPy</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95D35" w14:textId="15CD909A" w:rsidR="5D024212" w:rsidRDefault="5D024212" w:rsidP="5D024212">
            <w:r w:rsidRPr="5D024212">
              <w:rPr>
                <w:rFonts w:ascii="Aptos" w:eastAsia="Aptos" w:hAnsi="Aptos" w:cs="Aptos"/>
                <w:sz w:val="16"/>
                <w:szCs w:val="16"/>
              </w:rPr>
              <w:t>Numerical calculations, arrays, standardisation, trend and correlation calculations</w:t>
            </w:r>
          </w:p>
        </w:tc>
      </w:tr>
      <w:tr w:rsidR="5D024212" w14:paraId="6EBF11F9"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88A008" w14:textId="18C82E36" w:rsidR="5D024212" w:rsidRDefault="5D024212" w:rsidP="5D024212">
            <w:r w:rsidRPr="5D024212">
              <w:rPr>
                <w:rFonts w:ascii="Aptos" w:eastAsia="Aptos" w:hAnsi="Aptos" w:cs="Aptos"/>
                <w:sz w:val="16"/>
                <w:szCs w:val="16"/>
              </w:rPr>
              <w:t>Matplotlib / Seaborn</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65D5A" w14:textId="5277ECB7" w:rsidR="5D024212" w:rsidRDefault="5D024212" w:rsidP="5D024212">
            <w:r w:rsidRPr="5D024212">
              <w:rPr>
                <w:rFonts w:ascii="Aptos" w:eastAsia="Aptos" w:hAnsi="Aptos" w:cs="Aptos"/>
                <w:sz w:val="16"/>
                <w:szCs w:val="16"/>
              </w:rPr>
              <w:t>Charts and visualisation</w:t>
            </w:r>
          </w:p>
        </w:tc>
      </w:tr>
      <w:tr w:rsidR="5D024212" w14:paraId="189C6FEA" w14:textId="77777777" w:rsidTr="5D024212">
        <w:trPr>
          <w:trHeight w:val="300"/>
        </w:trPr>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E433B" w14:textId="680EAC3F" w:rsidR="5D024212" w:rsidRDefault="5D024212" w:rsidP="5D024212">
            <w:r w:rsidRPr="5D024212">
              <w:rPr>
                <w:rFonts w:ascii="Aptos" w:eastAsia="Aptos" w:hAnsi="Aptos" w:cs="Aptos"/>
                <w:sz w:val="22"/>
                <w:szCs w:val="22"/>
              </w:rPr>
              <w:t>SQLite / Python database tools</w:t>
            </w:r>
          </w:p>
        </w:tc>
        <w:tc>
          <w:tcPr>
            <w:tcW w:w="5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5B2565" w14:textId="49982C79" w:rsidR="5D024212" w:rsidRDefault="5D024212" w:rsidP="5D024212">
            <w:r w:rsidRPr="5D024212">
              <w:rPr>
                <w:rFonts w:ascii="Aptos" w:eastAsia="Aptos" w:hAnsi="Aptos" w:cs="Aptos"/>
                <w:sz w:val="16"/>
                <w:szCs w:val="16"/>
              </w:rPr>
              <w:t>Data storage, queries, updates and deletion tests</w:t>
            </w:r>
          </w:p>
        </w:tc>
      </w:tr>
    </w:tbl>
    <w:p w14:paraId="2C078E63" w14:textId="66B60112" w:rsidR="005E0C7F" w:rsidRDefault="005E0C7F" w:rsidP="7885EA44">
      <w:pPr>
        <w:spacing w:line="276" w:lineRule="auto"/>
        <w:rPr>
          <w:rFonts w:ascii="Aptos" w:eastAsia="Aptos" w:hAnsi="Aptos" w:cs="Aptos"/>
        </w:rPr>
      </w:pPr>
    </w:p>
    <w:sectPr w:rsidR="005E0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FCC3"/>
    <w:multiLevelType w:val="hybridMultilevel"/>
    <w:tmpl w:val="FFFFFFFF"/>
    <w:lvl w:ilvl="0" w:tplc="5212F286">
      <w:start w:val="1"/>
      <w:numFmt w:val="bullet"/>
      <w:lvlText w:val=""/>
      <w:lvlJc w:val="left"/>
      <w:pPr>
        <w:ind w:left="720" w:hanging="360"/>
      </w:pPr>
      <w:rPr>
        <w:rFonts w:ascii="Symbol" w:hAnsi="Symbol" w:hint="default"/>
      </w:rPr>
    </w:lvl>
    <w:lvl w:ilvl="1" w:tplc="C614AA0A">
      <w:start w:val="1"/>
      <w:numFmt w:val="bullet"/>
      <w:lvlText w:val="o"/>
      <w:lvlJc w:val="left"/>
      <w:pPr>
        <w:ind w:left="1440" w:hanging="360"/>
      </w:pPr>
      <w:rPr>
        <w:rFonts w:ascii="Courier New" w:hAnsi="Courier New" w:hint="default"/>
      </w:rPr>
    </w:lvl>
    <w:lvl w:ilvl="2" w:tplc="EC8A28A2">
      <w:start w:val="1"/>
      <w:numFmt w:val="bullet"/>
      <w:lvlText w:val=""/>
      <w:lvlJc w:val="left"/>
      <w:pPr>
        <w:ind w:left="2160" w:hanging="360"/>
      </w:pPr>
      <w:rPr>
        <w:rFonts w:ascii="Wingdings" w:hAnsi="Wingdings" w:hint="default"/>
      </w:rPr>
    </w:lvl>
    <w:lvl w:ilvl="3" w:tplc="1D0218DA">
      <w:start w:val="1"/>
      <w:numFmt w:val="bullet"/>
      <w:lvlText w:val=""/>
      <w:lvlJc w:val="left"/>
      <w:pPr>
        <w:ind w:left="2880" w:hanging="360"/>
      </w:pPr>
      <w:rPr>
        <w:rFonts w:ascii="Symbol" w:hAnsi="Symbol" w:hint="default"/>
      </w:rPr>
    </w:lvl>
    <w:lvl w:ilvl="4" w:tplc="D15092BC">
      <w:start w:val="1"/>
      <w:numFmt w:val="bullet"/>
      <w:lvlText w:val="o"/>
      <w:lvlJc w:val="left"/>
      <w:pPr>
        <w:ind w:left="3600" w:hanging="360"/>
      </w:pPr>
      <w:rPr>
        <w:rFonts w:ascii="Courier New" w:hAnsi="Courier New" w:hint="default"/>
      </w:rPr>
    </w:lvl>
    <w:lvl w:ilvl="5" w:tplc="C48CB43E">
      <w:start w:val="1"/>
      <w:numFmt w:val="bullet"/>
      <w:lvlText w:val=""/>
      <w:lvlJc w:val="left"/>
      <w:pPr>
        <w:ind w:left="4320" w:hanging="360"/>
      </w:pPr>
      <w:rPr>
        <w:rFonts w:ascii="Wingdings" w:hAnsi="Wingdings" w:hint="default"/>
      </w:rPr>
    </w:lvl>
    <w:lvl w:ilvl="6" w:tplc="650E5C1C">
      <w:start w:val="1"/>
      <w:numFmt w:val="bullet"/>
      <w:lvlText w:val=""/>
      <w:lvlJc w:val="left"/>
      <w:pPr>
        <w:ind w:left="5040" w:hanging="360"/>
      </w:pPr>
      <w:rPr>
        <w:rFonts w:ascii="Symbol" w:hAnsi="Symbol" w:hint="default"/>
      </w:rPr>
    </w:lvl>
    <w:lvl w:ilvl="7" w:tplc="19EE245C">
      <w:start w:val="1"/>
      <w:numFmt w:val="bullet"/>
      <w:lvlText w:val="o"/>
      <w:lvlJc w:val="left"/>
      <w:pPr>
        <w:ind w:left="5760" w:hanging="360"/>
      </w:pPr>
      <w:rPr>
        <w:rFonts w:ascii="Courier New" w:hAnsi="Courier New" w:hint="default"/>
      </w:rPr>
    </w:lvl>
    <w:lvl w:ilvl="8" w:tplc="2D4ADB64">
      <w:start w:val="1"/>
      <w:numFmt w:val="bullet"/>
      <w:lvlText w:val=""/>
      <w:lvlJc w:val="left"/>
      <w:pPr>
        <w:ind w:left="6480" w:hanging="360"/>
      </w:pPr>
      <w:rPr>
        <w:rFonts w:ascii="Wingdings" w:hAnsi="Wingdings" w:hint="default"/>
      </w:rPr>
    </w:lvl>
  </w:abstractNum>
  <w:abstractNum w:abstractNumId="1" w15:restartNumberingAfterBreak="0">
    <w:nsid w:val="355D0754"/>
    <w:multiLevelType w:val="hybridMultilevel"/>
    <w:tmpl w:val="FFFFFFFF"/>
    <w:lvl w:ilvl="0" w:tplc="C7E414BE">
      <w:start w:val="1"/>
      <w:numFmt w:val="bullet"/>
      <w:lvlText w:val=""/>
      <w:lvlJc w:val="left"/>
      <w:pPr>
        <w:ind w:left="720" w:hanging="360"/>
      </w:pPr>
      <w:rPr>
        <w:rFonts w:ascii="Symbol" w:hAnsi="Symbol" w:hint="default"/>
      </w:rPr>
    </w:lvl>
    <w:lvl w:ilvl="1" w:tplc="3AFE8206">
      <w:start w:val="1"/>
      <w:numFmt w:val="bullet"/>
      <w:lvlText w:val="o"/>
      <w:lvlJc w:val="left"/>
      <w:pPr>
        <w:ind w:left="1440" w:hanging="360"/>
      </w:pPr>
      <w:rPr>
        <w:rFonts w:ascii="Courier New" w:hAnsi="Courier New" w:hint="default"/>
      </w:rPr>
    </w:lvl>
    <w:lvl w:ilvl="2" w:tplc="BF605962">
      <w:start w:val="1"/>
      <w:numFmt w:val="bullet"/>
      <w:lvlText w:val=""/>
      <w:lvlJc w:val="left"/>
      <w:pPr>
        <w:ind w:left="2160" w:hanging="360"/>
      </w:pPr>
      <w:rPr>
        <w:rFonts w:ascii="Wingdings" w:hAnsi="Wingdings" w:hint="default"/>
      </w:rPr>
    </w:lvl>
    <w:lvl w:ilvl="3" w:tplc="9E3E5000">
      <w:start w:val="1"/>
      <w:numFmt w:val="bullet"/>
      <w:lvlText w:val=""/>
      <w:lvlJc w:val="left"/>
      <w:pPr>
        <w:ind w:left="2880" w:hanging="360"/>
      </w:pPr>
      <w:rPr>
        <w:rFonts w:ascii="Symbol" w:hAnsi="Symbol" w:hint="default"/>
      </w:rPr>
    </w:lvl>
    <w:lvl w:ilvl="4" w:tplc="8FD212E6">
      <w:start w:val="1"/>
      <w:numFmt w:val="bullet"/>
      <w:lvlText w:val="o"/>
      <w:lvlJc w:val="left"/>
      <w:pPr>
        <w:ind w:left="3600" w:hanging="360"/>
      </w:pPr>
      <w:rPr>
        <w:rFonts w:ascii="Courier New" w:hAnsi="Courier New" w:hint="default"/>
      </w:rPr>
    </w:lvl>
    <w:lvl w:ilvl="5" w:tplc="7FF8A990">
      <w:start w:val="1"/>
      <w:numFmt w:val="bullet"/>
      <w:lvlText w:val=""/>
      <w:lvlJc w:val="left"/>
      <w:pPr>
        <w:ind w:left="4320" w:hanging="360"/>
      </w:pPr>
      <w:rPr>
        <w:rFonts w:ascii="Wingdings" w:hAnsi="Wingdings" w:hint="default"/>
      </w:rPr>
    </w:lvl>
    <w:lvl w:ilvl="6" w:tplc="80E41418">
      <w:start w:val="1"/>
      <w:numFmt w:val="bullet"/>
      <w:lvlText w:val=""/>
      <w:lvlJc w:val="left"/>
      <w:pPr>
        <w:ind w:left="5040" w:hanging="360"/>
      </w:pPr>
      <w:rPr>
        <w:rFonts w:ascii="Symbol" w:hAnsi="Symbol" w:hint="default"/>
      </w:rPr>
    </w:lvl>
    <w:lvl w:ilvl="7" w:tplc="5A4C6F1E">
      <w:start w:val="1"/>
      <w:numFmt w:val="bullet"/>
      <w:lvlText w:val="o"/>
      <w:lvlJc w:val="left"/>
      <w:pPr>
        <w:ind w:left="5760" w:hanging="360"/>
      </w:pPr>
      <w:rPr>
        <w:rFonts w:ascii="Courier New" w:hAnsi="Courier New" w:hint="default"/>
      </w:rPr>
    </w:lvl>
    <w:lvl w:ilvl="8" w:tplc="6C8231B0">
      <w:start w:val="1"/>
      <w:numFmt w:val="bullet"/>
      <w:lvlText w:val=""/>
      <w:lvlJc w:val="left"/>
      <w:pPr>
        <w:ind w:left="6480" w:hanging="360"/>
      </w:pPr>
      <w:rPr>
        <w:rFonts w:ascii="Wingdings" w:hAnsi="Wingdings" w:hint="default"/>
      </w:rPr>
    </w:lvl>
  </w:abstractNum>
  <w:num w:numId="1" w16cid:durableId="1788351464">
    <w:abstractNumId w:val="0"/>
  </w:num>
  <w:num w:numId="2" w16cid:durableId="1864593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12482D"/>
    <w:rsid w:val="000318B0"/>
    <w:rsid w:val="0005197A"/>
    <w:rsid w:val="00062D3A"/>
    <w:rsid w:val="0006587A"/>
    <w:rsid w:val="0009160C"/>
    <w:rsid w:val="00091AF0"/>
    <w:rsid w:val="000B5741"/>
    <w:rsid w:val="000C4D4A"/>
    <w:rsid w:val="001021A1"/>
    <w:rsid w:val="00102CDB"/>
    <w:rsid w:val="0010748D"/>
    <w:rsid w:val="00134CE5"/>
    <w:rsid w:val="001566CC"/>
    <w:rsid w:val="001654DE"/>
    <w:rsid w:val="00172256"/>
    <w:rsid w:val="001A4445"/>
    <w:rsid w:val="001A75F3"/>
    <w:rsid w:val="001C692B"/>
    <w:rsid w:val="001D2B51"/>
    <w:rsid w:val="001D7CB5"/>
    <w:rsid w:val="001E2767"/>
    <w:rsid w:val="00207193"/>
    <w:rsid w:val="002535DB"/>
    <w:rsid w:val="00254DCA"/>
    <w:rsid w:val="002659FE"/>
    <w:rsid w:val="002D0AFE"/>
    <w:rsid w:val="002D76E1"/>
    <w:rsid w:val="00316991"/>
    <w:rsid w:val="00326651"/>
    <w:rsid w:val="0033106B"/>
    <w:rsid w:val="00351111"/>
    <w:rsid w:val="0037645E"/>
    <w:rsid w:val="00391A85"/>
    <w:rsid w:val="003B1347"/>
    <w:rsid w:val="003F451E"/>
    <w:rsid w:val="004022E2"/>
    <w:rsid w:val="004135C3"/>
    <w:rsid w:val="0041510F"/>
    <w:rsid w:val="004474DD"/>
    <w:rsid w:val="0045439D"/>
    <w:rsid w:val="00467984"/>
    <w:rsid w:val="004B0D85"/>
    <w:rsid w:val="004E5ED4"/>
    <w:rsid w:val="00506610"/>
    <w:rsid w:val="005074F2"/>
    <w:rsid w:val="00597091"/>
    <w:rsid w:val="005E0C7F"/>
    <w:rsid w:val="005E16B5"/>
    <w:rsid w:val="00647013"/>
    <w:rsid w:val="00666BBB"/>
    <w:rsid w:val="00692E9E"/>
    <w:rsid w:val="006C23D5"/>
    <w:rsid w:val="006E7CB2"/>
    <w:rsid w:val="00712E70"/>
    <w:rsid w:val="00714C54"/>
    <w:rsid w:val="00717EA1"/>
    <w:rsid w:val="007301AF"/>
    <w:rsid w:val="00742BE4"/>
    <w:rsid w:val="00792188"/>
    <w:rsid w:val="007C2FBF"/>
    <w:rsid w:val="007D6CFD"/>
    <w:rsid w:val="007F1F44"/>
    <w:rsid w:val="00805E86"/>
    <w:rsid w:val="0081301D"/>
    <w:rsid w:val="008261C7"/>
    <w:rsid w:val="008455B7"/>
    <w:rsid w:val="00882380"/>
    <w:rsid w:val="008B0BE1"/>
    <w:rsid w:val="008B44AA"/>
    <w:rsid w:val="008B606C"/>
    <w:rsid w:val="008B7D74"/>
    <w:rsid w:val="008D297B"/>
    <w:rsid w:val="009C32D0"/>
    <w:rsid w:val="009C5256"/>
    <w:rsid w:val="00A4392A"/>
    <w:rsid w:val="00A73E70"/>
    <w:rsid w:val="00AB2F96"/>
    <w:rsid w:val="00AB717E"/>
    <w:rsid w:val="00B440FD"/>
    <w:rsid w:val="00B56C71"/>
    <w:rsid w:val="00BA2DAF"/>
    <w:rsid w:val="00BC007C"/>
    <w:rsid w:val="00BC0CDC"/>
    <w:rsid w:val="00BC1DF2"/>
    <w:rsid w:val="00C1410D"/>
    <w:rsid w:val="00C36204"/>
    <w:rsid w:val="00C40B97"/>
    <w:rsid w:val="00C91DDF"/>
    <w:rsid w:val="00CF1A07"/>
    <w:rsid w:val="00D04649"/>
    <w:rsid w:val="00D110AD"/>
    <w:rsid w:val="00D30AA2"/>
    <w:rsid w:val="00D51A54"/>
    <w:rsid w:val="00D865C7"/>
    <w:rsid w:val="00D975D6"/>
    <w:rsid w:val="00DA7833"/>
    <w:rsid w:val="00DE504C"/>
    <w:rsid w:val="00E001B5"/>
    <w:rsid w:val="00E2537C"/>
    <w:rsid w:val="00E45ED7"/>
    <w:rsid w:val="00E61D1F"/>
    <w:rsid w:val="00E76E05"/>
    <w:rsid w:val="00EA4782"/>
    <w:rsid w:val="00EC4687"/>
    <w:rsid w:val="00EF71F7"/>
    <w:rsid w:val="00F4448C"/>
    <w:rsid w:val="00F560CA"/>
    <w:rsid w:val="00F90447"/>
    <w:rsid w:val="00F96974"/>
    <w:rsid w:val="00FC6B2F"/>
    <w:rsid w:val="022C650A"/>
    <w:rsid w:val="03F4C1C5"/>
    <w:rsid w:val="06210238"/>
    <w:rsid w:val="085C6D2E"/>
    <w:rsid w:val="0A29EBF1"/>
    <w:rsid w:val="0A6F6835"/>
    <w:rsid w:val="0AFFBFFA"/>
    <w:rsid w:val="0B9D0CB9"/>
    <w:rsid w:val="0D9B1F35"/>
    <w:rsid w:val="104BC1C6"/>
    <w:rsid w:val="105E2F61"/>
    <w:rsid w:val="10C2C70E"/>
    <w:rsid w:val="11DF3D6B"/>
    <w:rsid w:val="11FD48E2"/>
    <w:rsid w:val="12244C32"/>
    <w:rsid w:val="15ED4684"/>
    <w:rsid w:val="16067CF4"/>
    <w:rsid w:val="16E67F27"/>
    <w:rsid w:val="16F7C6CD"/>
    <w:rsid w:val="171DCBFB"/>
    <w:rsid w:val="17B8D354"/>
    <w:rsid w:val="17C276C2"/>
    <w:rsid w:val="1B8AB2A4"/>
    <w:rsid w:val="1BCA61CE"/>
    <w:rsid w:val="1C47AA19"/>
    <w:rsid w:val="1E1CE65C"/>
    <w:rsid w:val="222BF0B0"/>
    <w:rsid w:val="2231F96C"/>
    <w:rsid w:val="22CDB706"/>
    <w:rsid w:val="233343CF"/>
    <w:rsid w:val="2349CBA1"/>
    <w:rsid w:val="23A8635C"/>
    <w:rsid w:val="28B3529C"/>
    <w:rsid w:val="2984E993"/>
    <w:rsid w:val="2CDDCFD4"/>
    <w:rsid w:val="2D1AC97D"/>
    <w:rsid w:val="2DB2A313"/>
    <w:rsid w:val="2E6FF13F"/>
    <w:rsid w:val="2F0F9D0D"/>
    <w:rsid w:val="2F8902BE"/>
    <w:rsid w:val="3088A0FA"/>
    <w:rsid w:val="30927016"/>
    <w:rsid w:val="31526D68"/>
    <w:rsid w:val="343C6899"/>
    <w:rsid w:val="360647C1"/>
    <w:rsid w:val="38001D6B"/>
    <w:rsid w:val="3AAC4BCA"/>
    <w:rsid w:val="3C6186DF"/>
    <w:rsid w:val="3ED62994"/>
    <w:rsid w:val="3EF72280"/>
    <w:rsid w:val="3F991F58"/>
    <w:rsid w:val="40876D78"/>
    <w:rsid w:val="415021BE"/>
    <w:rsid w:val="427BD263"/>
    <w:rsid w:val="42B724F9"/>
    <w:rsid w:val="43A7F56C"/>
    <w:rsid w:val="4437E7CF"/>
    <w:rsid w:val="4452D4F9"/>
    <w:rsid w:val="44C96319"/>
    <w:rsid w:val="45FA872F"/>
    <w:rsid w:val="4629D9D0"/>
    <w:rsid w:val="47C1912A"/>
    <w:rsid w:val="47C9CE80"/>
    <w:rsid w:val="47DD6AE6"/>
    <w:rsid w:val="4898BAFD"/>
    <w:rsid w:val="495BEA2B"/>
    <w:rsid w:val="496CB0B5"/>
    <w:rsid w:val="4C092D86"/>
    <w:rsid w:val="4C409424"/>
    <w:rsid w:val="4D4C36F7"/>
    <w:rsid w:val="4DD2DD78"/>
    <w:rsid w:val="4DEFC7D4"/>
    <w:rsid w:val="4E6B7170"/>
    <w:rsid w:val="4EA35D7F"/>
    <w:rsid w:val="4EE1F8B1"/>
    <w:rsid w:val="4FC8FF6E"/>
    <w:rsid w:val="517F9F51"/>
    <w:rsid w:val="51F70078"/>
    <w:rsid w:val="526F9DE8"/>
    <w:rsid w:val="53756C7E"/>
    <w:rsid w:val="544B3F64"/>
    <w:rsid w:val="54B812F0"/>
    <w:rsid w:val="54B8BAEB"/>
    <w:rsid w:val="54D59C72"/>
    <w:rsid w:val="559F1F9B"/>
    <w:rsid w:val="56100AF6"/>
    <w:rsid w:val="56E4E779"/>
    <w:rsid w:val="572C121D"/>
    <w:rsid w:val="58258620"/>
    <w:rsid w:val="587F969D"/>
    <w:rsid w:val="597356E4"/>
    <w:rsid w:val="59C66EA7"/>
    <w:rsid w:val="59EEAB91"/>
    <w:rsid w:val="5A3F06A9"/>
    <w:rsid w:val="5A61CE19"/>
    <w:rsid w:val="5D024212"/>
    <w:rsid w:val="5D1E23B6"/>
    <w:rsid w:val="5E119145"/>
    <w:rsid w:val="5F8FE249"/>
    <w:rsid w:val="610DE99B"/>
    <w:rsid w:val="6462AF33"/>
    <w:rsid w:val="67A4BFB0"/>
    <w:rsid w:val="6894E3AE"/>
    <w:rsid w:val="6C2F0C1E"/>
    <w:rsid w:val="6CA4B03A"/>
    <w:rsid w:val="6D428769"/>
    <w:rsid w:val="6F68F8C9"/>
    <w:rsid w:val="6FB43512"/>
    <w:rsid w:val="6FD6F006"/>
    <w:rsid w:val="6FE8BE2C"/>
    <w:rsid w:val="704D5686"/>
    <w:rsid w:val="70C50B56"/>
    <w:rsid w:val="71520F7C"/>
    <w:rsid w:val="716B97FC"/>
    <w:rsid w:val="7262448F"/>
    <w:rsid w:val="73062B3A"/>
    <w:rsid w:val="73D27E4C"/>
    <w:rsid w:val="76D7AE99"/>
    <w:rsid w:val="784784AF"/>
    <w:rsid w:val="7885EA44"/>
    <w:rsid w:val="790E4BCE"/>
    <w:rsid w:val="79294AEF"/>
    <w:rsid w:val="799D9F00"/>
    <w:rsid w:val="7B12482D"/>
    <w:rsid w:val="7B3AB282"/>
    <w:rsid w:val="7B6B2D4E"/>
    <w:rsid w:val="7BB37B7D"/>
    <w:rsid w:val="7C24B430"/>
    <w:rsid w:val="7DD2F3F3"/>
    <w:rsid w:val="7E66657E"/>
    <w:rsid w:val="7E9A5DD0"/>
    <w:rsid w:val="7F414489"/>
    <w:rsid w:val="7F569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0211AA"/>
  <w15:chartTrackingRefBased/>
  <w15:docId w15:val="{801F18C1-6624-44B7-9BE8-9BE2C1F1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D024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D024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6C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D02421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1566CC"/>
    <w:rPr>
      <w:rFonts w:eastAsiaTheme="majorEastAsia" w:cstheme="majorBidi"/>
      <w:color w:val="0F4761" w:themeColor="accent1" w:themeShade="BF"/>
      <w:sz w:val="28"/>
      <w:szCs w:val="28"/>
    </w:rPr>
  </w:style>
  <w:style w:type="paragraph" w:styleId="ListParagraph">
    <w:name w:val="List Paragraph"/>
    <w:basedOn w:val="Normal"/>
    <w:uiPriority w:val="34"/>
    <w:qFormat/>
    <w:rsid w:val="001566CC"/>
    <w:pPr>
      <w:ind w:left="720"/>
      <w:contextualSpacing/>
    </w:pPr>
  </w:style>
  <w:style w:type="paragraph" w:styleId="TOC1">
    <w:name w:val="toc 1"/>
    <w:basedOn w:val="Normal"/>
    <w:next w:val="Normal"/>
    <w:uiPriority w:val="39"/>
    <w:unhideWhenUsed/>
    <w:rsid w:val="7885EA44"/>
    <w:pPr>
      <w:spacing w:after="100"/>
    </w:pPr>
  </w:style>
  <w:style w:type="paragraph" w:styleId="TOC2">
    <w:name w:val="toc 2"/>
    <w:basedOn w:val="Normal"/>
    <w:next w:val="Normal"/>
    <w:uiPriority w:val="39"/>
    <w:unhideWhenUsed/>
    <w:rsid w:val="7885EA44"/>
    <w:pPr>
      <w:spacing w:after="100"/>
      <w:ind w:left="220"/>
    </w:pPr>
  </w:style>
  <w:style w:type="paragraph" w:styleId="TOC3">
    <w:name w:val="toc 3"/>
    <w:basedOn w:val="Normal"/>
    <w:next w:val="Normal"/>
    <w:uiPriority w:val="39"/>
    <w:unhideWhenUsed/>
    <w:rsid w:val="7885EA4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2163</Words>
  <Characters>12332</Characters>
  <Application>Microsoft Office Word</Application>
  <DocSecurity>4</DocSecurity>
  <Lines>102</Lines>
  <Paragraphs>28</Paragraphs>
  <ScaleCrop>false</ScaleCrop>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Marumo Machaka</dc:creator>
  <cp:keywords/>
  <dc:description/>
  <cp:lastModifiedBy>Leah Marumo Machaka</cp:lastModifiedBy>
  <cp:revision>3</cp:revision>
  <dcterms:created xsi:type="dcterms:W3CDTF">2026-08-21T10:43:00Z</dcterms:created>
  <dcterms:modified xsi:type="dcterms:W3CDTF">2026-08-22T11:48:00Z</dcterms:modified>
</cp:coreProperties>
</file>