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C2B3A" w:val="clear"/>
        <w:spacing w:before="240" w:after="120"/>
        <w:ind w:left="160" w:right="160"/>
      </w:pPr>
      <w:r>
        <w:rPr>
          <w:rFonts w:ascii="Arial" w:cs="Arial" w:eastAsia="Arial" w:hAnsi="Arial"/>
          <w:b/>
          <w:bCs/>
          <w:color w:val="FFFFFF"/>
          <w:sz w:val="28"/>
          <w:szCs w:val="28"/>
        </w:rPr>
        <w:t xml:space="preserve">Data Processing Walkthrough</w:t>
      </w:r>
    </w:p>
    <w:p>
      <w:pPr>
        <w:shd w:fill="2C3E50" w:val="clear"/>
        <w:spacing w:before="0" w:after="240"/>
        <w:ind w:left="160"/>
      </w:pPr>
      <w:r>
        <w:rPr>
          <w:rFonts w:ascii="Arial" w:cs="Arial" w:eastAsia="Arial" w:hAnsi="Arial"/>
          <w:i/>
          <w:iCs/>
          <w:color w:val="94A3B8"/>
          <w:sz w:val="18"/>
          <w:szCs w:val="18"/>
        </w:rPr>
        <w:t xml:space="preserve">CRM Sales Analysis  ·  Maven Analytics Dataset  ·  Bora Çakır</w:t>
      </w:r>
    </w:p>
    <w:p>
      <w:pPr>
        <w:spacing w:before="60" w:after="60"/>
      </w:pPr>
      <w:r>
        <w:rPr>
          <w:rFonts w:ascii="Arial" w:cs="Arial" w:eastAsia="Arial" w:hAnsi="Arial"/>
          <w:color w:val="334155"/>
          <w:sz w:val="18"/>
          <w:szCs w:val="18"/>
        </w:rPr>
        <w:t xml:space="preserve">This document explains how the five uploaded CSV files were loaded, cleaned, joined, and aggregated to produce the four analysis sheets in the Excel workbook.</w:t>
      </w:r>
    </w:p>
    <w:p>
      <w:pPr>
        <w:spacing w:before="40" w:after="40"/>
      </w:pPr>
      <w:r>
        <w:t xml:space="preserve"/>
      </w:r>
    </w:p>
    <w:p>
      <w:pPr>
        <w:pStyle w:val="Heading2"/>
        <w:shd w:fill="2563EB" w:val="clear"/>
        <w:spacing w:before="200" w:after="80"/>
        <w:ind w:left="80"/>
      </w:pPr>
      <w:r>
        <w:rPr>
          <w:rFonts w:ascii="Arial" w:cs="Arial" w:eastAsia="Arial" w:hAnsi="Arial"/>
          <w:b/>
          <w:bCs/>
          <w:color w:val="FFFFFF"/>
          <w:sz w:val="22"/>
          <w:szCs w:val="22"/>
        </w:rPr>
        <w:t xml:space="preserve">1. Source Files</w:t>
      </w:r>
    </w:p>
    <w:p>
      <w:pPr>
        <w:spacing w:before="40" w:after="40"/>
      </w:pPr>
      <w:r>
        <w:t xml:space="preserve"/>
      </w:r>
    </w:p>
    <w:p>
      <w:pPr>
        <w:spacing w:before="60" w:after="60"/>
      </w:pPr>
      <w:r>
        <w:rPr>
          <w:rFonts w:ascii="Arial" w:cs="Arial" w:eastAsia="Arial" w:hAnsi="Arial"/>
          <w:color w:val="334155"/>
          <w:sz w:val="18"/>
          <w:szCs w:val="18"/>
        </w:rPr>
        <w:t xml:space="preserve">Five CSV files were uploaded. Four contain data; one is a reference dictionary.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2300"/>
        <w:gridCol w:w="3460"/>
      </w:tblGrid>
      <w:tr>
        <w:tc>
          <w:tcPr>
            <w:tcW w:type="dxa" w:w="2000"/>
            <w:tcBorders>
              <w:top w:val="single" w:color="CBD5E1" w:sz="4"/>
              <w:left w:val="single" w:color="CBD5E1" w:sz="4"/>
              <w:bottom w:val="single" w:color="CBD5E1" w:sz="4"/>
              <w:right w:val="single" w:color="CBD5E1" w:sz="4"/>
            </w:tcBorders>
            <w:shd w:fill="1C2B3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File</w:t>
            </w:r>
          </w:p>
        </w:tc>
        <w:tc>
          <w:tcPr>
            <w:tcW w:type="dxa" w:w="800"/>
            <w:tcBorders>
              <w:top w:val="single" w:color="CBD5E1" w:sz="4"/>
              <w:left w:val="single" w:color="CBD5E1" w:sz="4"/>
              <w:bottom w:val="single" w:color="CBD5E1" w:sz="4"/>
              <w:right w:val="single" w:color="CBD5E1" w:sz="4"/>
            </w:tcBorders>
            <w:shd w:fill="1C2B3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Rows</w:t>
            </w:r>
          </w:p>
        </w:tc>
        <w:tc>
          <w:tcPr>
            <w:tcW w:type="dxa" w:w="800"/>
            <w:tcBorders>
              <w:top w:val="single" w:color="CBD5E1" w:sz="4"/>
              <w:left w:val="single" w:color="CBD5E1" w:sz="4"/>
              <w:bottom w:val="single" w:color="CBD5E1" w:sz="4"/>
              <w:right w:val="single" w:color="CBD5E1" w:sz="4"/>
            </w:tcBorders>
            <w:shd w:fill="1C2B3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Cols</w:t>
            </w:r>
          </w:p>
        </w:tc>
        <w:tc>
          <w:tcPr>
            <w:tcW w:type="dxa" w:w="2300"/>
            <w:tcBorders>
              <w:top w:val="single" w:color="CBD5E1" w:sz="4"/>
              <w:left w:val="single" w:color="CBD5E1" w:sz="4"/>
              <w:bottom w:val="single" w:color="CBD5E1" w:sz="4"/>
              <w:right w:val="single" w:color="CBD5E1" w:sz="4"/>
            </w:tcBorders>
            <w:shd w:fill="1C2B3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Primary Key</w:t>
            </w:r>
          </w:p>
        </w:tc>
        <w:tc>
          <w:tcPr>
            <w:tcW w:type="dxa" w:w="3460"/>
            <w:tcBorders>
              <w:top w:val="single" w:color="CBD5E1" w:sz="4"/>
              <w:left w:val="single" w:color="CBD5E1" w:sz="4"/>
              <w:bottom w:val="single" w:color="CBD5E1" w:sz="4"/>
              <w:right w:val="single" w:color="CBD5E1" w:sz="4"/>
            </w:tcBorders>
            <w:shd w:fill="1C2B3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Role</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sales_pipeline.csv</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8,800</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23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opportunity_id</w:t>
            </w:r>
          </w:p>
        </w:tc>
        <w:tc>
          <w:tcPr>
            <w:tcW w:type="dxa" w:w="34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Fact table — one row per deal</w:t>
            </w:r>
          </w:p>
        </w:tc>
      </w:tr>
      <w:tr>
        <w:tc>
          <w:tcPr>
            <w:tcW w:type="dxa" w:w="20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accounts.csv</w:t>
            </w:r>
          </w:p>
        </w:tc>
        <w:tc>
          <w:tcPr>
            <w:tcW w:type="dxa" w:w="8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85</w:t>
            </w:r>
          </w:p>
        </w:tc>
        <w:tc>
          <w:tcPr>
            <w:tcW w:type="dxa" w:w="8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23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account</w:t>
            </w:r>
          </w:p>
        </w:tc>
        <w:tc>
          <w:tcPr>
            <w:tcW w:type="dxa" w:w="346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Company metadata (sector, location, revenue)</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products.csv</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23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34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Product series and list price</w:t>
            </w:r>
          </w:p>
        </w:tc>
      </w:tr>
      <w:tr>
        <w:tc>
          <w:tcPr>
            <w:tcW w:type="dxa" w:w="20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sales_teams.csv</w:t>
            </w:r>
          </w:p>
        </w:tc>
        <w:tc>
          <w:tcPr>
            <w:tcW w:type="dxa" w:w="8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35</w:t>
            </w:r>
          </w:p>
        </w:tc>
        <w:tc>
          <w:tcPr>
            <w:tcW w:type="dxa" w:w="8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23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sales_agent</w:t>
            </w:r>
          </w:p>
        </w:tc>
        <w:tc>
          <w:tcPr>
            <w:tcW w:type="dxa" w:w="346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Agent → manager → regional office mapping</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data_dictionary.csv</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21</w:t>
            </w:r>
          </w:p>
        </w:tc>
        <w:tc>
          <w:tcPr>
            <w:tcW w:type="dxa" w:w="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23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34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Field descriptions — reference only, not used in analysis</w:t>
            </w:r>
          </w:p>
        </w:tc>
      </w:tr>
    </w:tbl>
    <w:p>
      <w:pPr>
        <w:spacing w:before="40" w:after="40"/>
      </w:pPr>
      <w:r>
        <w:t xml:space="preserve"/>
      </w:r>
    </w:p>
    <w:p>
      <w:pPr>
        <w:pStyle w:val="Heading2"/>
        <w:shd w:fill="2563EB" w:val="clear"/>
        <w:spacing w:before="200" w:after="80"/>
        <w:ind w:left="80"/>
      </w:pPr>
      <w:r>
        <w:rPr>
          <w:rFonts w:ascii="Arial" w:cs="Arial" w:eastAsia="Arial" w:hAnsi="Arial"/>
          <w:b/>
          <w:bCs/>
          <w:color w:val="FFFFFF"/>
          <w:sz w:val="22"/>
          <w:szCs w:val="22"/>
        </w:rPr>
        <w:t xml:space="preserve">2. Data Quality Issues Found</w:t>
      </w:r>
    </w:p>
    <w:p>
      <w:pPr>
        <w:spacing w:before="40" w:after="40"/>
      </w:pPr>
      <w:r>
        <w:t xml:space="preserve"/>
      </w:r>
    </w:p>
    <w:p>
      <w:pPr>
        <w:pBdr>
          <w:bottom w:val="single" w:color="E2E8F0" w:sz="4"/>
        </w:pBdr>
        <w:spacing w:before="160" w:after="60"/>
      </w:pPr>
      <w:r>
        <w:rPr>
          <w:rFonts w:ascii="Arial" w:cs="Arial" w:eastAsia="Arial" w:hAnsi="Arial"/>
          <w:b/>
          <w:bCs/>
          <w:color w:val="1C2B3A"/>
          <w:sz w:val="20"/>
          <w:szCs w:val="20"/>
        </w:rPr>
        <w:t xml:space="preserve">2.1  Product name mismatch — GTXPro vs GTX Pro</w:t>
      </w:r>
    </w:p>
    <w:p>
      <w:pPr>
        <w:spacing w:before="60" w:after="60"/>
      </w:pPr>
      <w:r>
        <w:rPr>
          <w:rFonts w:ascii="Arial" w:cs="Arial" w:eastAsia="Arial" w:hAnsi="Arial"/>
          <w:color w:val="334155"/>
          <w:sz w:val="18"/>
          <w:szCs w:val="18"/>
        </w:rPr>
        <w:t xml:space="preserve">The sales_pipeline table contains 1,480 records where the product field is spelled "GTXPro" (no space). The products dimension table uses "GTX Pro" (with a space). Because the join between the two tables is done on the product name, this mismatch caused those 1,480 rows to fail the join — leaving them without a series or list price.</w:t>
      </w:r>
    </w:p>
    <w:p>
      <w:pPr>
        <w:shd w:fill="FEF3C7" w:val="clear"/>
        <w:spacing w:before="80" w:after="80"/>
        <w:ind w:left="160" w:right="160"/>
      </w:pPr>
      <w:r>
        <w:rPr>
          <w:rFonts w:ascii="Arial" w:cs="Arial" w:eastAsia="Arial" w:hAnsi="Arial"/>
          <w:b/>
          <w:bCs/>
          <w:color w:val="D97706"/>
          <w:sz w:val="18"/>
          <w:szCs w:val="18"/>
        </w:rPr>
        <w:t xml:space="preserve">Fix: </w:t>
      </w:r>
      <w:r>
        <w:rPr>
          <w:rFonts w:ascii="Arial" w:cs="Arial" w:eastAsia="Arial" w:hAnsi="Arial"/>
          <w:color w:val="334155"/>
          <w:sz w:val="18"/>
          <w:szCs w:val="18"/>
        </w:rPr>
        <w:t xml:space="preserve">The value "GTXPro" was normalised to "GTX Pro" in the pipeline data before joining. All 1,480 records then matched correctly.</w:t>
      </w:r>
    </w:p>
    <w:p>
      <w:pPr>
        <w:spacing w:before="40" w:after="40"/>
      </w:pPr>
      <w:r>
        <w:t xml:space="preserve"/>
      </w:r>
    </w:p>
    <w:p>
      <w:pPr>
        <w:pBdr>
          <w:bottom w:val="single" w:color="E2E8F0" w:sz="4"/>
        </w:pBdr>
        <w:spacing w:before="160" w:after="60"/>
      </w:pPr>
      <w:r>
        <w:rPr>
          <w:rFonts w:ascii="Arial" w:cs="Arial" w:eastAsia="Arial" w:hAnsi="Arial"/>
          <w:b/>
          <w:bCs/>
          <w:color w:val="1C2B3A"/>
          <w:sz w:val="20"/>
          <w:szCs w:val="20"/>
        </w:rPr>
        <w:t xml:space="preserve">2.2  Missing values in sales_pipeline</w:t>
      </w:r>
    </w:p>
    <w:p>
      <w:pPr>
        <w:spacing w:before="60" w:after="60"/>
      </w:pPr>
      <w:r>
        <w:rPr>
          <w:rFonts w:ascii="Arial" w:cs="Arial" w:eastAsia="Arial" w:hAnsi="Arial"/>
          <w:color w:val="334155"/>
          <w:sz w:val="18"/>
          <w:szCs w:val="18"/>
        </w:rPr>
        <w:t xml:space="preserve">Three fields contain null values. All are structurally expected given how the CRM records deals at different pipeline stages:</w:t>
      </w:r>
    </w:p>
    <w:p>
      <w:pPr>
        <w:pStyle w:val="ListParagraph"/>
        <w:numPr>
          <w:ilvl w:val="0"/>
          <w:numId w:val="2"/>
        </w:numPr>
        <w:spacing w:before="40" w:after="40"/>
      </w:pPr>
      <w:r>
        <w:rPr>
          <w:rFonts w:ascii="Arial" w:cs="Arial" w:eastAsia="Arial" w:hAnsi="Arial"/>
          <w:color w:val="334155"/>
          <w:sz w:val="18"/>
          <w:szCs w:val="18"/>
        </w:rPr>
        <w:t xml:space="preserve">account — 1,425 nulls. All belong to Engaging (1,088) or Prospecting (337) stage deals, where no account has been formally assigned yet. Retained as-is.</w:t>
      </w:r>
    </w:p>
    <w:p>
      <w:pPr>
        <w:pStyle w:val="ListParagraph"/>
        <w:numPr>
          <w:ilvl w:val="0"/>
          <w:numId w:val="2"/>
        </w:numPr>
        <w:spacing w:before="40" w:after="40"/>
      </w:pPr>
      <w:r>
        <w:rPr>
          <w:rFonts w:ascii="Arial" w:cs="Arial" w:eastAsia="Arial" w:hAnsi="Arial"/>
          <w:color w:val="334155"/>
          <w:sz w:val="18"/>
          <w:szCs w:val="18"/>
        </w:rPr>
        <w:t xml:space="preserve">engage_date — 500 nulls. Every one of these is a Prospecting record, meaning the deal has not yet been formally engaged. These rows were excluded from the days-to-close calculation.</w:t>
      </w:r>
    </w:p>
    <w:p>
      <w:pPr>
        <w:pStyle w:val="ListParagraph"/>
        <w:numPr>
          <w:ilvl w:val="0"/>
          <w:numId w:val="2"/>
        </w:numPr>
        <w:spacing w:before="40" w:after="40"/>
      </w:pPr>
      <w:r>
        <w:rPr>
          <w:rFonts w:ascii="Arial" w:cs="Arial" w:eastAsia="Arial" w:hAnsi="Arial"/>
          <w:color w:val="334155"/>
          <w:sz w:val="18"/>
          <w:szCs w:val="18"/>
        </w:rPr>
        <w:t xml:space="preserve">close_date and close_value — 2,089 nulls each. These are open deals (Engaging + Prospecting) that have not yet resolved. Retained as null; excluded from all revenue aggregations.</w:t>
      </w:r>
    </w:p>
    <w:p>
      <w:pPr>
        <w:shd w:fill="DBEAFE" w:val="clear"/>
        <w:spacing w:before="80" w:after="80"/>
        <w:ind w:left="160" w:right="160"/>
      </w:pPr>
      <w:r>
        <w:rPr>
          <w:rFonts w:ascii="Arial" w:cs="Arial" w:eastAsia="Arial" w:hAnsi="Arial"/>
          <w:b/>
          <w:bCs/>
          <w:color w:val="2563EB"/>
          <w:sz w:val="18"/>
          <w:szCs w:val="18"/>
        </w:rPr>
        <w:t xml:space="preserve">Note: </w:t>
      </w:r>
      <w:r>
        <w:rPr>
          <w:rFonts w:ascii="Arial" w:cs="Arial" w:eastAsia="Arial" w:hAnsi="Arial"/>
          <w:color w:val="334155"/>
          <w:sz w:val="18"/>
          <w:szCs w:val="18"/>
        </w:rPr>
        <w:t xml:space="preserve">None of these nulls represent data entry errors — they reflect the natural state of an open pipeline.</w:t>
      </w:r>
    </w:p>
    <w:p>
      <w:pPr>
        <w:spacing w:before="40" w:after="40"/>
      </w:pPr>
      <w:r>
        <w:t xml:space="preserve"/>
      </w:r>
    </w:p>
    <w:p>
      <w:pPr>
        <w:pBdr>
          <w:bottom w:val="single" w:color="E2E8F0" w:sz="4"/>
        </w:pBdr>
        <w:spacing w:before="160" w:after="60"/>
      </w:pPr>
      <w:r>
        <w:rPr>
          <w:rFonts w:ascii="Arial" w:cs="Arial" w:eastAsia="Arial" w:hAnsi="Arial"/>
          <w:b/>
          <w:bCs/>
          <w:color w:val="1C2B3A"/>
          <w:sz w:val="20"/>
          <w:szCs w:val="20"/>
        </w:rPr>
        <w:t xml:space="preserve">2.3  Sector typo in accounts</w:t>
      </w:r>
    </w:p>
    <w:p>
      <w:pPr>
        <w:spacing w:before="60" w:after="60"/>
      </w:pPr>
      <w:r>
        <w:rPr>
          <w:rFonts w:ascii="Arial" w:cs="Arial" w:eastAsia="Arial" w:hAnsi="Arial"/>
          <w:color w:val="334155"/>
          <w:sz w:val="18"/>
          <w:szCs w:val="18"/>
        </w:rPr>
        <w:t xml:space="preserve">"technolgy" appears instead of "technology" for 5 accounts. The sector field was not used as a grouping dimension in the Excel workbook, so this had no impact on the analysis. Noted for future use.</w:t>
      </w:r>
    </w:p>
    <w:p>
      <w:pPr>
        <w:spacing w:before="40" w:after="40"/>
      </w:pPr>
      <w:r>
        <w:t xml:space="preserve"/>
      </w:r>
    </w:p>
    <w:p>
      <w:pPr>
        <w:pBdr>
          <w:bottom w:val="single" w:color="E2E8F0" w:sz="4"/>
        </w:pBdr>
        <w:spacing w:before="160" w:after="60"/>
      </w:pPr>
      <w:r>
        <w:rPr>
          <w:rFonts w:ascii="Arial" w:cs="Arial" w:eastAsia="Arial" w:hAnsi="Arial"/>
          <w:b/>
          <w:bCs/>
          <w:color w:val="1C2B3A"/>
          <w:sz w:val="20"/>
          <w:szCs w:val="20"/>
        </w:rPr>
        <w:t xml:space="preserve">2.4  5 agents in sales_teams with no pipeline activity</w:t>
      </w:r>
    </w:p>
    <w:p>
      <w:pPr>
        <w:spacing w:before="60" w:after="60"/>
      </w:pPr>
      <w:r>
        <w:rPr>
          <w:rFonts w:ascii="Arial" w:cs="Arial" w:eastAsia="Arial" w:hAnsi="Arial"/>
          <w:color w:val="334155"/>
          <w:sz w:val="18"/>
          <w:szCs w:val="18"/>
        </w:rPr>
        <w:t xml:space="preserve">The sales_teams table contains 35 agents but only 30 appear in sales_pipeline. The 5 inactive agents simply returned no rows in any aggregation and were naturally excluded from all output tables — no action needed.</w:t>
      </w:r>
    </w:p>
    <w:p>
      <w:pPr>
        <w:spacing w:before="40" w:after="40"/>
      </w:pPr>
      <w:r>
        <w:t xml:space="preserve"/>
      </w:r>
    </w:p>
    <w:p>
      <w:pPr>
        <w:pStyle w:val="Heading2"/>
        <w:shd w:fill="2563EB" w:val="clear"/>
        <w:spacing w:before="200" w:after="80"/>
        <w:ind w:left="80"/>
      </w:pPr>
      <w:r>
        <w:rPr>
          <w:rFonts w:ascii="Arial" w:cs="Arial" w:eastAsia="Arial" w:hAnsi="Arial"/>
          <w:b/>
          <w:bCs/>
          <w:color w:val="FFFFFF"/>
          <w:sz w:val="22"/>
          <w:szCs w:val="22"/>
        </w:rPr>
        <w:t xml:space="preserve">3. How the Tables Were Joined</w:t>
      </w:r>
    </w:p>
    <w:p>
      <w:pPr>
        <w:spacing w:before="40" w:after="40"/>
      </w:pPr>
      <w:r>
        <w:t xml:space="preserve"/>
      </w:r>
    </w:p>
    <w:p>
      <w:pPr>
        <w:spacing w:before="60" w:after="60"/>
      </w:pPr>
      <w:r>
        <w:rPr>
          <w:rFonts w:ascii="Arial" w:cs="Arial" w:eastAsia="Arial" w:hAnsi="Arial"/>
          <w:color w:val="334155"/>
          <w:sz w:val="18"/>
          <w:szCs w:val="18"/>
        </w:rPr>
        <w:t xml:space="preserve">All four data tables were merged into a single working dataset using two LEFT JOINs on sales_pipeline as the base: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BD5E1" w:sz="4"/>
              <w:left w:val="single" w:color="CBD5E1" w:sz="4"/>
              <w:bottom w:val="single" w:color="CBD5E1" w:sz="4"/>
              <w:right w:val="single" w:color="CBD5E1" w:sz="4"/>
            </w:tcBorders>
            <w:shd w:fill="1C2B3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Join</w:t>
            </w:r>
          </w:p>
        </w:tc>
        <w:tc>
          <w:tcPr>
            <w:tcW w:type="dxa" w:w="2000"/>
            <w:tcBorders>
              <w:top w:val="single" w:color="CBD5E1" w:sz="4"/>
              <w:left w:val="single" w:color="CBD5E1" w:sz="4"/>
              <w:bottom w:val="single" w:color="CBD5E1" w:sz="4"/>
              <w:right w:val="single" w:color="CBD5E1" w:sz="4"/>
            </w:tcBorders>
            <w:shd w:fill="1C2B3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Left table</w:t>
            </w:r>
          </w:p>
        </w:tc>
        <w:tc>
          <w:tcPr>
            <w:tcW w:type="dxa" w:w="2000"/>
            <w:tcBorders>
              <w:top w:val="single" w:color="CBD5E1" w:sz="4"/>
              <w:left w:val="single" w:color="CBD5E1" w:sz="4"/>
              <w:bottom w:val="single" w:color="CBD5E1" w:sz="4"/>
              <w:right w:val="single" w:color="CBD5E1" w:sz="4"/>
            </w:tcBorders>
            <w:shd w:fill="1C2B3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Right table</w:t>
            </w:r>
          </w:p>
        </w:tc>
        <w:tc>
          <w:tcPr>
            <w:tcW w:type="dxa" w:w="2560"/>
            <w:tcBorders>
              <w:top w:val="single" w:color="CBD5E1" w:sz="4"/>
              <w:left w:val="single" w:color="CBD5E1" w:sz="4"/>
              <w:bottom w:val="single" w:color="CBD5E1" w:sz="4"/>
              <w:right w:val="single" w:color="CBD5E1" w:sz="4"/>
            </w:tcBorders>
            <w:shd w:fill="1C2B3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On key</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Pipeline ← Teams</w:t>
            </w:r>
          </w:p>
        </w:tc>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sales_pipeline</w:t>
            </w:r>
          </w:p>
        </w:tc>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sales_teams</w:t>
            </w:r>
          </w:p>
        </w:tc>
        <w:tc>
          <w:tcPr>
            <w:tcW w:type="dxa" w:w="25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sales_agent</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Pipeline ← Products</w:t>
            </w:r>
          </w:p>
        </w:tc>
        <w:tc>
          <w:tcPr>
            <w:tcW w:type="dxa" w:w="20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sales_pipeline</w:t>
            </w:r>
          </w:p>
        </w:tc>
        <w:tc>
          <w:tcPr>
            <w:tcW w:type="dxa" w:w="20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products (after GTXPro fix)</w:t>
            </w:r>
          </w:p>
        </w:tc>
        <w:tc>
          <w:tcPr>
            <w:tcW w:type="dxa" w:w="256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product</w:t>
            </w:r>
          </w:p>
        </w:tc>
      </w:tr>
    </w:tbl>
    <w:p>
      <w:pPr>
        <w:spacing w:before="40" w:after="40"/>
      </w:pPr>
      <w:r>
        <w:t xml:space="preserve"/>
      </w:r>
    </w:p>
    <w:p>
      <w:pPr>
        <w:spacing w:before="60" w:after="60"/>
      </w:pPr>
      <w:r>
        <w:rPr>
          <w:rFonts w:ascii="Arial" w:cs="Arial" w:eastAsia="Arial" w:hAnsi="Arial"/>
          <w:color w:val="334155"/>
          <w:sz w:val="18"/>
          <w:szCs w:val="18"/>
        </w:rPr>
        <w:t xml:space="preserve">LEFT JOINs were used rather than INNER JOINs so that open deals (with missing account or product values) were retained in the dataset. Dropping them with an INNER JOIN would have removed valid pipeline records from the count totals.</w:t>
      </w:r>
    </w:p>
    <w:p>
      <w:pPr>
        <w:spacing w:before="40" w:after="40"/>
      </w:pPr>
      <w:r>
        <w:t xml:space="preserve"/>
      </w:r>
    </w:p>
    <w:p>
      <w:pPr>
        <w:spacing w:before="60" w:after="60"/>
      </w:pPr>
      <w:r>
        <w:rPr>
          <w:rFonts w:ascii="Arial" w:cs="Arial" w:eastAsia="Arial" w:hAnsi="Arial"/>
          <w:color w:val="334155"/>
          <w:sz w:val="18"/>
          <w:szCs w:val="18"/>
        </w:rPr>
        <w:t xml:space="preserve">The accounts table was available but not joined into the main working dataset for the Excel workbook, as the analysis focused on agent, product, and time dimensions. Account-level data (sector, location) is available for future breakdowns.</w:t>
      </w:r>
    </w:p>
    <w:p>
      <w:pPr>
        <w:spacing w:before="40" w:after="40"/>
      </w:pPr>
      <w:r>
        <w:t xml:space="preserve"/>
      </w:r>
    </w:p>
    <w:p>
      <w:pPr>
        <w:pStyle w:val="Heading2"/>
        <w:shd w:fill="2563EB" w:val="clear"/>
        <w:spacing w:before="200" w:after="80"/>
        <w:ind w:left="80"/>
      </w:pPr>
      <w:r>
        <w:rPr>
          <w:rFonts w:ascii="Arial" w:cs="Arial" w:eastAsia="Arial" w:hAnsi="Arial"/>
          <w:b/>
          <w:bCs/>
          <w:color w:val="FFFFFF"/>
          <w:sz w:val="22"/>
          <w:szCs w:val="22"/>
        </w:rPr>
        <w:t xml:space="preserve">4. Derived Fields Created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BD5E1" w:sz="4"/>
              <w:left w:val="single" w:color="CBD5E1" w:sz="4"/>
              <w:bottom w:val="single" w:color="CBD5E1" w:sz="4"/>
              <w:right w:val="single" w:color="CBD5E1" w:sz="4"/>
            </w:tcBorders>
            <w:shd w:fill="1C2B3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Field</w:t>
            </w:r>
          </w:p>
        </w:tc>
        <w:tc>
          <w:tcPr>
            <w:tcW w:type="dxa" w:w="1500"/>
            <w:tcBorders>
              <w:top w:val="single" w:color="CBD5E1" w:sz="4"/>
              <w:left w:val="single" w:color="CBD5E1" w:sz="4"/>
              <w:bottom w:val="single" w:color="CBD5E1" w:sz="4"/>
              <w:right w:val="single" w:color="CBD5E1" w:sz="4"/>
            </w:tcBorders>
            <w:shd w:fill="1C2B3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Type</w:t>
            </w:r>
          </w:p>
        </w:tc>
        <w:tc>
          <w:tcPr>
            <w:tcW w:type="dxa" w:w="5860"/>
            <w:tcBorders>
              <w:top w:val="single" w:color="CBD5E1" w:sz="4"/>
              <w:left w:val="single" w:color="CBD5E1" w:sz="4"/>
              <w:bottom w:val="single" w:color="CBD5E1" w:sz="4"/>
              <w:right w:val="single" w:color="CBD5E1" w:sz="4"/>
            </w:tcBorders>
            <w:shd w:fill="1C2B3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Logic</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days_to_close</w:t>
            </w:r>
          </w:p>
        </w:tc>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Integer</w:t>
            </w:r>
          </w:p>
        </w:tc>
        <w:tc>
          <w:tcPr>
            <w:tcW w:type="dxa" w:w="58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close_date minus engage_date in days. Only meaningful for Won and Lost records where both dates exist.</w:t>
            </w:r>
          </w:p>
        </w:tc>
      </w:tr>
      <w:tr>
        <w:tc>
          <w:tcPr>
            <w:tcW w:type="dxa" w:w="20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is_won</w:t>
            </w:r>
          </w:p>
        </w:tc>
        <w:tc>
          <w:tcPr>
            <w:tcW w:type="dxa" w:w="15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0 / 1</w:t>
            </w:r>
          </w:p>
        </w:tc>
        <w:tc>
          <w:tcPr>
            <w:tcW w:type="dxa" w:w="586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1 if deal_stage equals "Won", otherwise 0. Used as the basis for all win rate calculations.</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is_lost</w:t>
            </w:r>
          </w:p>
        </w:tc>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0 / 1</w:t>
            </w:r>
          </w:p>
        </w:tc>
        <w:tc>
          <w:tcPr>
            <w:tcW w:type="dxa" w:w="58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1 if deal_stage equals "Lost", otherwise 0.</w:t>
            </w:r>
          </w:p>
        </w:tc>
      </w:tr>
      <w:tr>
        <w:tc>
          <w:tcPr>
            <w:tcW w:type="dxa" w:w="20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is_closed</w:t>
            </w:r>
          </w:p>
        </w:tc>
        <w:tc>
          <w:tcPr>
            <w:tcW w:type="dxa" w:w="15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0 / 1</w:t>
            </w:r>
          </w:p>
        </w:tc>
        <w:tc>
          <w:tcPr>
            <w:tcW w:type="dxa" w:w="586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1 if is_won or is_lost equals 1. Used to filter the denominator for win rate — open deals are excluded.</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close_month</w:t>
            </w:r>
          </w:p>
        </w:tc>
        <w:tc>
          <w:tcPr>
            <w:tcW w:type="dxa" w:w="1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Year-Month</w:t>
            </w:r>
          </w:p>
        </w:tc>
        <w:tc>
          <w:tcPr>
            <w:tcW w:type="dxa" w:w="58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Month extracted from close_date (e.g. 2017-06). Used as the grouping key for the monthly revenue trend sheet.</w:t>
            </w:r>
          </w:p>
        </w:tc>
      </w:tr>
    </w:tbl>
    <w:p>
      <w:pPr>
        <w:spacing w:before="40" w:after="40"/>
      </w:pPr>
      <w:r>
        <w:t xml:space="preserve"/>
      </w:r>
    </w:p>
    <w:p>
      <w:pPr>
        <w:pStyle w:val="Heading2"/>
        <w:shd w:fill="2563EB" w:val="clear"/>
        <w:spacing w:before="200" w:after="80"/>
        <w:ind w:left="80"/>
      </w:pPr>
      <w:r>
        <w:rPr>
          <w:rFonts w:ascii="Arial" w:cs="Arial" w:eastAsia="Arial" w:hAnsi="Arial"/>
          <w:b/>
          <w:bCs/>
          <w:color w:val="FFFFFF"/>
          <w:sz w:val="22"/>
          <w:szCs w:val="22"/>
        </w:rPr>
        <w:t xml:space="preserve">5. Aggregations Built for Each Sheet</w:t>
      </w:r>
    </w:p>
    <w:p>
      <w:pPr>
        <w:spacing w:before="40" w:after="40"/>
      </w:pPr>
      <w:r>
        <w:t xml:space="preserve"/>
      </w:r>
    </w:p>
    <w:p>
      <w:pPr>
        <w:pBdr>
          <w:bottom w:val="single" w:color="E2E8F0" w:sz="4"/>
        </w:pBdr>
        <w:spacing w:before="160" w:after="60"/>
      </w:pPr>
      <w:r>
        <w:rPr>
          <w:rFonts w:ascii="Arial" w:cs="Arial" w:eastAsia="Arial" w:hAnsi="Arial"/>
          <w:b/>
          <w:bCs/>
          <w:color w:val="1C2B3A"/>
          <w:sz w:val="20"/>
          <w:szCs w:val="20"/>
        </w:rPr>
        <w:t xml:space="preserve">Executive Summary — KPI cards and manager table</w:t>
      </w:r>
    </w:p>
    <w:p>
      <w:pPr>
        <w:spacing w:before="60" w:after="60"/>
      </w:pPr>
      <w:r>
        <w:rPr>
          <w:rFonts w:ascii="Arial" w:cs="Arial" w:eastAsia="Arial" w:hAnsi="Arial"/>
          <w:color w:val="334155"/>
          <w:sz w:val="18"/>
          <w:szCs w:val="18"/>
        </w:rPr>
        <w:t xml:space="preserve">The eight KPI values (total deals, won, lost, win rate, total revenue, average deal value, average days to close, active pipeline) were calculated directly from the merged dataset as single-value aggregations across all records. For the manager summary table, records were grouped by manager and regional office, then summed for deal counts and revenue, and win rate was calculated as won divided by closed.</w:t>
      </w:r>
    </w:p>
    <w:p>
      <w:pPr>
        <w:spacing w:before="40" w:after="40"/>
      </w:pPr>
      <w:r>
        <w:t xml:space="preserve"/>
      </w:r>
    </w:p>
    <w:p>
      <w:pPr>
        <w:pBdr>
          <w:bottom w:val="single" w:color="E2E8F0" w:sz="4"/>
        </w:pBdr>
        <w:spacing w:before="160" w:after="60"/>
      </w:pPr>
      <w:r>
        <w:rPr>
          <w:rFonts w:ascii="Arial" w:cs="Arial" w:eastAsia="Arial" w:hAnsi="Arial"/>
          <w:b/>
          <w:bCs/>
          <w:color w:val="1C2B3A"/>
          <w:sz w:val="20"/>
          <w:szCs w:val="20"/>
        </w:rPr>
        <w:t xml:space="preserve">Agent &amp; Manager Pipeline</w:t>
      </w:r>
    </w:p>
    <w:p>
      <w:pPr>
        <w:spacing w:before="60" w:after="60"/>
      </w:pPr>
      <w:r>
        <w:rPr>
          <w:rFonts w:ascii="Arial" w:cs="Arial" w:eastAsia="Arial" w:hAnsi="Arial"/>
          <w:color w:val="334155"/>
          <w:sz w:val="18"/>
          <w:szCs w:val="18"/>
        </w:rPr>
        <w:t xml:space="preserve">The dataset was filtered to closed deals only (is_closed = 1) before grouping by sales_agent, manager, and regional_office. Revenue was summed only for Won records within each agent group — not for Lost ones — because close_value is only meaningful on Won deals. Win rate, average deal value, and average days to close were then derived from those grouped totals. The sort order is by total revenue descending.</w:t>
      </w:r>
    </w:p>
    <w:p>
      <w:pPr>
        <w:spacing w:before="40" w:after="40"/>
      </w:pPr>
      <w:r>
        <w:t xml:space="preserve"/>
      </w:r>
    </w:p>
    <w:p>
      <w:pPr>
        <w:pBdr>
          <w:bottom w:val="single" w:color="E2E8F0" w:sz="4"/>
        </w:pBdr>
        <w:spacing w:before="160" w:after="60"/>
      </w:pPr>
      <w:r>
        <w:rPr>
          <w:rFonts w:ascii="Arial" w:cs="Arial" w:eastAsia="Arial" w:hAnsi="Arial"/>
          <w:b/>
          <w:bCs/>
          <w:color w:val="1C2B3A"/>
          <w:sz w:val="20"/>
          <w:szCs w:val="20"/>
        </w:rPr>
        <w:t xml:space="preserve">Product Performance</w:t>
      </w:r>
    </w:p>
    <w:p>
      <w:pPr>
        <w:spacing w:before="60" w:after="60"/>
      </w:pPr>
      <w:r>
        <w:rPr>
          <w:rFonts w:ascii="Arial" w:cs="Arial" w:eastAsia="Arial" w:hAnsi="Arial"/>
          <w:color w:val="334155"/>
          <w:sz w:val="18"/>
          <w:szCs w:val="18"/>
        </w:rPr>
        <w:t xml:space="preserve">Same approach as the agent sheet but grouped by product and series. List price was pulled from the products dimension table via the join. The win rate per product reflects how often deals for that product closed as Won versus Lost, which differs from the overall win rate because some products are naturally sold into more competitive or easier segments.</w:t>
      </w:r>
    </w:p>
    <w:p>
      <w:pPr>
        <w:spacing w:before="40" w:after="40"/>
      </w:pPr>
      <w:r>
        <w:t xml:space="preserve"/>
      </w:r>
    </w:p>
    <w:p>
      <w:pPr>
        <w:pBdr>
          <w:bottom w:val="single" w:color="E2E8F0" w:sz="4"/>
        </w:pBdr>
        <w:spacing w:before="160" w:after="60"/>
      </w:pPr>
      <w:r>
        <w:rPr>
          <w:rFonts w:ascii="Arial" w:cs="Arial" w:eastAsia="Arial" w:hAnsi="Arial"/>
          <w:b/>
          <w:bCs/>
          <w:color w:val="1C2B3A"/>
          <w:sz w:val="20"/>
          <w:szCs w:val="20"/>
        </w:rPr>
        <w:t xml:space="preserve">Monthly Revenue Trend</w:t>
      </w:r>
    </w:p>
    <w:p>
      <w:pPr>
        <w:spacing w:before="60" w:after="60"/>
      </w:pPr>
      <w:r>
        <w:rPr>
          <w:rFonts w:ascii="Arial" w:cs="Arial" w:eastAsia="Arial" w:hAnsi="Arial"/>
          <w:color w:val="334155"/>
          <w:sz w:val="18"/>
          <w:szCs w:val="18"/>
        </w:rPr>
        <w:t xml:space="preserve">The working dataset was filtered to Won deals only, then grouped by close_month. Revenue is the sum of close_value for that month. Month-on-month growth, cumulative revenue, and the 3-month rolling average are all written as Excel formulas in the workbook rather than being pre-calculated in Python — so they will recalculate dynamically if the underlying data is refreshed.</w:t>
      </w:r>
    </w:p>
    <w:p>
      <w:pPr>
        <w:spacing w:before="40" w:after="40"/>
      </w:pPr>
      <w:r>
        <w:t xml:space="preserve"/>
      </w:r>
    </w:p>
    <w:p>
      <w:pPr>
        <w:shd w:fill="DCFCE7" w:val="clear"/>
        <w:spacing w:before="80" w:after="80"/>
        <w:ind w:left="160" w:right="160"/>
      </w:pPr>
      <w:r>
        <w:rPr>
          <w:rFonts w:ascii="Arial" w:cs="Arial" w:eastAsia="Arial" w:hAnsi="Arial"/>
          <w:b/>
          <w:bCs/>
          <w:color w:val="16A34A"/>
          <w:sz w:val="18"/>
          <w:szCs w:val="18"/>
        </w:rPr>
        <w:t xml:space="preserve">On formula vs hardcode: </w:t>
      </w:r>
      <w:r>
        <w:rPr>
          <w:rFonts w:ascii="Arial" w:cs="Arial" w:eastAsia="Arial" w:hAnsi="Arial"/>
          <w:color w:val="334155"/>
          <w:sz w:val="18"/>
          <w:szCs w:val="18"/>
        </w:rPr>
        <w:t xml:space="preserve">All totals, percentages, growth rates, and averages in the Excel workbook are Excel formulas referencing their source cells. Only the raw aggregated values (revenue by agent, deal counts, etc.) are written as numbers. This means the workbook stays live and recalculates if data is updated.</w:t>
      </w:r>
    </w:p>
    <w:p>
      <w:pPr>
        <w:spacing w:before="40" w:after="40"/>
      </w:pPr>
      <w:r>
        <w:t xml:space="preserve"/>
      </w:r>
    </w:p>
    <w:p>
      <w:pPr>
        <w:pStyle w:val="Heading2"/>
        <w:shd w:fill="2563EB" w:val="clear"/>
        <w:spacing w:before="200" w:after="80"/>
        <w:ind w:left="80"/>
      </w:pPr>
      <w:r>
        <w:rPr>
          <w:rFonts w:ascii="Arial" w:cs="Arial" w:eastAsia="Arial" w:hAnsi="Arial"/>
          <w:b/>
          <w:bCs/>
          <w:color w:val="FFFFFF"/>
          <w:sz w:val="22"/>
          <w:szCs w:val="22"/>
        </w:rPr>
        <w:t xml:space="preserve">6. What Was Not Used and Why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4"/>
              <w:left w:val="single" w:color="CBD5E1" w:sz="4"/>
              <w:bottom w:val="single" w:color="CBD5E1" w:sz="4"/>
              <w:right w:val="single" w:color="CBD5E1" w:sz="4"/>
            </w:tcBorders>
            <w:shd w:fill="1C2B3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Field / Table</w:t>
            </w:r>
          </w:p>
        </w:tc>
        <w:tc>
          <w:tcPr>
            <w:tcW w:type="dxa" w:w="6860"/>
            <w:tcBorders>
              <w:top w:val="single" w:color="CBD5E1" w:sz="4"/>
              <w:left w:val="single" w:color="CBD5E1" w:sz="4"/>
              <w:bottom w:val="single" w:color="CBD5E1" w:sz="4"/>
              <w:right w:val="single" w:color="CBD5E1" w:sz="4"/>
            </w:tcBorders>
            <w:shd w:fill="1C2B3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Reason not included in Excel workbook</w:t>
            </w:r>
          </w:p>
        </w:tc>
      </w:tr>
      <w:tr>
        <w:tc>
          <w:tcPr>
            <w:tcW w:type="dxa" w:w="2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accounts.csv</w:t>
            </w:r>
          </w:p>
        </w:tc>
        <w:tc>
          <w:tcPr>
            <w:tcW w:type="dxa" w:w="68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Sector, location, and company size data were available but the four requested sheets focused on agent, product, and time dimensions. Accounts can be added in a fifth sheet if needed.</w:t>
            </w:r>
          </w:p>
        </w:tc>
      </w:tr>
      <w:tr>
        <w:tc>
          <w:tcPr>
            <w:tcW w:type="dxa" w:w="25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data_dictionary.csv</w:t>
            </w:r>
          </w:p>
        </w:tc>
        <w:tc>
          <w:tcPr>
            <w:tcW w:type="dxa" w:w="686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Used only as a reference during analysis to understand field meanings. Not loaded as data.</w:t>
            </w:r>
          </w:p>
        </w:tc>
      </w:tr>
      <w:tr>
        <w:tc>
          <w:tcPr>
            <w:tcW w:type="dxa" w:w="2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close_value on Lost deals</w:t>
            </w:r>
          </w:p>
        </w:tc>
        <w:tc>
          <w:tcPr>
            <w:tcW w:type="dxa" w:w="68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close_value is only populated for Won deals in this dataset. Lost records have null close_value, so it was excluded from all revenue calculations to avoid understating averages.</w:t>
            </w:r>
          </w:p>
        </w:tc>
      </w:tr>
      <w:tr>
        <w:tc>
          <w:tcPr>
            <w:tcW w:type="dxa" w:w="250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Open deals (Engaging/Prospecting)</w:t>
            </w:r>
          </w:p>
        </w:tc>
        <w:tc>
          <w:tcPr>
            <w:tcW w:type="dxa" w:w="6860"/>
            <w:tcBorders>
              <w:top w:val="single" w:color="CBD5E1" w:sz="4"/>
              <w:left w:val="single" w:color="CBD5E1" w:sz="4"/>
              <w:bottom w:val="single" w:color="CBD5E1" w:sz="4"/>
              <w:right w:val="single" w:color="CBD5E1" w:sz="4"/>
            </w:tcBorders>
            <w:shd w:fill="F1F5F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Included in total deal counts and the active pipeline KPI card, but excluded from revenue, win rate, and days-to-close calculations since those metrics are only meaningful once a deal resolves.</w:t>
            </w:r>
          </w:p>
        </w:tc>
      </w:tr>
      <w:tr>
        <w:tc>
          <w:tcPr>
            <w:tcW w:type="dxa" w:w="250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subsidiary_of (accounts)</w:t>
            </w:r>
          </w:p>
        </w:tc>
        <w:tc>
          <w:tcPr>
            <w:tcW w:type="dxa" w:w="6860"/>
            <w:tcBorders>
              <w:top w:val="single" w:color="CBD5E1" w:sz="4"/>
              <w:left w:val="single" w:color="CBD5E1" w:sz="4"/>
              <w:bottom w:val="single" w:color="CBD5E1" w:sz="4"/>
              <w:right w:val="single" w:color="CBD5E1"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70 of 85 accounts have no parent company value. Field was not relevant to the requested analysis dimensions.</w:t>
            </w:r>
          </w:p>
        </w:tc>
      </w:tr>
    </w:tbl>
    <w:p>
      <w:pPr>
        <w:spacing w:before="40" w:after="4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00" w:after="80"/>
      <w:outlineLvl w:val="1"/>
    </w:pPr>
    <w:rPr>
      <w:rFonts w:ascii="Arial" w:cs="Arial" w:eastAsia="Arial" w:hAnsi="Arial"/>
      <w:b/>
      <w:bCs/>
      <w:color w:val="FFFF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2026-03-25T19:04:18.177Z</dcterms:created>
  <dcterms:modified xsi:type="dcterms:W3CDTF">2026-03-25T19:04:18.177Z</dcterms:modified>
</cp:coreProperties>
</file>

<file path=docProps/custom.xml><?xml version="1.0" encoding="utf-8"?>
<Properties xmlns="http://schemas.openxmlformats.org/officeDocument/2006/custom-properties" xmlns:vt="http://schemas.openxmlformats.org/officeDocument/2006/docPropsVTypes"/>
</file>