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PBUF FND-005</w:t>
        <w:br/>
        <w:t>Experimental Consequences of the Microscopic Ontology</w:t>
      </w:r>
    </w:p>
    <w:p>
      <w:r>
        <w:t>Prerequisite: FND-004. The previous milestones established that the current ontology alone does not uniquely determine the continuum constitutive law. FND-005 changes focus from deriving additional mathematics to identifying observable consequences that would distinguish the PBUF microscopic ontology from competing microscopic models.</w:t>
      </w:r>
    </w:p>
    <w:p>
      <w:pPr>
        <w:pStyle w:val="Heading2"/>
      </w:pPr>
      <w:r>
        <w:t>Mission</w:t>
      </w:r>
    </w:p>
    <w:p>
      <w:r>
        <w:t>Identify predictions that are unique to the three-component PBUF ontology. Every proposed observable must be directly traceable to the ontology rather than to empirical fitting or weak-lensing assumptions.</w:t>
      </w:r>
    </w:p>
    <w:p>
      <w:pPr>
        <w:pStyle w:val="Heading2"/>
      </w:pPr>
      <w:r>
        <w:t>Scope</w:t>
      </w:r>
    </w:p>
    <w:p>
      <w:r>
        <w:t>Theory and prediction only.</w:t>
        <w:br/>
        <w:t>Do not modify the frozen weak-lensing laboratory.</w:t>
        <w:br/>
        <w:t>Do not fit parameters.</w:t>
        <w:br/>
        <w:t>Do not introduce additional ontology unless explicitly justified.</w:t>
      </w:r>
    </w:p>
    <w:p>
      <w:pPr>
        <w:pStyle w:val="Heading2"/>
      </w:pPr>
      <w:r>
        <w:t>Primary Questions</w:t>
      </w:r>
    </w:p>
    <w:p>
      <w:r>
        <w:t>1. Which observables uniquely distinguish a three-component microscopic ontology?</w:t>
        <w:br/>
        <w:t>2. Which observables are identical for scalar or generic N-component models?</w:t>
        <w:br/>
        <w:t>3. Which predictions depend only on the ontology and not on constitutive-law details?</w:t>
        <w:br/>
        <w:t>4. Which predictions could realistically be tested in future simulations or experiments?</w:t>
      </w:r>
    </w:p>
    <w:p>
      <w:pPr>
        <w:pStyle w:val="Heading2"/>
      </w:pPr>
      <w:r>
        <w:t>Prediction Categories</w:t>
      </w:r>
    </w:p>
    <w:p>
      <w:r>
        <w:t>Investigate:</w:t>
        <w:br/>
        <w:t>• mode counting</w:t>
        <w:br/>
        <w:t>• longitudinal/transverse mode structure</w:t>
        <w:br/>
        <w:t>• degeneracy relations</w:t>
        <w:br/>
        <w:t>• coherent versus incoherent loading</w:t>
        <w:br/>
        <w:t>• symmetry breaking signatures</w:t>
        <w:br/>
        <w:t>• propagation branches</w:t>
        <w:br/>
        <w:t>• coupling identifiability</w:t>
        <w:br/>
        <w:t>• conservation consequences</w:t>
      </w:r>
    </w:p>
    <w:p>
      <w:pPr>
        <w:pStyle w:val="Heading2"/>
      </w:pPr>
      <w:r>
        <w:t>Comparison Matrix</w:t>
      </w:r>
    </w:p>
    <w:p>
      <w:r>
        <w:t>Compare:</w:t>
        <w:br/>
        <w:t>A. PBUF three-component ontology</w:t>
        <w:br/>
        <w:t>B. Scalar ontology</w:t>
        <w:br/>
        <w:t>C. Generic N-component ontology</w:t>
        <w:br/>
        <w:br/>
        <w:t>For every observable identify:</w:t>
        <w:br/>
        <w:t>• identical</w:t>
        <w:br/>
        <w:t>• distinguishable</w:t>
        <w:br/>
        <w:t>• unique to PBUF</w:t>
      </w:r>
    </w:p>
    <w:p>
      <w:pPr>
        <w:pStyle w:val="Heading2"/>
      </w:pPr>
      <w:r>
        <w:t>Validation Gates</w:t>
      </w:r>
    </w:p>
    <w:p>
      <w:r>
        <w:t>A prediction is accepted only if:</w:t>
        <w:br/>
        <w:t>• it follows from the stated ontology,</w:t>
        <w:br/>
        <w:t>• it does not require parameter fitting,</w:t>
        <w:br/>
        <w:t>• it survives alternative mathematical realizations,</w:t>
        <w:br/>
        <w:t>• it remains traceable to explicit assumptions.</w:t>
      </w:r>
    </w:p>
    <w:p>
      <w:pPr>
        <w:pStyle w:val="Heading2"/>
      </w:pPr>
      <w:r>
        <w:t>Deliverables</w:t>
      </w:r>
    </w:p>
    <w:p>
      <w:r>
        <w:t>1. Prediction catalogue.</w:t>
        <w:br/>
        <w:t>2. Observable-to-axiom traceability matrix.</w:t>
        <w:br/>
        <w:t>3. Comparison against alternative ontologies.</w:t>
        <w:br/>
        <w:t>4. Ranked list of experimentally testable signatures.</w:t>
        <w:br/>
        <w:t>5. Recommendation for the first falsification experiment.</w:t>
      </w:r>
    </w:p>
    <w:p>
      <w:pPr>
        <w:pStyle w:val="Heading2"/>
      </w:pPr>
      <w:r>
        <w:t>Completion Criteria</w:t>
      </w:r>
    </w:p>
    <w:p>
      <w:r>
        <w:t>FND-005 is complete when the project contains a concise list of unique, falsifiable predictions arising from the PBUF microscopic ontology, clearly separated from predictions that depend on additional constitutive or phenomenological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