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PBUF V11-ALPHA-001</w:t>
        <w:br/>
        <w:t>Audit of the Geometric Origin of α = 3·α_EM</w:t>
      </w:r>
    </w:p>
    <w:p>
      <w:r>
        <w:t>Prerequisites: PBUF V11, ERR-001 completed. This milestone is NOT an attempt to derive the electromagnetic fine-structure constant from deeper physics. Instead, it audits the logic already present in the PBUF V11 framework regarding the resolved elastic amplitude and its stated relationship to three times the electromagnetic fine-structure constant.</w:t>
      </w:r>
    </w:p>
    <w:p>
      <w:pPr>
        <w:pStyle w:val="Heading2"/>
      </w:pPr>
      <w:r>
        <w:t>Mission</w:t>
      </w:r>
    </w:p>
    <w:p>
      <w:r>
        <w:t>Review the PBUF V11 theory only. Determine precisely how the framework arrives at α_resolved ≈ 3·α_EM, identify the stated geometric interpretation of the factor three, and determine whether that factor is connected to the proposed three-dimensional microscopic spacetime ontology or represents an independent result.</w:t>
      </w:r>
    </w:p>
    <w:p>
      <w:pPr>
        <w:pStyle w:val="Heading2"/>
      </w:pPr>
      <w:r>
        <w:t>Strict Scope</w:t>
      </w:r>
    </w:p>
    <w:p>
      <w:r>
        <w:t>Use only:</w:t>
        <w:br/>
        <w:t>• Planck-Bound Unified Framework V11</w:t>
        <w:br/>
        <w:t>• PBUF equation set</w:t>
        <w:br/>
        <w:t>• Existing PBUF theory documents</w:t>
        <w:br/>
        <w:br/>
        <w:t>Do not introduce new physics.</w:t>
        <w:br/>
        <w:t>Do not fit observations.</w:t>
        <w:br/>
        <w:t>Do not import ΛCDM assumptions.</w:t>
        <w:br/>
        <w:t>Do not introduce λ or any auxiliary coupling.</w:t>
      </w:r>
    </w:p>
    <w:p>
      <w:pPr>
        <w:pStyle w:val="Heading2"/>
      </w:pPr>
      <w:r>
        <w:t>Research Questions</w:t>
      </w:r>
    </w:p>
    <w:p>
      <w:r>
        <w:t>1. Where does α_resolved first appear in V11?</w:t>
        <w:br/>
        <w:t>2. How is α_EM introduced?</w:t>
        <w:br/>
        <w:t>3. Why is the factor of three present?</w:t>
        <w:br/>
        <w:t>4. What does V11 mean by a 'geometric interpretation'?</w:t>
        <w:br/>
        <w:t>5. Is the factor three assumed, derived, or inferred?</w:t>
        <w:br/>
        <w:t>6. Is it consistent with the three-dimensional microscopic ontology developed later?</w:t>
        <w:br/>
        <w:t>7. Which downstream equations explicitly depend on α_resolved?</w:t>
      </w:r>
    </w:p>
    <w:p>
      <w:pPr>
        <w:pStyle w:val="Heading2"/>
      </w:pPr>
      <w:r>
        <w:t>Required Audit</w:t>
      </w:r>
    </w:p>
    <w:p>
      <w:r>
        <w:t>For every occurrence of α, α_EM, α_resolved and the factor 3:</w:t>
        <w:br/>
        <w:t>• quote the equation identifier,</w:t>
        <w:br/>
        <w:t>• identify the surrounding assumptions,</w:t>
        <w:br/>
        <w:t>• classify as premise, derivation, identity or numerical observation,</w:t>
        <w:br/>
        <w:t>• trace downstream dependencies.</w:t>
      </w:r>
    </w:p>
    <w:p>
      <w:pPr>
        <w:pStyle w:val="Heading2"/>
      </w:pPr>
      <w:r>
        <w:t>Cross-Comparison</w:t>
      </w:r>
    </w:p>
    <w:p>
      <w:r>
        <w:t>Compare the V11 treatment with:</w:t>
        <w:br/>
        <w:t>• CORE-001</w:t>
        <w:br/>
        <w:t>• FND-003</w:t>
        <w:br/>
        <w:t>• ERR-001</w:t>
        <w:br/>
        <w:br/>
        <w:t>Identify where later development drifted from V11 and where it remained faithful.</w:t>
      </w:r>
    </w:p>
    <w:p>
      <w:pPr>
        <w:pStyle w:val="Heading2"/>
      </w:pPr>
      <w:r>
        <w:t>Deliverables</w:t>
      </w:r>
    </w:p>
    <w:p>
      <w:r>
        <w:t>1. V11 alpha audit report.</w:t>
        <w:br/>
        <w:t>2. Equation traceability matrix.</w:t>
        <w:br/>
        <w:t>3. Geometric-factor analysis.</w:t>
        <w:br/>
        <w:t>4. Dependency graph.</w:t>
        <w:br/>
        <w:t>5. Recommendation whether future work should:</w:t>
        <w:br/>
        <w:t xml:space="preserve">   A) retain V11 unchanged,</w:t>
        <w:br/>
        <w:t xml:space="preserve">   B) clarify wording,</w:t>
        <w:br/>
        <w:t xml:space="preserve">   C) strengthen the mathematical derivation,</w:t>
        <w:br/>
        <w:t xml:space="preserve">   D) revise later development documents.</w:t>
      </w:r>
    </w:p>
    <w:p>
      <w:pPr>
        <w:pStyle w:val="Heading2"/>
      </w:pPr>
      <w:r>
        <w:t>Completion Criteria</w:t>
      </w:r>
    </w:p>
    <w:p>
      <w:r>
        <w:t>Complete when every appearance of α in V11 has been traced, the role of the factor three has been documented, and the relationship between the V11 formulation and the later microscopic ontology has been clearly established without introducing new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