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TheFatCat Whitepaper</w:t>
      </w:r>
    </w:p>
    <w:p>
      <w:pPr>
        <w:pStyle w:val="Subtitle"/>
      </w:pPr>
      <w:r>
        <w:t>Decentralized Trading-Tax Routing Protocol with Adaptive Damping and Seniority-Weighted Allocation</w:t>
      </w:r>
    </w:p>
    <w:p>
      <w:pPr>
        <w:pStyle w:val="Metadata"/>
      </w:pPr>
      <w:r>
        <w:rPr>
          <w:b/>
          <w:sz w:val="19"/>
          <w:szCs w:val="19"/>
          <w:color w:val="4B5563"/>
        </w:rPr>
        <w:t xml:space="preserve">Version: 1.0 Official Release | Date: September 20, 2026</w:t>
      </w:r>
    </w:p>
    <w:p>
      <w:r>
        <w:rPr>
          <w:i/>
          <w:sz w:val="22"/>
          <w:szCs w:val="22"/>
          <w:color w:val="1F1F1F"/>
        </w:rPr>
        <w:t xml:space="preserve">Derived from Project Plan v0.5 and checked against the current contract source and launch configuration. Equations identified as analytical models state their assumptions explicitly. The ordinary production path starts climbing from seniority notch 1; holders of verified on-chain Seniority Certificates may open positions via `stakeWithCertificate` carrying their permanent starting multiplier (corresponding to underlying `openWithHead`, with head start $\text{head} = \text{multiplier} - 1 \in [0, 21]$). This document contains no projected returns or promises of yield.</w:t>
      </w:r>
    </w:p>
    <w:p>
      <w:pPr>
        <w:pBdr>
          <w:bottom w:val="single" w:sz="6" w:space="8" w:color="E5E7EB"/>
        </w:pBdr>
        <w:spacing w:before="200" w:after="200"/>
      </w:pPr>
    </w:p>
    <w:p>
      <w:pPr>
        <w:pStyle w:val="Heading1"/>
      </w:pPr>
      <w:r>
        <w:t>Abstract</w:t>
      </w:r>
    </w:p>
    <w:p>
      <w:r>
        <w:rPr>
          <w:sz w:val="22"/>
          <w:color w:val="1F1F1F"/>
        </w:rPr>
        <w:t xml:space="preserve">Common decentralized trading-tax (dividend / reflection) designs use a shared reward configuration, pass fees through with little or no time buffer, and allocate by capital without a seniority input. These are properties of the upstream pattern compared here, not claims about every tax-token implementation.</w:t>
      </w:r>
    </w:p>
    <w:p>
      <w:r>
        <w:rPr>
          <w:sz w:val="22"/>
          <w:color w:val="1F1F1F"/>
        </w:rPr>
        <w:t xml:space="preserve">TheFatCat combines the following mechanisms in one protocol architecture:</w:t>
      </w:r>
    </w:p>
    <w:p>
      <w:pPr>
        <w:pStyle w:val="ListBullet"/>
      </w:pPr>
      <w:r>
        <w:rPr>
          <w:b/>
          <w:color w:val="0F5C46"/>
        </w:rPr>
        <w:t xml:space="preserve">1.  </w:t>
      </w:r>
      <w:r>
        <w:rPr>
          <w:b/>
          <w:sz w:val="21"/>
          <w:szCs w:val="21"/>
          <w:color w:val="1F1F1F"/>
        </w:rPr>
        <w:t xml:space="preserve">The Belly Kinetic Reservoir</w:t>
      </w:r>
      <w:r>
        <w:rPr>
          <w:sz w:val="21"/>
          <w:color w:val="1F1F1F"/>
        </w:rPr>
        <w:t xml:space="preserve">: A permissionlessly advanced damping reservoir that can allocate once at least 8 hours have elapsed. At the nominal cadence it allocates </w:t>
      </w:r>
      <w:r>
        <w:rPr>
          <w:i/>
          <w:sz w:val="21"/>
          <w:color w:val="1C2422"/>
        </w:rPr>
        <w:t xml:space="preserve">\frac{1}{21} \approx 4.7619\%</w:t>
      </w:r>
      <w:r>
        <w:rPr>
          <w:sz w:val="21"/>
          <w:color w:val="1F1F1F"/>
        </w:rPr>
        <w:t xml:space="preserve"> of unreserved quote balance per interval, producing an idealized zero-inflow half-life of 4.736 days;</w:t>
      </w:r>
    </w:p>
    <w:p>
      <w:pPr>
        <w:pStyle w:val="ListBullet"/>
      </w:pPr>
      <w:r>
        <w:rPr>
          <w:b/>
          <w:color w:val="0F5C46"/>
        </w:rPr>
        <w:t xml:space="preserve">2.  </w:t>
      </w:r>
      <w:r>
        <w:rPr>
          <w:b/>
          <w:sz w:val="21"/>
          <w:szCs w:val="21"/>
          <w:color w:val="1F1F1F"/>
        </w:rPr>
        <w:t xml:space="preserve">$O(1)$ Closed-Form Seniority Ledger</w:t>
      </w:r>
      <w:r>
        <w:rPr>
          <w:sz w:val="21"/>
          <w:color w:val="1F1F1F"/>
        </w:rPr>
        <w:t xml:space="preserve">: Linear scalar decomposition aggregates dynamic seniority coefficients (levels 1 through 22) across arbitrary numbers of stakers without iterating over positions. End-to-end claims remain linear in the execution batches traversed and can be bounded with </w:t>
      </w:r>
      <w:r>
        <w:rPr>
          <w:rFonts w:ascii="Menlo" w:hAnsi="Menlo"/>
          <w:sz w:val="19"/>
          <w:color w:val="1C2422"/>
          <w:shd w:val="clear" w:color="auto" w:fill="F3F4F6"/>
        </w:rPr>
        <w:t xml:space="preserve">claimThrough</w:t>
      </w:r>
      <w:r>
        <w:rPr>
          <w:sz w:val="21"/>
          <w:color w:val="1F1F1F"/>
        </w:rPr>
        <w:t xml:space="preserve">;</w:t>
      </w:r>
    </w:p>
    <w:p>
      <w:pPr>
        <w:pStyle w:val="ListBullet"/>
      </w:pPr>
      <w:r>
        <w:rPr>
          <w:b/>
          <w:color w:val="0F5C46"/>
        </w:rPr>
        <w:t xml:space="preserve">3.  </w:t>
      </w:r>
      <w:r>
        <w:rPr>
          <w:b/>
          <w:sz w:val="21"/>
          <w:szCs w:val="21"/>
          <w:color w:val="1F1F1F"/>
        </w:rPr>
        <w:t xml:space="preserve">Sovereign Diet Architecture</w:t>
      </w:r>
      <w:r>
        <w:rPr>
          <w:sz w:val="21"/>
          <w:color w:val="1F1F1F"/>
        </w:rPr>
        <w:t xml:space="preserve">: Each position chooses its procurement asset. Ignoring probation caps and integer dust, the gross quote budget attributable to a position depends on its share of total weight; asset choice still affects execution, market value, issuer exposure, and outside incentives;</w:t>
      </w:r>
    </w:p>
    <w:p>
      <w:pPr>
        <w:pStyle w:val="ListBullet"/>
      </w:pPr>
      <w:r>
        <w:rPr>
          <w:b/>
          <w:color w:val="0F5C46"/>
        </w:rPr>
        <w:t xml:space="preserve">4.  </w:t>
      </w:r>
      <w:r>
        <w:rPr>
          <w:b/>
          <w:sz w:val="21"/>
          <w:szCs w:val="21"/>
          <w:color w:val="1F1F1F"/>
        </w:rPr>
        <w:t xml:space="preserve">Dual-Liability Accounting &amp; Conservative Rounding</w:t>
      </w:r>
      <w:r>
        <w:rPr>
          <w:sz w:val="21"/>
          <w:color w:val="1F1F1F"/>
        </w:rPr>
        <w:t xml:space="preserve">: Canonical WBNB is the default and fallback quote asset. Batch accounting, exact-delivery checks, and downward rounding maintain tested solvency invariants under the supported token model.</w:t>
      </w:r>
    </w:p>
    <w:p>
      <w:pPr>
        <w:pBdr>
          <w:bottom w:val="single" w:sz="6" w:space="8" w:color="E5E7EB"/>
        </w:pBdr>
        <w:spacing w:before="200" w:after="200"/>
      </w:pPr>
    </w:p>
    <w:p>
      <w:pPr>
        <w:pStyle w:val="Heading1"/>
      </w:pPr>
      <w:r>
        <w:t>1. Introduction &amp; Paradigm Shift</w:t>
      </w:r>
    </w:p>
    <w:p>
      <w:pPr>
        <w:pStyle w:val="Subtitle"/>
      </w:pPr>
      <w:r>
        <w:t>1.1 The Triple Structural Dilemma of Traditional Pass-Through Tax Tokens</w:t>
      </w:r>
    </w:p>
    <w:p>
      <w:r>
        <w:rPr>
          <w:sz w:val="22"/>
          <w:color w:val="1F1F1F"/>
        </w:rPr>
        <w:t xml:space="preserve">In existing Automated Market Maker (AMM) ecosystems, many dividend-bearing tokens rely on pass-through pipelines: taking a percentage fee from swaps, converting it into a configured reward token, and streaming it to holders. The upstream template used for this comparison has three limitations:</w:t>
      </w:r>
    </w:p>
    <w:p>
      <w:pPr>
        <w:pStyle w:val="ListBullet"/>
      </w:pPr>
      <w:r>
        <w:rPr>
          <w:b/>
          <w:color w:val="0F5C46"/>
        </w:rPr>
        <w:t xml:space="preserve">1.  </w:t>
      </w:r>
      <w:r>
        <w:rPr>
          <w:b/>
          <w:sz w:val="21"/>
          <w:szCs w:val="21"/>
          <w:color w:val="1F1F1F"/>
        </w:rPr>
        <w:t xml:space="preserve">Shared Reward Configuration</w:t>
      </w:r>
      <w:r>
        <w:rPr>
          <w:sz w:val="21"/>
          <w:color w:val="1F1F1F"/>
        </w:rPr>
        <w:t xml:space="preserve">: One reward asset or basket is configured for all eligible holders; the upstream path does not expose a distinct choice per staking position;</w:t>
      </w:r>
    </w:p>
    <w:p>
      <w:pPr>
        <w:pStyle w:val="ListBullet"/>
      </w:pPr>
      <w:r>
        <w:rPr>
          <w:b/>
          <w:color w:val="0F5C46"/>
        </w:rPr>
        <w:t xml:space="preserve">2.  </w:t>
      </w:r>
      <w:r>
        <w:rPr>
          <w:b/>
          <w:sz w:val="21"/>
          <w:szCs w:val="21"/>
          <w:color w:val="1F1F1F"/>
        </w:rPr>
        <w:t xml:space="preserve">Unbuffered Timing</w:t>
      </w:r>
      <w:r>
        <w:rPr>
          <w:sz w:val="21"/>
          <w:color w:val="1F1F1F"/>
        </w:rPr>
        <w:t xml:space="preserve">: New fee income falls with new trading volume. A direct pass-through transmits that change quickly instead of metering an accumulated reservoir over later intervals;</w:t>
      </w:r>
    </w:p>
    <w:p>
      <w:pPr>
        <w:pStyle w:val="ListBullet"/>
      </w:pPr>
      <w:r>
        <w:rPr>
          <w:b/>
          <w:color w:val="0F5C46"/>
        </w:rPr>
        <w:t xml:space="preserve">3.  </w:t>
      </w:r>
      <w:r>
        <w:rPr>
          <w:b/>
          <w:sz w:val="21"/>
          <w:szCs w:val="21"/>
          <w:color w:val="1F1F1F"/>
        </w:rPr>
        <w:t xml:space="preserve">No Seniority Input</w:t>
      </w:r>
      <w:r>
        <w:rPr>
          <w:sz w:val="21"/>
          <w:color w:val="1F1F1F"/>
        </w:rPr>
        <w:t xml:space="preserve">: Allocation follows capital share and assigns no additional coefficient to holding duration. Short-lived capital can dominate current distributions when it supplies most of the eligible balance, although it does not thereby acquire rewards already assigned before entry.</w:t>
      </w:r>
    </w:p>
    <w:p>
      <w:pPr>
        <w:pStyle w:val="Subtitle"/>
      </w:pPr>
      <w:r>
        <w:t>1.2 The Reservoir Model: Damping Flow into Sticky Inventory</w:t>
      </w:r>
    </w:p>
    <w:p>
      <w:r>
        <w:rPr>
          <w:sz w:val="22"/>
          <w:color w:val="1F1F1F"/>
        </w:rPr>
        <w:t xml:space="preserve">TheFatCat transforms the pass-through pipe into a self-damped physical reservoir—</w:t>
      </w:r>
      <w:r>
        <w:rPr>
          <w:b/>
          <w:sz w:val="22"/>
          <w:szCs w:val="22"/>
          <w:color w:val="1F1F1F"/>
        </w:rPr>
        <w:t xml:space="preserve">The Belly</w:t>
      </w:r>
      <w:r>
        <w:rPr>
          <w:sz w:val="22"/>
          <w:color w:val="1F1F1F"/>
        </w:rPr>
        <w:t xml:space="preserve">. Out of the 4.0% trading tax, Flap withholds 10% (~0.4%), the forwarding vault splits its proceeds at 5/36 (~0.5%) atomically to an operations Safe, and the remaining 31/36 (~3.1%) is injected as potential energy into the reservoir, released by a deterministic clock. Transient volatility is converted into cross-interval inventory.</w:t>
      </w:r>
    </w:p>
    <w:p>
      <w:pPr>
        <w:jc w:val="center"/>
        <w:spacing w:before="160" w:after="160"/>
      </w:pPr>
      <w:r>
        <w:rPr>
          <w:b/>
          <w:sz w:val="20"/>
          <w:color w:val="0F5C46"/>
        </w:rPr>
        <w:t>[ Figure 1: Protocol Capital Flow &amp; State Transition Topology ]</w:t>
      </w:r>
    </w:p>
    <w:p>
      <w:pPr>
        <w:pBdr>
          <w:bottom w:val="single" w:sz="6" w:space="8" w:color="E5E7EB"/>
        </w:pBdr>
        <w:spacing w:before="200" w:after="200"/>
      </w:pPr>
    </w:p>
    <w:p>
      <w:pPr>
        <w:pStyle w:val="Heading1"/>
      </w:pPr>
      <w:r>
        <w:t>2. The Belly Hydrodynamics &amp; Time-Proration</w:t>
      </w:r>
    </w:p>
    <w:p>
      <w:pPr>
        <w:pStyle w:val="Subtitle"/>
      </w:pPr>
      <w:r>
        <w:t>2.1 First-Order Exponential Decay and Steady-State Watermark Equation</w:t>
      </w:r>
    </w:p>
    <w:p>
      <w:r>
        <w:rPr>
          <w:sz w:val="22"/>
          <w:color w:val="1F1F1F"/>
        </w:rPr>
        <w:t xml:space="preserve">The Belly rejects fixed-quota emissions. Allocation is computed from </w:t>
      </w:r>
      <w:r>
        <w:rPr>
          <w:b/>
          <w:sz w:val="22"/>
          <w:szCs w:val="22"/>
          <w:color w:val="1F1F1F"/>
        </w:rPr>
        <w:t xml:space="preserve">unreserved quote balance</w:t>
      </w:r>
      <w:r>
        <w:rPr>
          <w:sz w:val="22"/>
          <w:color w:val="1F1F1F"/>
        </w:rPr>
        <w:t xml:space="preserve">: </w:t>
      </w:r>
      <w:r>
        <w:rPr>
          <w:rFonts w:ascii="Menlo" w:hAnsi="Menlo"/>
          <w:sz w:val="20"/>
          <w:color w:val="1C2422"/>
          <w:shd w:val="clear" w:color="auto" w:fill="F3F4F6"/>
        </w:rPr>
        <w:t xml:space="preserve">accounted - outstandingClaims</w:t>
      </w:r>
      <w:r>
        <w:rPr>
          <w:sz w:val="22"/>
          <w:color w:val="1F1F1F"/>
        </w:rPr>
        <w:t xml:space="preserve">, not from the gross token balance alone.</w:t>
      </w:r>
    </w:p>
    <w:p>
      <w:r>
        <w:rPr>
          <w:sz w:val="22"/>
          <w:color w:val="1F1F1F"/>
        </w:rPr>
        <w:t xml:space="preserve">Under nominal conditions, the protocol advances its state clock at a minimum interval </w:t>
      </w:r>
      <w:r>
        <w:rPr>
          <w:i/>
          <w:sz w:val="22"/>
          <w:color w:val="1C2422"/>
        </w:rPr>
        <w:t xml:space="preserve">\Delta t_{\min} = 8\text{ hours}</w:t>
      </w:r>
      <w:r>
        <w:rPr>
          <w:sz w:val="22"/>
          <w:color w:val="1F1F1F"/>
        </w:rPr>
        <w:t xml:space="preserve">, normalized against a weekly denominator (</w:t>
      </w:r>
      <w:r>
        <w:rPr>
          <w:i/>
          <w:sz w:val="22"/>
          <w:color w:val="1C2422"/>
        </w:rPr>
        <w:t xml:space="preserve">T_{\text{week}} = 168\text{ hours}</w:t>
      </w:r>
      <w:r>
        <w:rPr>
          <w:sz w:val="22"/>
          <w:color w:val="1F1F1F"/>
        </w:rPr>
        <w:t xml:space="preserve">). The nominal allocation coefficient </w:t>
      </w:r>
      <w:r>
        <w:rPr>
          <w:i/>
          <w:sz w:val="22"/>
          <w:color w:val="1C2422"/>
        </w:rPr>
        <w:t xml:space="preserve">\alpha</w:t>
      </w:r>
      <w:r>
        <w:rPr>
          <w:sz w:val="22"/>
          <w:color w:val="1F1F1F"/>
        </w:rPr>
        <w:t xml:space="preserve"> per meal is:</w:t>
      </w:r>
    </w:p>
    <w:p>
      <w:pPr>
        <w:pStyle w:val="Equation"/>
      </w:pPr>
      <w:r>
        <w:rPr>
          <w:i/>
          <w:sz w:val="22"/>
          <w:color w:val="1C2422"/>
        </w:rPr>
        <w:t xml:space="preserve">\alpha = \frac{\Delta t_{\min}}{T_{\text{week}}} = \frac{8}{168} = \frac{1}{21} \approx 4.7619\%</w:t>
      </w:r>
    </w:p>
    <w:p>
      <w:r>
        <w:rPr>
          <w:sz w:val="22"/>
          <w:color w:val="1F1F1F"/>
        </w:rPr>
        <w:t xml:space="preserve">Let </w:t>
      </w:r>
      <w:r>
        <w:rPr>
          <w:i/>
          <w:sz w:val="22"/>
          <w:color w:val="1C2422"/>
        </w:rPr>
        <w:t xml:space="preserve">B_k</w:t>
      </w:r>
      <w:r>
        <w:rPr>
          <w:sz w:val="22"/>
          <w:color w:val="1F1F1F"/>
        </w:rPr>
        <w:t xml:space="preserve"> denote unreserved quote balance immediately before nominal settlement interval </w:t>
      </w:r>
      <w:r>
        <w:rPr>
          <w:i/>
          <w:sz w:val="22"/>
          <w:color w:val="1C2422"/>
        </w:rPr>
        <w:t xml:space="preserve">k</w:t>
      </w:r>
      <w:r>
        <w:rPr>
          <w:sz w:val="22"/>
          <w:color w:val="1F1F1F"/>
        </w:rPr>
        <w:t xml:space="preserve">. If external inflow is zero, every interval closes exactly eight hours apart, each meal is valid, every allocation is executed immediately, and integer dust is ignored, the analytical model follows a discrete first-order exponential decay:</w:t>
      </w:r>
    </w:p>
    <w:p>
      <w:pPr>
        <w:pStyle w:val="Equation"/>
      </w:pPr>
      <w:r>
        <w:rPr>
          <w:i/>
          <w:sz w:val="22"/>
          <w:color w:val="1C2422"/>
        </w:rPr>
        <w:t xml:space="preserve">B_{k+1} = B_k \cdot (1 - \alpha) = B_k \cdot \left(\frac{20}{21}\right)</w:t>
      </w:r>
    </w:p>
    <w:p>
      <w:r>
        <w:rPr>
          <w:sz w:val="22"/>
          <w:color w:val="1F1F1F"/>
        </w:rPr>
        <w:t xml:space="preserve">By mathematical induction, the remaining treasury capital after </w:t>
      </w:r>
      <w:r>
        <w:rPr>
          <w:i/>
          <w:sz w:val="22"/>
          <w:color w:val="1C2422"/>
        </w:rPr>
        <w:t xml:space="preserve">k</w:t>
      </w:r>
      <w:r>
        <w:rPr>
          <w:sz w:val="22"/>
          <w:color w:val="1F1F1F"/>
        </w:rPr>
        <w:t xml:space="preserve"> settlement intervals satisfies:</w:t>
      </w:r>
    </w:p>
    <w:p>
      <w:pPr>
        <w:pStyle w:val="Equation"/>
      </w:pPr>
      <w:r>
        <w:rPr>
          <w:i/>
          <w:sz w:val="22"/>
          <w:color w:val="1C2422"/>
        </w:rPr>
        <w:t xml:space="preserve">B(k) = B_0 \cdot \left(\frac{20}{21}\right)^k</w:t>
      </w:r>
    </w:p>
    <w:p>
      <w:r>
        <w:rPr>
          <w:sz w:val="22"/>
          <w:color w:val="1F1F1F"/>
        </w:rPr>
        <w:t xml:space="preserve">If the external market injects fees at a constant rate </w:t>
      </w:r>
      <w:r>
        <w:rPr>
          <w:i/>
          <w:sz w:val="22"/>
          <w:color w:val="1C2422"/>
        </w:rPr>
        <w:t xml:space="preserve">I</w:t>
      </w:r>
      <w:r>
        <w:rPr>
          <w:sz w:val="22"/>
          <w:color w:val="1F1F1F"/>
        </w:rPr>
        <w:t xml:space="preserve"> per 8-hour window, the system achieves dynamic equilibrium when </w:t>
      </w:r>
      <w:r>
        <w:rPr>
          <w:i/>
          <w:sz w:val="22"/>
          <w:color w:val="1C2422"/>
        </w:rPr>
        <w:t xml:space="preserve">B_{\text{eq}} \cdot \alpha = I</w:t>
      </w:r>
      <w:r>
        <w:rPr>
          <w:sz w:val="22"/>
          <w:color w:val="1F1F1F"/>
        </w:rPr>
        <w:t xml:space="preserve">:</w:t>
      </w:r>
    </w:p>
    <w:p>
      <w:pPr>
        <w:pStyle w:val="Equation"/>
      </w:pPr>
      <w:r>
        <w:rPr>
          <w:i/>
          <w:sz w:val="22"/>
          <w:color w:val="1C2422"/>
        </w:rPr>
        <w:t xml:space="preserve">B_{\text{eq}} = \frac{I}{\alpha} = 21 \cdot I</w:t>
      </w:r>
    </w:p>
    <w:p>
      <w:r>
        <w:rPr>
          <w:b/>
          <w:sz w:val="22"/>
          <w:szCs w:val="22"/>
          <w:color w:val="1F1F1F"/>
        </w:rPr>
        <w:t xml:space="preserve">Idealized steady state</w:t>
      </w:r>
      <w:r>
        <w:rPr>
          <w:sz w:val="22"/>
          <w:color w:val="1F1F1F"/>
        </w:rPr>
        <w:t xml:space="preserve">: Under the same cadence and execution assumptions, a constant inflow of </w:t>
      </w:r>
      <w:r>
        <w:rPr>
          <w:i/>
          <w:sz w:val="22"/>
          <w:color w:val="1C2422"/>
        </w:rPr>
        <w:t xml:space="preserve">I</w:t>
      </w:r>
      <w:r>
        <w:rPr>
          <w:sz w:val="22"/>
          <w:color w:val="1F1F1F"/>
        </w:rPr>
        <w:t xml:space="preserve"> per eight-hour interval produces a pre-settlement equilibrium of </w:t>
      </w:r>
      <w:r>
        <w:rPr>
          <w:i/>
          <w:sz w:val="22"/>
          <w:color w:val="1C2422"/>
        </w:rPr>
        <w:t xml:space="preserve">21I</w:t>
      </w:r>
      <w:r>
        <w:rPr>
          <w:sz w:val="22"/>
          <w:color w:val="1F1F1F"/>
        </w:rPr>
        <w:t xml:space="preserve">, equivalent to seven days of that modeled inflow. Live balances vary with lumpy fee arrivals, delayed advances, unexecuted claims, caps, invalid meals, and integer rounding.</w:t>
      </w:r>
    </w:p>
    <w:p>
      <w:pPr>
        <w:pStyle w:val="Subtitle"/>
      </w:pPr>
      <w:r>
        <w:t>2.2 Analytical Derivation of Half-Life</w:t>
      </w:r>
    </w:p>
    <w:p>
      <w:r>
        <w:rPr>
          <w:sz w:val="22"/>
          <w:color w:val="1F1F1F"/>
        </w:rPr>
        <w:t xml:space="preserve">Setting </w:t>
      </w:r>
      <w:r>
        <w:rPr>
          <w:i/>
          <w:sz w:val="22"/>
          <w:color w:val="1C2422"/>
        </w:rPr>
        <w:t xml:space="preserve">B(k) = \frac{1}{2} B_0</w:t>
      </w:r>
      <w:r>
        <w:rPr>
          <w:sz w:val="22"/>
          <w:color w:val="1F1F1F"/>
        </w:rPr>
        <w:t xml:space="preserve">, we derive the number of distribution cycles </w:t>
      </w:r>
      <w:r>
        <w:rPr>
          <w:i/>
          <w:sz w:val="22"/>
          <w:color w:val="1C2422"/>
        </w:rPr>
        <w:t xml:space="preserve">k_{1/2}</w:t>
      </w:r>
      <w:r>
        <w:rPr>
          <w:sz w:val="22"/>
          <w:color w:val="1F1F1F"/>
        </w:rPr>
        <w:t xml:space="preserve"> required for treasury capital to halve:</w:t>
      </w:r>
    </w:p>
    <w:p>
      <w:pPr>
        <w:pStyle w:val="Equation"/>
      </w:pPr>
      <w:r>
        <w:rPr>
          <w:i/>
          <w:sz w:val="22"/>
          <w:color w:val="1C2422"/>
        </w:rPr>
        <w:t xml:space="preserve">\left(\frac{20}{21}\right)^{k_{1/2}} = \frac{1}{2} \implies k_{1/2} = \frac{\ln(0.5)}{\ln(20/21)} = \frac{-\ln 2}{\ln 20 - \ln 21} \approx \frac{-0.693147}{-0.048790} \approx 14.207 \text{ cycles}</w:t>
      </w:r>
    </w:p>
    <w:p>
      <w:r>
        <w:rPr>
          <w:sz w:val="22"/>
          <w:color w:val="1F1F1F"/>
        </w:rPr>
        <w:t xml:space="preserve">Converting cycles into absolute physical time </w:t>
      </w:r>
      <w:r>
        <w:rPr>
          <w:i/>
          <w:sz w:val="22"/>
          <w:color w:val="1C2422"/>
        </w:rPr>
        <w:t xml:space="preserve">t_{1/2}</w:t>
      </w:r>
      <w:r>
        <w:rPr>
          <w:sz w:val="22"/>
          <w:color w:val="1F1F1F"/>
        </w:rPr>
        <w:t xml:space="preserve">:</w:t>
      </w:r>
    </w:p>
    <w:p>
      <w:pPr>
        <w:pStyle w:val="Equation"/>
      </w:pPr>
      <w:r>
        <w:rPr>
          <w:i/>
          <w:sz w:val="22"/>
          <w:color w:val="1C2422"/>
        </w:rPr>
        <w:t xml:space="preserve">t_{1/2} = k_{1/2} \times 8 \text{ hours} \approx 113.654 \text{ hours} \approx 4.736 \text{ days}</w:t>
      </w:r>
    </w:p>
    <w:p>
      <w:pPr>
        <w:pStyle w:val="Heading3"/>
      </w:pPr>
      <w:r>
        <w:t>Decay Trajectory under Zero-Volume Regime</w:t>
      </w:r>
    </w:p>
    <w:tbl>
      <w:tblPr>
        <w:tblW w:w="0" w:type="auto"/>
        <w:tblBorders>
          <w:top w:val="single" w:sz="6" w:space="0" w:color="D1D5DB"/>
          <w:bottom w:val="single" w:sz="8" w:space="0" w:color="4B5563"/>
          <w:insideH w:val="single" w:sz="4" w:space="0" w:color="E5E7EB"/>
          <w:insideV w:val="none"/>
          <w:left w:val="none"/>
          <w:right w:val="none"/>
        </w:tblBorders>
        <w:tblCellMar>
          <w:top w:w="120" w:type="dxa"/>
          <w:bottom w:w="120" w:type="dxa"/>
          <w:left w:w="160" w:type="dxa"/>
          <w:right w:w="160" w:type="dxa"/>
        </w:tblCellMar>
      </w:tblPr>
      <w:tr>
        <w:tc>
          <w:tcPr>
            <w:shd w:val="clear" w:color="auto" w:fill="F9FAFB"/>
          </w:tcPr>
          <w:p>
            <w:pPr>
              <w:spacing w:before="60" w:after="60"/>
            </w:pPr>
            <w:r>
              <w:rPr>
                <w:b/>
              </w:rPr>
            </w:r>
            <w:r>
              <w:rPr>
                <w:sz w:val="20"/>
                <w:color w:val="0D1117"/>
              </w:rPr>
              <w:t xml:space="preserve">Physical Elapsed Time (</w:t>
            </w:r>
            <w:r>
              <w:rPr>
                <w:i/>
                <w:sz w:val="20"/>
                <w:color w:val="1C2422"/>
              </w:rPr>
              <w:t xml:space="preserve">V=0</w:t>
            </w:r>
            <w:r>
              <w:rPr>
                <w:sz w:val="20"/>
                <w:color w:val="0D1117"/>
              </w:rPr>
              <w:t xml:space="preserve">)</w:t>
            </w:r>
          </w:p>
        </w:tc>
        <w:tc>
          <w:tcPr>
            <w:shd w:val="clear" w:color="auto" w:fill="F9FAFB"/>
          </w:tcPr>
          <w:p>
            <w:pPr>
              <w:spacing w:before="60" w:after="60"/>
            </w:pPr>
            <w:r>
              <w:rPr>
                <w:b/>
              </w:rPr>
            </w:r>
            <w:r>
              <w:rPr>
                <w:sz w:val="20"/>
                <w:color w:val="0D1117"/>
              </w:rPr>
              <w:t xml:space="preserve">Cycles Elapsed (</w:t>
            </w:r>
            <w:r>
              <w:rPr>
                <w:i/>
                <w:sz w:val="20"/>
                <w:color w:val="1C2422"/>
              </w:rPr>
              <w:t xml:space="preserve">k</w:t>
            </w:r>
            <w:r>
              <w:rPr>
                <w:sz w:val="20"/>
                <w:color w:val="0D1117"/>
              </w:rPr>
              <w:t xml:space="preserve">)</w:t>
            </w:r>
          </w:p>
        </w:tc>
        <w:tc>
          <w:tcPr>
            <w:shd w:val="clear" w:color="auto" w:fill="F9FAFB"/>
          </w:tcPr>
          <w:p>
            <w:pPr>
              <w:spacing w:before="60" w:after="60"/>
            </w:pPr>
            <w:r>
              <w:rPr>
                <w:b/>
              </w:rPr>
            </w:r>
            <w:r>
              <w:rPr>
                <w:sz w:val="20"/>
                <w:color w:val="0D1117"/>
              </w:rPr>
              <w:t xml:space="preserve">Theoretical Balance Ratio </w:t>
            </w:r>
            <w:r>
              <w:rPr>
                <w:i/>
                <w:sz w:val="20"/>
                <w:color w:val="1C2422"/>
              </w:rPr>
              <w:t xml:space="preserve">B(k)/B_0</w:t>
            </w:r>
            <w:r>
              <w:rPr>
                <w:sz w:val="20"/>
                <w:color w:val="0D1117"/>
              </w:rPr>
              <w:t xml:space="preserve"/>
            </w:r>
          </w:p>
        </w:tc>
        <w:tc>
          <w:tcPr>
            <w:shd w:val="clear" w:color="auto" w:fill="F9FAFB"/>
          </w:tcPr>
          <w:p>
            <w:pPr>
              <w:spacing w:before="60" w:after="60"/>
            </w:pPr>
            <w:r>
              <w:rPr>
                <w:b/>
              </w:rPr>
            </w:r>
            <w:r>
              <w:rPr>
                <w:sz w:val="20"/>
                <w:color w:val="0D1117"/>
              </w:rPr>
              <w:t xml:space="preserve">Discrete Exact Value</w:t>
            </w:r>
          </w:p>
        </w:tc>
      </w:tr>
      <w:tr>
        <w:tc>
          <w:p>
            <w:pPr>
              <w:spacing w:before="40" w:after="40"/>
            </w:pPr>
            <w:r>
              <w:rPr>
                <w:b/>
                <w:sz w:val="19"/>
                <w:szCs w:val="19"/>
                <w:color w:val="1F1F1F"/>
              </w:rPr>
              <w:t xml:space="preserve">Day 1</w:t>
            </w:r>
            <w:r>
              <w:rPr>
                <w:sz w:val="19"/>
                <w:color w:val="1F1F1F"/>
              </w:rPr>
              <w:t xml:space="preserve"> (24 hours)</w:t>
            </w:r>
          </w:p>
        </w:tc>
        <w:tc>
          <w:p>
            <w:pPr>
              <w:spacing w:before="40" w:after="40"/>
            </w:pPr>
            <w:r>
              <w:rPr>
                <w:sz w:val="19"/>
                <w:color w:val="1F1F1F"/>
              </w:rPr>
              <w:t xml:space="preserve">3</w:t>
            </w:r>
          </w:p>
        </w:tc>
        <w:tc>
          <w:p>
            <w:pPr>
              <w:spacing w:before="40" w:after="40"/>
            </w:pPr>
            <w:r>
              <w:rPr>
                <w:sz w:val="19"/>
                <w:color w:val="1F1F1F"/>
              </w:rPr>
              <w:t xml:space="preserve"/>
            </w:r>
            <w:r>
              <w:rPr>
                <w:i/>
                <w:sz w:val="19"/>
                <w:color w:val="1C2422"/>
              </w:rPr>
              <w:t xml:space="preserve">(20/21)^3</w:t>
            </w:r>
            <w:r>
              <w:rPr>
                <w:sz w:val="19"/>
                <w:color w:val="1F1F1F"/>
              </w:rPr>
              <w:t xml:space="preserve"/>
            </w:r>
          </w:p>
        </w:tc>
        <w:tc>
          <w:p>
            <w:pPr>
              <w:spacing w:before="40" w:after="40"/>
            </w:pPr>
            <w:r>
              <w:rPr>
                <w:b/>
                <w:sz w:val="19"/>
                <w:szCs w:val="19"/>
                <w:color w:val="1F1F1F"/>
              </w:rPr>
              <w:t xml:space="preserve">86.38%</w:t>
            </w:r>
          </w:p>
        </w:tc>
      </w:tr>
      <w:tr>
        <w:tc>
          <w:p>
            <w:pPr>
              <w:spacing w:before="40" w:after="40"/>
            </w:pPr>
            <w:r>
              <w:rPr>
                <w:b/>
                <w:sz w:val="19"/>
                <w:szCs w:val="19"/>
                <w:color w:val="1F1F1F"/>
              </w:rPr>
              <w:t xml:space="preserve">Day 3</w:t>
            </w:r>
            <w:r>
              <w:rPr>
                <w:sz w:val="19"/>
                <w:color w:val="1F1F1F"/>
              </w:rPr>
              <w:t xml:space="preserve"> (72 hours)</w:t>
            </w:r>
          </w:p>
        </w:tc>
        <w:tc>
          <w:p>
            <w:pPr>
              <w:spacing w:before="40" w:after="40"/>
            </w:pPr>
            <w:r>
              <w:rPr>
                <w:sz w:val="19"/>
                <w:color w:val="1F1F1F"/>
              </w:rPr>
              <w:t xml:space="preserve">9</w:t>
            </w:r>
          </w:p>
        </w:tc>
        <w:tc>
          <w:p>
            <w:pPr>
              <w:spacing w:before="40" w:after="40"/>
            </w:pPr>
            <w:r>
              <w:rPr>
                <w:sz w:val="19"/>
                <w:color w:val="1F1F1F"/>
              </w:rPr>
              <w:t xml:space="preserve"/>
            </w:r>
            <w:r>
              <w:rPr>
                <w:i/>
                <w:sz w:val="19"/>
                <w:color w:val="1C2422"/>
              </w:rPr>
              <w:t xml:space="preserve">(20/21)^9</w:t>
            </w:r>
            <w:r>
              <w:rPr>
                <w:sz w:val="19"/>
                <w:color w:val="1F1F1F"/>
              </w:rPr>
              <w:t xml:space="preserve"/>
            </w:r>
          </w:p>
        </w:tc>
        <w:tc>
          <w:p>
            <w:pPr>
              <w:spacing w:before="40" w:after="40"/>
            </w:pPr>
            <w:r>
              <w:rPr>
                <w:b/>
                <w:sz w:val="19"/>
                <w:szCs w:val="19"/>
                <w:color w:val="1F1F1F"/>
              </w:rPr>
              <w:t xml:space="preserve">64.46%</w:t>
            </w:r>
          </w:p>
        </w:tc>
      </w:tr>
      <w:tr>
        <w:tc>
          <w:p>
            <w:pPr>
              <w:spacing w:before="40" w:after="40"/>
            </w:pPr>
            <w:r>
              <w:rPr>
                <w:b/>
                <w:sz w:val="19"/>
                <w:szCs w:val="19"/>
                <w:color w:val="1F1F1F"/>
              </w:rPr>
              <w:t xml:space="preserve">Day 7</w:t>
            </w:r>
            <w:r>
              <w:rPr>
                <w:sz w:val="19"/>
                <w:color w:val="1F1F1F"/>
              </w:rPr>
              <w:t xml:space="preserve"> (168 hours)</w:t>
            </w:r>
          </w:p>
        </w:tc>
        <w:tc>
          <w:p>
            <w:pPr>
              <w:spacing w:before="40" w:after="40"/>
            </w:pPr>
            <w:r>
              <w:rPr>
                <w:sz w:val="19"/>
                <w:color w:val="1F1F1F"/>
              </w:rPr>
              <w:t xml:space="preserve">21</w:t>
            </w:r>
          </w:p>
        </w:tc>
        <w:tc>
          <w:p>
            <w:pPr>
              <w:spacing w:before="40" w:after="40"/>
            </w:pPr>
            <w:r>
              <w:rPr>
                <w:sz w:val="19"/>
                <w:color w:val="1F1F1F"/>
              </w:rPr>
              <w:t xml:space="preserve"/>
            </w:r>
            <w:r>
              <w:rPr>
                <w:i/>
                <w:sz w:val="19"/>
                <w:color w:val="1C2422"/>
              </w:rPr>
              <w:t xml:space="preserve">(20/21)^{21}</w:t>
            </w:r>
            <w:r>
              <w:rPr>
                <w:sz w:val="19"/>
                <w:color w:val="1F1F1F"/>
              </w:rPr>
              <w:t xml:space="preserve"/>
            </w:r>
          </w:p>
        </w:tc>
        <w:tc>
          <w:p>
            <w:pPr>
              <w:spacing w:before="40" w:after="40"/>
            </w:pPr>
            <w:r>
              <w:rPr>
                <w:b/>
                <w:sz w:val="19"/>
                <w:szCs w:val="19"/>
                <w:color w:val="1F1F1F"/>
              </w:rPr>
              <w:t xml:space="preserve">35.89%</w:t>
            </w:r>
          </w:p>
        </w:tc>
      </w:tr>
      <w:tr>
        <w:tc>
          <w:p>
            <w:pPr>
              <w:spacing w:before="40" w:after="40"/>
            </w:pPr>
            <w:r>
              <w:rPr>
                <w:b/>
                <w:sz w:val="19"/>
                <w:szCs w:val="19"/>
                <w:color w:val="1F1F1F"/>
              </w:rPr>
              <w:t xml:space="preserve">Day 14</w:t>
            </w:r>
            <w:r>
              <w:rPr>
                <w:sz w:val="19"/>
                <w:color w:val="1F1F1F"/>
              </w:rPr>
              <w:t xml:space="preserve"> (336 hours)</w:t>
            </w:r>
          </w:p>
        </w:tc>
        <w:tc>
          <w:p>
            <w:pPr>
              <w:spacing w:before="40" w:after="40"/>
            </w:pPr>
            <w:r>
              <w:rPr>
                <w:sz w:val="19"/>
                <w:color w:val="1F1F1F"/>
              </w:rPr>
              <w:t xml:space="preserve">42</w:t>
            </w:r>
          </w:p>
        </w:tc>
        <w:tc>
          <w:p>
            <w:pPr>
              <w:spacing w:before="40" w:after="40"/>
            </w:pPr>
            <w:r>
              <w:rPr>
                <w:sz w:val="19"/>
                <w:color w:val="1F1F1F"/>
              </w:rPr>
              <w:t xml:space="preserve"/>
            </w:r>
            <w:r>
              <w:rPr>
                <w:i/>
                <w:sz w:val="19"/>
                <w:color w:val="1C2422"/>
              </w:rPr>
              <w:t xml:space="preserve">(20/21)^{42}</w:t>
            </w:r>
            <w:r>
              <w:rPr>
                <w:sz w:val="19"/>
                <w:color w:val="1F1F1F"/>
              </w:rPr>
              <w:t xml:space="preserve"/>
            </w:r>
          </w:p>
        </w:tc>
        <w:tc>
          <w:p>
            <w:pPr>
              <w:spacing w:before="40" w:after="40"/>
            </w:pPr>
            <w:r>
              <w:rPr>
                <w:b/>
                <w:sz w:val="19"/>
                <w:szCs w:val="19"/>
                <w:color w:val="1F1F1F"/>
              </w:rPr>
              <w:t xml:space="preserve">12.88%</w:t>
            </w:r>
          </w:p>
        </w:tc>
      </w:tr>
      <w:tr>
        <w:tc>
          <w:p>
            <w:pPr>
              <w:spacing w:before="40" w:after="40"/>
            </w:pPr>
            <w:r>
              <w:rPr>
                <w:b/>
                <w:sz w:val="19"/>
                <w:szCs w:val="19"/>
                <w:color w:val="1F1F1F"/>
              </w:rPr>
              <w:t xml:space="preserve">Day 30</w:t>
            </w:r>
            <w:r>
              <w:rPr>
                <w:sz w:val="19"/>
                <w:color w:val="1F1F1F"/>
              </w:rPr>
              <w:t xml:space="preserve"> (720 hours)</w:t>
            </w:r>
          </w:p>
        </w:tc>
        <w:tc>
          <w:p>
            <w:pPr>
              <w:spacing w:before="40" w:after="40"/>
            </w:pPr>
            <w:r>
              <w:rPr>
                <w:sz w:val="19"/>
                <w:color w:val="1F1F1F"/>
              </w:rPr>
              <w:t xml:space="preserve">90</w:t>
            </w:r>
          </w:p>
        </w:tc>
        <w:tc>
          <w:p>
            <w:pPr>
              <w:spacing w:before="40" w:after="40"/>
            </w:pPr>
            <w:r>
              <w:rPr>
                <w:sz w:val="19"/>
                <w:color w:val="1F1F1F"/>
              </w:rPr>
              <w:t xml:space="preserve"/>
            </w:r>
            <w:r>
              <w:rPr>
                <w:i/>
                <w:sz w:val="19"/>
                <w:color w:val="1C2422"/>
              </w:rPr>
              <w:t xml:space="preserve">(20/21)^{90}</w:t>
            </w:r>
            <w:r>
              <w:rPr>
                <w:sz w:val="19"/>
                <w:color w:val="1F1F1F"/>
              </w:rPr>
              <w:t xml:space="preserve"/>
            </w:r>
          </w:p>
        </w:tc>
        <w:tc>
          <w:p>
            <w:pPr>
              <w:spacing w:before="40" w:after="40"/>
            </w:pPr>
            <w:r>
              <w:rPr>
                <w:b/>
                <w:sz w:val="19"/>
                <w:szCs w:val="19"/>
                <w:color w:val="1F1F1F"/>
              </w:rPr>
              <w:t xml:space="preserve">1.24%</w:t>
            </w:r>
          </w:p>
        </w:tc>
      </w:tr>
    </w:tbl>
    <w:p>
      <w:r>
        <w:rPr>
          <w:sz w:val="22"/>
          <w:color w:val="1F1F1F"/>
        </w:rPr>
        <w:t xml:space="preserve">Within this ideal model, a quiet week does not mathematically exhaust the reservoir, while 30 zero-inflow days leave only about 1.24% of the starting balance. The mechanism is a damping reservoir, not a perpetual source of value.</w:t>
      </w:r>
    </w:p>
    <w:p>
      <w:pPr>
        <w:pStyle w:val="Subtitle"/>
      </w:pPr>
      <w:r>
        <w:t>2.3 Dynamic Time-Proration and Windowed Outflow Rate-Limiting</w:t>
      </w:r>
    </w:p>
    <w:p>
      <w:r>
        <w:rPr>
          <w:sz w:val="22"/>
          <w:color w:val="1F1F1F"/>
        </w:rPr>
        <w:t xml:space="preserve">In production, block timestamps fluctuate, and external keepers may experience temporary downtime. The clock controller compensates for elapsed duration via linear proration, bound by two physical circuit breakers:</w:t>
      </w:r>
    </w:p>
    <w:p>
      <w:pPr>
        <w:pStyle w:val="ListBullet"/>
      </w:pPr>
      <w:r>
        <w:rPr>
          <w:b/>
          <w:color w:val="0F5C46"/>
        </w:rPr>
        <w:t xml:space="preserve">1.  </w:t>
      </w:r>
      <w:r>
        <w:rPr>
          <w:b/>
          <w:sz w:val="21"/>
          <w:szCs w:val="21"/>
          <w:color w:val="1F1F1F"/>
        </w:rPr>
        <w:t xml:space="preserve">Maximum Allocation Span Cap (`CAP_SPAN`)</w:t>
      </w:r>
      <w:r>
        <w:rPr>
          <w:sz w:val="21"/>
          <w:color w:val="1F1F1F"/>
        </w:rPr>
        <w:t xml:space="preserve">:</w:t>
      </w:r>
    </w:p>
    <w:p>
      <w:r>
        <w:rPr>
          <w:sz w:val="22"/>
          <w:color w:val="1F1F1F"/>
        </w:rPr>
        <w:t xml:space="preserve">In </w:t>
      </w:r>
      <w:r>
        <w:rPr>
          <w:sz w:val="22"/>
          <w:color w:val="0F5C46"/>
          <w:u w:val="single"/>
        </w:rPr>
        <w:t xml:space="preserve">`IntervalController.sol`</w:t>
      </w:r>
      <w:r>
        <w:rPr>
          <w:sz w:val="22"/>
          <w:color w:val="1F1F1F"/>
        </w:rPr>
        <w:t xml:space="preserve">, the maximum time span credited in a single transaction is bounded by </w:t>
      </w:r>
      <w:r>
        <w:rPr>
          <w:i/>
          <w:sz w:val="22"/>
          <w:color w:val="1C2422"/>
        </w:rPr>
        <w:t xml:space="preserve">\text{CAP\_SPAN} = 2 \times \text{MIN\_INTERVAL} = 16\text{ hours}</w:t>
      </w:r>
      <w:r>
        <w:rPr>
          <w:sz w:val="22"/>
          <w:color w:val="1F1F1F"/>
        </w:rPr>
        <w:t xml:space="preserve">. The allocatable amount is given by:</w:t>
      </w:r>
    </w:p>
    <w:p>
      <w:pPr>
        <w:pStyle w:val="Equation"/>
      </w:pPr>
      <w:r>
        <w:rPr>
          <w:i/>
          <w:sz w:val="22"/>
          <w:color w:val="1C2422"/>
        </w:rPr>
        <w:t xml:space="preserve">\text{Allocation} = \left\lfloor(\text{accounted} - \text{outstandingClaims}) \cdot \frac{\min(\Delta t, \text{CAP\_SPAN})}{T_{\text{week}}}\right\rfloor</w:t>
      </w:r>
    </w:p>
    <w:p>
      <w:pPr>
        <w:pStyle w:val="ListBullet"/>
      </w:pPr>
      <w:r>
        <w:rPr>
          <w:b/>
          <w:color w:val="0F5C46"/>
        </w:rPr>
        <w:t xml:space="preserve">2.  </w:t>
      </w:r>
      <w:r>
        <w:rPr>
          <w:b/>
          <w:sz w:val="21"/>
          <w:szCs w:val="21"/>
          <w:color w:val="1F1F1F"/>
        </w:rPr>
        <w:t xml:space="preserve">Immutable Vault Outflow Velocity Limit (`windowAllowance`)</w:t>
      </w:r>
      <w:r>
        <w:rPr>
          <w:sz w:val="21"/>
          <w:color w:val="1F1F1F"/>
        </w:rPr>
        <w:t xml:space="preserve">:</w:t>
      </w:r>
    </w:p>
    <w:p>
      <w:r>
        <w:rPr>
          <w:sz w:val="22"/>
          <w:color w:val="1F1F1F"/>
        </w:rPr>
        <w:t xml:space="preserve">In </w:t>
      </w:r>
      <w:r>
        <w:rPr>
          <w:sz w:val="22"/>
          <w:color w:val="0F5C46"/>
          <w:u w:val="single"/>
        </w:rPr>
        <w:t xml:space="preserve">`Belly.sol`</w:t>
      </w:r>
      <w:r>
        <w:rPr>
          <w:sz w:val="22"/>
          <w:color w:val="1F1F1F"/>
        </w:rPr>
        <w:t xml:space="preserve">, within each 8-hour rate-limit window (</w:t>
      </w:r>
      <w:r>
        <w:rPr>
          <w:rFonts w:ascii="Menlo" w:hAnsi="Menlo"/>
          <w:sz w:val="20"/>
          <w:color w:val="1C2422"/>
          <w:shd w:val="clear" w:color="auto" w:fill="F3F4F6"/>
        </w:rPr>
        <w:t xml:space="preserve">WINDOW = 8 hours</w:t>
      </w:r>
      <w:r>
        <w:rPr>
          <w:sz w:val="22"/>
          <w:color w:val="1F1F1F"/>
        </w:rPr>
        <w:t xml:space="preserve">), immutable constructor parameters pin the maximum allowable pull:</w:t>
      </w:r>
    </w:p>
    <w:p>
      <w:pPr>
        <w:pStyle w:val="Equation"/>
      </w:pPr>
      <w:r>
        <w:rPr>
          <w:i/>
          <w:sz w:val="22"/>
          <w:color w:val="1C2422"/>
        </w:rPr>
        <w:t xml:space="preserve">\text{MaxOutflow} = \left\lfloor\text{Balance} \cdot \frac{\text{rateNumerator}}{\text{rateDenominator}}\right\rfloor = \left\lfloor\text{Balance} \cdot \frac{16}{168}\right\rfloor \approx 9.5238\%\text{ of Balance}</w:t>
      </w:r>
    </w:p>
    <w:p>
      <w:r>
        <w:rPr>
          <w:sz w:val="22"/>
          <w:color w:val="1F1F1F"/>
        </w:rPr>
        <w:t xml:space="preserve">Even under total compromise of the authorized spender, an attacker can extract at most </w:t>
      </w:r>
      <w:r>
        <w:rPr>
          <w:i/>
          <w:sz w:val="22"/>
          <w:color w:val="1C2422"/>
        </w:rPr>
        <w:t xml:space="preserve">\frac{16}{168}</w:t>
      </w:r>
      <w:r>
        <w:rPr>
          <w:sz w:val="22"/>
          <w:color w:val="1F1F1F"/>
        </w:rPr>
        <w:t xml:space="preserve"> of the balance measured when each window opens. The continuous-equivalent crossing point is:</w:t>
      </w:r>
    </w:p>
    <w:p>
      <w:pPr>
        <w:pStyle w:val="Equation"/>
      </w:pPr>
      <w:r>
        <w:rPr>
          <w:i/>
          <w:sz w:val="22"/>
          <w:color w:val="1C2422"/>
        </w:rPr>
        <w:t xml:space="preserve">n_{1/2}^{\text{eq}} = \frac{\ln(0.5)}{\ln(152/168)} \approx 6.92569 \text{ windows} \approx 55.4055 \text{ hours}</w:t>
      </w:r>
    </w:p>
    <w:p>
      <w:r>
        <w:rPr>
          <w:sz w:val="22"/>
          <w:color w:val="1F1F1F"/>
        </w:rPr>
        <w:t xml:space="preserve">Contract execution is discrete: six full draws leave 54.8537%, while the seventh leaves 49.6295%. Seven full window allowances are therefore required. If an allowance is immediately available at compromise, the seventh draw can occur 48 hours after the first; if the attacker must first wait for a fresh window, it can occur around 56 hours after compromise. Partially spent allowances can extend that time. The defensible statement is therefore </w:t>
      </w:r>
      <w:r>
        <w:rPr>
          <w:b/>
          <w:sz w:val="22"/>
          <w:szCs w:val="22"/>
          <w:color w:val="1F1F1F"/>
        </w:rPr>
        <w:t xml:space="preserve">seven full allowances, with phase-dependent elapsed time—not an unconditional 55-hour minimum</w:t>
      </w:r>
      <w:r>
        <w:rPr>
          <w:sz w:val="22"/>
          <w:color w:val="1F1F1F"/>
        </w:rPr>
        <w:t xml:space="preserve">.</w:t>
      </w:r>
    </w:p>
    <w:p>
      <w:pPr>
        <w:jc w:val="center"/>
        <w:spacing w:before="160" w:after="160"/>
      </w:pPr>
      <w:r>
        <w:rPr>
          <w:b/>
          <w:sz w:val="20"/>
          <w:color w:val="0F5C46"/>
        </w:rPr>
        <w:t>[ Figure 2: The Belly Hydrodynamics &amp; Outflow Rate Limiting ]</w:t>
      </w:r>
    </w:p>
    <w:p>
      <w:pPr>
        <w:pBdr>
          <w:bottom w:val="single" w:sz="6" w:space="8" w:color="E5E7EB"/>
        </w:pBdr>
        <w:spacing w:before="200" w:after="200"/>
      </w:pPr>
    </w:p>
    <w:p>
      <w:pPr>
        <w:pStyle w:val="Heading1"/>
      </w:pPr>
      <w:r>
        <w:t>3. Seniority Ledger &amp; Scalable Topology</w:t>
      </w:r>
    </w:p>
    <w:p>
      <w:pPr>
        <w:pStyle w:val="Subtitle"/>
      </w:pPr>
      <w:r>
        <w:t>3.1 Isolated Positions and State Segregation</w:t>
      </w:r>
    </w:p>
    <w:p>
      <w:r>
        <w:rPr>
          <w:sz w:val="22"/>
          <w:color w:val="1F1F1F"/>
        </w:rPr>
        <w:t xml:space="preserve">Every stake of FATCAT is represented by an isolated logical position. Its state is split across two contracts rather than stored in one Solidity struct:</w:t>
      </w:r>
    </w:p>
    <w:p>
      <w:pPr>
        <w:pStyle w:val="Equation"/>
      </w:pPr>
      <w:r>
        <w:rPr>
          <w:i/>
          <w:sz w:val="22"/>
          <w:color w:val="1C2422"/>
        </w:rPr>
        <w:t xml:space="preserve">\text{Position}_i = \{ \text{owner}, \text{principal}, \text{diet}, \text{activeFrom}, \text{effectiveFrom}, \text{endInterval} \}</w:t>
      </w:r>
    </w:p>
    <w:p>
      <w:r>
        <w:rPr>
          <w:rFonts w:ascii="Menlo" w:hAnsi="Menlo"/>
          <w:sz w:val="20"/>
          <w:color w:val="1C2422"/>
          <w:shd w:val="clear" w:color="auto" w:fill="F3F4F6"/>
        </w:rPr>
        <w:t xml:space="preserve">StakingVault</w:t>
      </w:r>
      <w:r>
        <w:rPr>
          <w:sz w:val="22"/>
          <w:color w:val="1F1F1F"/>
        </w:rPr>
        <w:t xml:space="preserve"> stores owner, principal, diet and optional Seniority Certificate association (</w:t>
      </w:r>
      <w:r>
        <w:rPr>
          <w:rFonts w:ascii="Menlo" w:hAnsi="Menlo"/>
          <w:sz w:val="20"/>
          <w:color w:val="1C2422"/>
          <w:shd w:val="clear" w:color="auto" w:fill="F3F4F6"/>
        </w:rPr>
        <w:t xml:space="preserve">certificatePlusOne</w:t>
      </w:r>
      <w:r>
        <w:rPr>
          <w:sz w:val="22"/>
          <w:color w:val="1F1F1F"/>
        </w:rPr>
        <w:t xml:space="preserve">); </w:t>
      </w:r>
      <w:r>
        <w:rPr>
          <w:rFonts w:ascii="Menlo" w:hAnsi="Menlo"/>
          <w:sz w:val="20"/>
          <w:color w:val="1C2422"/>
          <w:shd w:val="clear" w:color="auto" w:fill="F3F4F6"/>
        </w:rPr>
        <w:t xml:space="preserve">SeniorityLedger</w:t>
      </w:r>
      <w:r>
        <w:rPr>
          <w:sz w:val="22"/>
          <w:color w:val="1F1F1F"/>
        </w:rPr>
        <w:t xml:space="preserve"> stores principal, </w:t>
      </w:r>
      <w:r>
        <w:rPr>
          <w:rFonts w:ascii="Menlo" w:hAnsi="Menlo"/>
          <w:sz w:val="20"/>
          <w:color w:val="1C2422"/>
          <w:shd w:val="clear" w:color="auto" w:fill="F3F4F6"/>
        </w:rPr>
        <w:t xml:space="preserve">activeFrom</w:t>
      </w:r>
      <w:r>
        <w:rPr>
          <w:sz w:val="22"/>
          <w:color w:val="1F1F1F"/>
        </w:rPr>
        <w:t xml:space="preserve">, </w:t>
      </w:r>
      <w:r>
        <w:rPr>
          <w:rFonts w:ascii="Menlo" w:hAnsi="Menlo"/>
          <w:sz w:val="20"/>
          <w:color w:val="1C2422"/>
          <w:shd w:val="clear" w:color="auto" w:fill="F3F4F6"/>
        </w:rPr>
        <w:t xml:space="preserve">effectiveFrom</w:t>
      </w:r>
      <w:r>
        <w:rPr>
          <w:sz w:val="22"/>
          <w:color w:val="1F1F1F"/>
        </w:rPr>
        <w:t xml:space="preserve"> and </w:t>
      </w:r>
      <w:r>
        <w:rPr>
          <w:rFonts w:ascii="Menlo" w:hAnsi="Menlo"/>
          <w:sz w:val="20"/>
          <w:color w:val="1C2422"/>
          <w:shd w:val="clear" w:color="auto" w:fill="F3F4F6"/>
        </w:rPr>
        <w:t xml:space="preserve">endInterval</w:t>
      </w:r>
      <w:r>
        <w:rPr>
          <w:sz w:val="22"/>
          <w:color w:val="1F1F1F"/>
        </w:rPr>
        <w:t xml:space="preserve"> for weight accounting.</w:t>
      </w:r>
    </w:p>
    <w:p>
      <w:pPr>
        <w:pStyle w:val="ListBullet"/>
      </w:pPr>
      <w:r>
        <w:rPr>
          <w:color w:val="0F5C46"/>
        </w:rPr>
        <w:t xml:space="preserve">•  </w:t>
      </w:r>
      <w:r>
        <w:rPr>
          <w:b/>
          <w:sz w:val="21"/>
          <w:szCs w:val="21"/>
          <w:color w:val="1F1F1F"/>
        </w:rPr>
        <w:t xml:space="preserve">Anti-Merging Guarantee</w:t>
      </w:r>
      <w:r>
        <w:rPr>
          <w:sz w:val="21"/>
          <w:color w:val="1F1F1F"/>
        </w:rPr>
        <w:t xml:space="preserve">: Positions are strictly distinct and non-fungible. Stakers cannot merge new funds into existing mature positions to artificially wash or bypass seniority ramp-up;</w:t>
      </w:r>
    </w:p>
    <w:p>
      <w:pPr>
        <w:pStyle w:val="ListBullet"/>
      </w:pPr>
      <w:r>
        <w:rPr>
          <w:color w:val="0F5C46"/>
        </w:rPr>
        <w:t xml:space="preserve">•  </w:t>
      </w:r>
      <w:r>
        <w:rPr>
          <w:b/>
          <w:sz w:val="21"/>
          <w:szCs w:val="21"/>
          <w:color w:val="1F1F1F"/>
        </w:rPr>
        <w:t xml:space="preserve">Next-Interval Activation</w:t>
      </w:r>
      <w:r>
        <w:rPr>
          <w:sz w:val="21"/>
          <w:color w:val="1F1F1F"/>
        </w:rPr>
        <w:t xml:space="preserve">: Positions staked during interval </w:t>
      </w:r>
      <w:r>
        <w:rPr>
          <w:i/>
          <w:sz w:val="21"/>
          <w:color w:val="1C2422"/>
        </w:rPr>
        <w:t xml:space="preserve">m</w:t>
      </w:r>
      <w:r>
        <w:rPr>
          <w:sz w:val="21"/>
          <w:color w:val="1F1F1F"/>
        </w:rPr>
        <w:t xml:space="preserve"> are assigned </w:t>
      </w:r>
      <w:r>
        <w:rPr>
          <w:i/>
          <w:sz w:val="21"/>
          <w:color w:val="1C2422"/>
        </w:rPr>
        <w:t xml:space="preserve">\text{activeFrom} = m + 1</w:t>
      </w:r>
      <w:r>
        <w:rPr>
          <w:sz w:val="21"/>
          <w:color w:val="1F1F1F"/>
        </w:rPr>
        <w:t xml:space="preserve">, neutralizing flash-loan attacks seeking same-block staking and dividend extraction;</w:t>
      </w:r>
    </w:p>
    <w:p>
      <w:pPr>
        <w:pStyle w:val="ListBullet"/>
      </w:pPr>
      <w:r>
        <w:rPr>
          <w:color w:val="0F5C46"/>
        </w:rPr>
        <w:t xml:space="preserve">•  </w:t>
      </w:r>
      <w:r>
        <w:rPr>
          <w:b/>
          <w:sz w:val="21"/>
          <w:szCs w:val="21"/>
          <w:color w:val="1F1F1F"/>
        </w:rPr>
        <w:t xml:space="preserve">Effective Activation Mapping</w:t>
      </w:r>
      <w:r>
        <w:rPr>
          <w:sz w:val="21"/>
          <w:color w:val="1F1F1F"/>
        </w:rPr>
        <w:t xml:space="preserve">: For standard positions, </w:t>
      </w:r>
      <w:r>
        <w:rPr>
          <w:i/>
          <w:sz w:val="21"/>
          <w:color w:val="1C2422"/>
        </w:rPr>
        <w:t xml:space="preserve">\text{effectiveFrom} = \text{activeFrom}</w:t>
      </w:r>
      <w:r>
        <w:rPr>
          <w:sz w:val="21"/>
          <w:color w:val="1F1F1F"/>
        </w:rPr>
        <w:t xml:space="preserve">; for positions opened with a Seniority Certificate (via </w:t>
      </w:r>
      <w:r>
        <w:rPr>
          <w:rFonts w:ascii="Menlo" w:hAnsi="Menlo"/>
          <w:sz w:val="19"/>
          <w:color w:val="1C2422"/>
          <w:shd w:val="clear" w:color="auto" w:fill="F3F4F6"/>
        </w:rPr>
        <w:t xml:space="preserve">stakeWithCertificate</w:t>
      </w:r>
      <w:r>
        <w:rPr>
          <w:sz w:val="21"/>
          <w:color w:val="1F1F1F"/>
        </w:rPr>
        <w:t xml:space="preserve">), let the certificate multiplier be </w:t>
      </w:r>
      <w:r>
        <w:rPr>
          <w:i/>
          <w:sz w:val="21"/>
          <w:color w:val="1C2422"/>
        </w:rPr>
        <w:t xml:space="preserve">\text{multiplier} \in [1, 22]</w:t>
      </w:r>
      <w:r>
        <w:rPr>
          <w:sz w:val="21"/>
          <w:color w:val="1F1F1F"/>
        </w:rPr>
        <w:t xml:space="preserve">, yielding head-start </w:t>
      </w:r>
      <w:r>
        <w:rPr>
          <w:i/>
          <w:sz w:val="21"/>
          <w:color w:val="1C2422"/>
        </w:rPr>
        <w:t xml:space="preserve">\text{head} = \text{multiplier} - 1 \in [0, 21]</w:t>
      </w:r>
      <w:r>
        <w:rPr>
          <w:sz w:val="21"/>
          <w:color w:val="1F1F1F"/>
        </w:rPr>
        <w:t xml:space="preserve">, and the contract records </w:t>
      </w:r>
      <w:r>
        <w:rPr>
          <w:i/>
          <w:sz w:val="21"/>
          <w:color w:val="1C2422"/>
        </w:rPr>
        <w:t xml:space="preserve">\text{effectiveFrom} = \text{activeFrom} - \text{head}</w:t>
      </w:r>
      <w:r>
        <w:rPr>
          <w:sz w:val="21"/>
          <w:color w:val="1F1F1F"/>
        </w:rPr>
        <w:t xml:space="preserve">.</w:t>
      </w:r>
    </w:p>
    <w:p>
      <w:pPr>
        <w:pStyle w:val="Subtitle"/>
      </w:pPr>
      <w:r>
        <w:t>3.2 $O(1)$ Closed-Form Seniority Weight Aggregation</w:t>
      </w:r>
    </w:p>
    <w:p>
      <w:pPr>
        <w:pStyle w:val="Heading3"/>
      </w:pPr>
      <w:r>
        <w:t>Problem Formulation</w:t>
      </w:r>
    </w:p>
    <w:p>
      <w:r>
        <w:rPr>
          <w:sz w:val="22"/>
          <w:color w:val="1F1F1F"/>
        </w:rPr>
        <w:t xml:space="preserve">Let </w:t>
      </w:r>
      <w:r>
        <w:rPr>
          <w:i/>
          <w:sz w:val="22"/>
          <w:color w:val="1C2422"/>
        </w:rPr>
        <w:t xml:space="preserve">p_i</w:t>
      </w:r>
      <w:r>
        <w:rPr>
          <w:sz w:val="22"/>
          <w:color w:val="1F1F1F"/>
        </w:rPr>
        <w:t xml:space="preserve"> be the staked principal of position </w:t>
      </w:r>
      <w:r>
        <w:rPr>
          <w:i/>
          <w:sz w:val="22"/>
          <w:color w:val="1C2422"/>
        </w:rPr>
        <w:t xml:space="preserve">i</w:t>
      </w:r>
      <w:r>
        <w:rPr>
          <w:sz w:val="22"/>
          <w:color w:val="1F1F1F"/>
        </w:rPr>
        <w:t xml:space="preserve">. Prior to reaching the active interval (</w:t>
      </w:r>
      <w:r>
        <w:rPr>
          <w:i/>
          <w:sz w:val="22"/>
          <w:color w:val="1C2422"/>
        </w:rPr>
        <w:t xml:space="preserve">m &lt; \text{activeFrom}_i</w:t>
      </w:r>
      <w:r>
        <w:rPr>
          <w:sz w:val="22"/>
          <w:color w:val="1F1F1F"/>
        </w:rPr>
        <w:t xml:space="preserve">), the seniority coefficient is strictly 0. Once active (</w:t>
      </w:r>
      <w:r>
        <w:rPr>
          <w:i/>
          <w:sz w:val="22"/>
          <w:color w:val="1C2422"/>
        </w:rPr>
        <w:t xml:space="preserve">m \ge \text{activeFrom}_i</w:t>
      </w:r>
      <w:r>
        <w:rPr>
          <w:sz w:val="22"/>
          <w:color w:val="1F1F1F"/>
        </w:rPr>
        <w:t xml:space="preserve"> and </w:t>
      </w:r>
      <w:r>
        <w:rPr>
          <w:i/>
          <w:sz w:val="22"/>
          <w:color w:val="1C2422"/>
        </w:rPr>
        <w:t xml:space="preserve">m &lt; \text{endInterval}_i</w:t>
      </w:r>
      <w:r>
        <w:rPr>
          <w:sz w:val="22"/>
          <w:color w:val="1F1F1F"/>
        </w:rPr>
        <w:t xml:space="preserve">), the coefficient is determined by the interval distance elapsed from its virtual activation interval </w:t>
      </w:r>
      <w:r>
        <w:rPr>
          <w:i/>
          <w:sz w:val="22"/>
          <w:color w:val="1C2422"/>
        </w:rPr>
        <w:t xml:space="preserve">\text{effectiveFrom}_i</w:t>
      </w:r>
      <w:r>
        <w:rPr>
          <w:sz w:val="22"/>
          <w:color w:val="1F1F1F"/>
        </w:rPr>
        <w:t xml:space="preserve">, capping at 22:</w:t>
      </w:r>
    </w:p>
    <w:p>
      <w:pPr>
        <w:pStyle w:val="Equation"/>
      </w:pPr>
      <w:r>
        <w:rPr>
          <w:i/>
          <w:sz w:val="22"/>
          <w:color w:val="1C2422"/>
        </w:rPr>
        <w:t xml:space="preserve">c_i(m) = \begin{cases} 0, &amp; m &lt; \text{activeFrom}_i \\ 1 + \min(m - \text{effectiveFrom}_i, 21), &amp; m \ge \text{activeFrom}_i \text{ and } m &lt; \text{endInterval}_i \end{cases}</w:t>
      </w:r>
    </w:p>
    <w:p>
      <w:r>
        <w:rPr>
          <w:sz w:val="22"/>
          <w:color w:val="1F1F1F"/>
        </w:rPr>
        <w:t xml:space="preserve">For standard positions (</w:t>
      </w:r>
      <w:r>
        <w:rPr>
          <w:i/>
          <w:sz w:val="22"/>
          <w:color w:val="1C2422"/>
        </w:rPr>
        <w:t xml:space="preserve">\text{effectiveFrom}_i = \text{activeFrom}_i</w:t>
      </w:r>
      <w:r>
        <w:rPr>
          <w:sz w:val="22"/>
          <w:color w:val="1F1F1F"/>
        </w:rPr>
        <w:t xml:space="preserve">), the coefficient in the first active interval </w:t>
      </w:r>
      <w:r>
        <w:rPr>
          <w:i/>
          <w:sz w:val="22"/>
          <w:color w:val="1C2422"/>
        </w:rPr>
        <w:t xml:space="preserve">m = \text{activeFrom}_i</w:t>
      </w:r>
      <w:r>
        <w:rPr>
          <w:sz w:val="22"/>
          <w:color w:val="1F1F1F"/>
        </w:rPr>
        <w:t xml:space="preserve"> is </w:t>
      </w:r>
      <w:r>
        <w:rPr>
          <w:i/>
          <w:sz w:val="22"/>
          <w:color w:val="1C2422"/>
        </w:rPr>
        <w:t xml:space="preserve">1 + 0 = 1</w:t>
      </w:r>
      <w:r>
        <w:rPr>
          <w:sz w:val="22"/>
          <w:color w:val="1F1F1F"/>
        </w:rPr>
        <w:t xml:space="preserve">. For positions staked with a maximum certificate (</w:t>
      </w:r>
      <w:r>
        <w:rPr>
          <w:i/>
          <w:sz w:val="22"/>
          <w:color w:val="1C2422"/>
        </w:rPr>
        <w:t xml:space="preserve">\text{head}_i = 21</w:t>
      </w:r>
      <w:r>
        <w:rPr>
          <w:sz w:val="22"/>
          <w:color w:val="1F1F1F"/>
        </w:rPr>
        <w:t xml:space="preserve">), the coefficient in the first active interval immediately achieves </w:t>
      </w:r>
      <w:r>
        <w:rPr>
          <w:i/>
          <w:sz w:val="22"/>
          <w:color w:val="1C2422"/>
        </w:rPr>
        <w:t xml:space="preserve">1 + 21 = 22</w:t>
      </w:r>
      <w:r>
        <w:rPr>
          <w:sz w:val="22"/>
          <w:color w:val="1F1F1F"/>
        </w:rPr>
        <w:t xml:space="preserve">.</w:t>
      </w:r>
    </w:p>
    <w:p>
      <w:r>
        <w:rPr>
          <w:sz w:val="22"/>
          <w:color w:val="1F1F1F"/>
        </w:rPr>
        <w:t xml:space="preserve">Aggregate protocol weight is defined as </w:t>
      </w:r>
      <w:r>
        <w:rPr>
          <w:i/>
          <w:sz w:val="22"/>
          <w:color w:val="1C2422"/>
        </w:rPr>
        <w:t xml:space="preserve">W(m) = \sum_i p_i \cdot c_i(m)</w:t>
      </w:r>
      <w:r>
        <w:rPr>
          <w:sz w:val="22"/>
          <w:color w:val="1F1F1F"/>
        </w:rPr>
        <w:t xml:space="preserve">. As the participant count </w:t>
      </w:r>
      <w:r>
        <w:rPr>
          <w:i/>
          <w:sz w:val="22"/>
          <w:color w:val="1C2422"/>
        </w:rPr>
        <w:t xml:space="preserve">N \to \infty</w:t>
      </w:r>
      <w:r>
        <w:rPr>
          <w:sz w:val="22"/>
          <w:color w:val="1F1F1F"/>
        </w:rPr>
        <w:t xml:space="preserve">, iterative loops across individual positions become computationally infeasible and breach EVM block gas limits.</w:t>
      </w:r>
    </w:p>
    <w:p>
      <w:pPr>
        <w:pStyle w:val="Heading3"/>
      </w:pPr>
      <w:r>
        <w:t>Algebraic Closed-Form Decomposition &amp; Opening Correction</w:t>
      </w:r>
    </w:p>
    <w:p>
      <w:r>
        <w:rPr>
          <w:sz w:val="22"/>
          <w:color w:val="1F1F1F"/>
        </w:rPr>
        <w:t xml:space="preserve">TheFatCat eliminates loops in </w:t>
      </w:r>
      <w:r>
        <w:rPr>
          <w:sz w:val="22"/>
          <w:color w:val="0F5C46"/>
          <w:u w:val="single"/>
        </w:rPr>
        <w:t xml:space="preserve">`SeniorityLedger.sol`</w:t>
      </w:r>
      <w:r>
        <w:rPr>
          <w:sz w:val="22"/>
          <w:color w:val="1F1F1F"/>
        </w:rPr>
        <w:t xml:space="preserve"> by decomposing active positions into two mutually exclusive sets based on their distance from </w:t>
      </w:r>
      <w:r>
        <w:rPr>
          <w:i/>
          <w:sz w:val="22"/>
          <w:color w:val="1C2422"/>
        </w:rPr>
        <w:t xml:space="preserve">\text{effectiveFrom}</w:t>
      </w:r>
      <w:r>
        <w:rPr>
          <w:sz w:val="22"/>
          <w:color w:val="1F1F1F"/>
        </w:rPr>
        <w:t xml:space="preserve">:</w:t>
      </w:r>
    </w:p>
    <w:p>
      <w:pPr>
        <w:pStyle w:val="ListBullet"/>
      </w:pPr>
      <w:r>
        <w:rPr>
          <w:b/>
          <w:color w:val="0F5C46"/>
        </w:rPr>
        <w:t xml:space="preserve">1.  </w:t>
      </w:r>
      <w:r>
        <w:rPr>
          <w:b/>
          <w:sz w:val="21"/>
          <w:szCs w:val="21"/>
          <w:color w:val="1F1F1F"/>
        </w:rPr>
        <w:t xml:space="preserve">Climbing Cohorts</w:t>
      </w:r>
      <w:r>
        <w:rPr>
          <w:sz w:val="21"/>
          <w:color w:val="1F1F1F"/>
        </w:rPr>
        <w:t xml:space="preserve">: Positions where </w:t>
      </w:r>
      <w:r>
        <w:rPr>
          <w:i/>
          <w:sz w:val="21"/>
          <w:color w:val="1C2422"/>
        </w:rPr>
        <w:t xml:space="preserve">m - \text{effectiveFrom}_i &lt; 21</w:t>
      </w:r>
      <w:r>
        <w:rPr>
          <w:sz w:val="21"/>
          <w:color w:val="1F1F1F"/>
        </w:rPr>
        <w:t xml:space="preserve">;</w:t>
      </w:r>
    </w:p>
    <w:p>
      <w:pPr>
        <w:pStyle w:val="ListBullet"/>
      </w:pPr>
      <w:r>
        <w:rPr>
          <w:b/>
          <w:color w:val="0F5C46"/>
        </w:rPr>
        <w:t xml:space="preserve">2.  </w:t>
      </w:r>
      <w:r>
        <w:rPr>
          <w:b/>
          <w:sz w:val="21"/>
          <w:szCs w:val="21"/>
          <w:color w:val="1F1F1F"/>
        </w:rPr>
        <w:t xml:space="preserve">Settled Cohorts</w:t>
      </w:r>
      <w:r>
        <w:rPr>
          <w:sz w:val="21"/>
          <w:color w:val="1F1F1F"/>
        </w:rPr>
        <w:t xml:space="preserve">: Positions where </w:t>
      </w:r>
      <w:r>
        <w:rPr>
          <w:i/>
          <w:sz w:val="21"/>
          <w:color w:val="1C2422"/>
        </w:rPr>
        <w:t xml:space="preserve">m - \text{effectiveFrom}_i \ge 21</w:t>
      </w:r>
      <w:r>
        <w:rPr>
          <w:sz w:val="21"/>
          <w:color w:val="1F1F1F"/>
        </w:rPr>
        <w:t xml:space="preserve">, yielding capped coefficient 22.</w:t>
      </w:r>
    </w:p>
    <w:p>
      <w:r>
        <w:rPr>
          <w:sz w:val="22"/>
          <w:color w:val="1F1F1F"/>
        </w:rPr>
        <w:t xml:space="preserve">Summing over the climbing set:</w:t>
      </w:r>
    </w:p>
    <w:p>
      <w:pPr>
        <w:pStyle w:val="Equation"/>
      </w:pPr>
      <w:r>
        <w:rPr>
          <w:i/>
          <w:sz w:val="22"/>
          <w:color w:val="1C2422"/>
        </w:rPr>
        <w:t xml:space="preserve">\sum_{i \in \text{Climb}} p_i \cdot (1 + m - \text{effectiveFrom}_i) = (1 + m) \sum_{i \in \text{Climb}} p_i - \sum_{i \in \text{Climb}} (p_i \cdot \text{effectiveFrom}_i)</w:t>
      </w:r>
    </w:p>
    <w:p>
      <w:r>
        <w:rPr>
          <w:sz w:val="22"/>
          <w:color w:val="1F1F1F"/>
        </w:rPr>
        <w:t xml:space="preserve">The smart contract maintains four global scalar storage accumulators:</w:t>
      </w:r>
    </w:p>
    <w:p>
      <w:pPr>
        <w:pStyle w:val="ListBullet"/>
      </w:pPr>
      <w:r>
        <w:rPr>
          <w:color w:val="0F5C46"/>
        </w:rPr>
        <w:t xml:space="preserve">•  </w:t>
      </w:r>
      <w:r>
        <w:rPr>
          <w:sz w:val="21"/>
          <w:color w:val="1F1F1F"/>
        </w:rPr>
        <w:t xml:space="preserve"/>
      </w:r>
      <w:r>
        <w:rPr>
          <w:i/>
          <w:sz w:val="21"/>
          <w:color w:val="1C2422"/>
        </w:rPr>
        <w:t xml:space="preserve">P_{\text{climb}} = \sum_{i \in \text{Climb}} p_i</w:t>
      </w:r>
      <w:r>
        <w:rPr>
          <w:sz w:val="21"/>
          <w:color w:val="1F1F1F"/>
        </w:rPr>
        <w:t xml:space="preserve"> (Aggregate principal of climbing cohorts)</w:t>
      </w:r>
    </w:p>
    <w:p>
      <w:pPr>
        <w:pStyle w:val="ListBullet"/>
      </w:pPr>
      <w:r>
        <w:rPr>
          <w:color w:val="0F5C46"/>
        </w:rPr>
        <w:t xml:space="preserve">•  </w:t>
      </w:r>
      <w:r>
        <w:rPr>
          <w:sz w:val="21"/>
          <w:color w:val="1F1F1F"/>
        </w:rPr>
        <w:t xml:space="preserve"/>
      </w:r>
      <w:r>
        <w:rPr>
          <w:i/>
          <w:sz w:val="21"/>
          <w:color w:val="1C2422"/>
        </w:rPr>
        <w:t xml:space="preserve">J_{\text{climb}} = \sum_{i \in \text{Climb}} (p_i \cdot \text{effectiveFrom}_i)</w:t>
      </w:r>
      <w:r>
        <w:rPr>
          <w:sz w:val="21"/>
          <w:color w:val="1F1F1F"/>
        </w:rPr>
        <w:t xml:space="preserve"> (Aggregate weighted virtual activation scalar)</w:t>
      </w:r>
    </w:p>
    <w:p>
      <w:pPr>
        <w:pStyle w:val="ListBullet"/>
      </w:pPr>
      <w:r>
        <w:rPr>
          <w:color w:val="0F5C46"/>
        </w:rPr>
        <w:t xml:space="preserve">•  </w:t>
      </w:r>
      <w:r>
        <w:rPr>
          <w:sz w:val="21"/>
          <w:color w:val="1F1F1F"/>
        </w:rPr>
        <w:t xml:space="preserve"/>
      </w:r>
      <w:r>
        <w:rPr>
          <w:i/>
          <w:sz w:val="21"/>
          <w:color w:val="1C2422"/>
        </w:rPr>
        <w:t xml:space="preserve">P_{\text{settled}} = \sum_{i \in \text{Settled}} p_i</w:t>
      </w:r>
      <w:r>
        <w:rPr>
          <w:sz w:val="21"/>
          <w:color w:val="1F1F1F"/>
        </w:rPr>
        <w:t xml:space="preserve"> (Aggregate principal of settled cohorts)</w:t>
      </w:r>
    </w:p>
    <w:p>
      <w:pPr>
        <w:pStyle w:val="ListBullet"/>
      </w:pPr>
      <w:r>
        <w:rPr>
          <w:color w:val="0F5C46"/>
        </w:rPr>
        <w:t xml:space="preserve">•  </w:t>
      </w:r>
      <w:r>
        <w:rPr>
          <w:sz w:val="21"/>
          <w:color w:val="1F1F1F"/>
        </w:rPr>
        <w:t xml:space="preserve"/>
      </w:r>
      <w:r>
        <w:rPr>
          <w:i/>
          <w:sz w:val="21"/>
          <w:color w:val="1C2422"/>
        </w:rPr>
        <w:t xml:space="preserve">\text{headOpening} = \sum_{i \in \text{Opening}} (\text{head}_i \cdot p_i)</w:t>
      </w:r>
      <w:r>
        <w:rPr>
          <w:sz w:val="21"/>
          <w:color w:val="1F1F1F"/>
        </w:rPr>
        <w:t xml:space="preserve"> (Transient opening-interval certificate head weight)</w:t>
      </w:r>
    </w:p>
    <w:p>
      <w:r>
        <w:rPr>
          <w:b/>
          <w:sz w:val="22"/>
          <w:szCs w:val="22"/>
          <w:color w:val="1F1F1F"/>
        </w:rPr>
        <w:t xml:space="preserve">Opening Interval Correction (`headOpening`)</w:t>
      </w:r>
      <w:r>
        <w:rPr>
          <w:sz w:val="22"/>
          <w:color w:val="1F1F1F"/>
        </w:rPr>
        <w:t xml:space="preserve">:</w:t>
      </w:r>
    </w:p>
    <w:p>
      <w:r>
        <w:rPr>
          <w:sz w:val="22"/>
          <w:color w:val="1F1F1F"/>
        </w:rPr>
        <w:t xml:space="preserve">When a standard position is opened in interval </w:t>
      </w:r>
      <w:r>
        <w:rPr>
          <w:i/>
          <w:sz w:val="22"/>
          <w:color w:val="1C2422"/>
        </w:rPr>
        <w:t xml:space="preserve">m</w:t>
      </w:r>
      <w:r>
        <w:rPr>
          <w:sz w:val="22"/>
          <w:color w:val="1F1F1F"/>
        </w:rPr>
        <w:t xml:space="preserve">, </w:t>
      </w:r>
      <w:r>
        <w:rPr>
          <w:i/>
          <w:sz w:val="22"/>
          <w:color w:val="1C2422"/>
        </w:rPr>
        <w:t xml:space="preserve">\text{activeFrom} = \text{effectiveFrom} = m + 1</w:t>
      </w:r>
      <w:r>
        <w:rPr>
          <w:sz w:val="22"/>
          <w:color w:val="1F1F1F"/>
        </w:rPr>
        <w:t xml:space="preserve">, so its algebraic contribution in </w:t>
      </w:r>
      <w:r>
        <w:rPr>
          <w:i/>
          <w:sz w:val="22"/>
          <w:color w:val="1C2422"/>
        </w:rPr>
        <w:t xml:space="preserve">(1 + m)P_{\text{climb}} - J_{\text{climb}}</w:t>
      </w:r>
      <w:r>
        <w:rPr>
          <w:sz w:val="22"/>
          <w:color w:val="1F1F1F"/>
        </w:rPr>
        <w:t xml:space="preserve"> is </w:t>
      </w:r>
      <w:r>
        <w:rPr>
          <w:i/>
          <w:sz w:val="22"/>
          <w:color w:val="1C2422"/>
        </w:rPr>
        <w:t xml:space="preserve">(1 + m - (m + 1)) \cdot p = 0</w:t>
      </w:r>
      <w:r>
        <w:rPr>
          <w:sz w:val="22"/>
          <w:color w:val="1F1F1F"/>
        </w:rPr>
        <w:t xml:space="preserve">. However, for a certificate position, </w:t>
      </w:r>
      <w:r>
        <w:rPr>
          <w:i/>
          <w:sz w:val="22"/>
          <w:color w:val="1C2422"/>
        </w:rPr>
        <w:t xml:space="preserve">\text{effectiveFrom} = m + 1 - \text{head}</w:t>
      </w:r>
      <w:r>
        <w:rPr>
          <w:sz w:val="22"/>
          <w:color w:val="1F1F1F"/>
        </w:rPr>
        <w:t xml:space="preserve">, expanding to </w:t>
      </w:r>
      <w:r>
        <w:rPr>
          <w:i/>
          <w:sz w:val="22"/>
          <w:color w:val="1C2422"/>
        </w:rPr>
        <w:t xml:space="preserve">(1 + m - (m + 1 - \text{head})) \cdot p = \text{head} \cdot p</w:t>
      </w:r>
      <w:r>
        <w:rPr>
          <w:sz w:val="22"/>
          <w:color w:val="1F1F1F"/>
        </w:rPr>
        <w:t xml:space="preserve">. To prevent positions with head-starts from receiving unearned rewards in their opening interval </w:t>
      </w:r>
      <w:r>
        <w:rPr>
          <w:i/>
          <w:sz w:val="22"/>
          <w:color w:val="1C2422"/>
        </w:rPr>
        <w:t xml:space="preserve">m</w:t>
      </w:r>
      <w:r>
        <w:rPr>
          <w:sz w:val="22"/>
          <w:color w:val="1F1F1F"/>
        </w:rPr>
        <w:t xml:space="preserve"> prior to activation, the ledger records </w:t>
      </w:r>
      <w:r>
        <w:rPr>
          <w:i/>
          <w:sz w:val="22"/>
          <w:color w:val="1C2422"/>
        </w:rPr>
        <w:t xml:space="preserve">\text{head} \cdot p</w:t>
      </w:r>
      <w:r>
        <w:rPr>
          <w:sz w:val="22"/>
          <w:color w:val="1F1F1F"/>
        </w:rPr>
        <w:t xml:space="preserve"> into </w:t>
      </w:r>
      <w:r>
        <w:rPr>
          <w:i/>
          <w:sz w:val="22"/>
          <w:color w:val="1C2422"/>
        </w:rPr>
        <w:t xml:space="preserve">\text{headOpening}</w:t>
      </w:r>
      <w:r>
        <w:rPr>
          <w:sz w:val="22"/>
          <w:color w:val="1F1F1F"/>
        </w:rPr>
        <w:t xml:space="preserve"> upon creation and subtracts it atomically from total weight. When the clock advances to </w:t>
      </w:r>
      <w:r>
        <w:rPr>
          <w:i/>
          <w:sz w:val="22"/>
          <w:color w:val="1C2422"/>
        </w:rPr>
        <w:t xml:space="preserve">m+1</w:t>
      </w:r>
      <w:r>
        <w:rPr>
          <w:sz w:val="22"/>
          <w:color w:val="1F1F1F"/>
        </w:rPr>
        <w:t xml:space="preserve">, </w:t>
      </w:r>
      <w:r>
        <w:rPr>
          <w:i/>
          <w:sz w:val="22"/>
          <w:color w:val="1C2422"/>
        </w:rPr>
        <w:t xml:space="preserve">\text{headOpening}</w:t>
      </w:r>
      <w:r>
        <w:rPr>
          <w:sz w:val="22"/>
          <w:color w:val="1F1F1F"/>
        </w:rPr>
        <w:t xml:space="preserve"> is automatically reset to zero, allowing the position to contribute its full initial weight starting in </w:t>
      </w:r>
      <w:r>
        <w:rPr>
          <w:i/>
          <w:sz w:val="22"/>
          <w:color w:val="1C2422"/>
        </w:rPr>
        <w:t xml:space="preserve">m+1</w:t>
      </w:r>
      <w:r>
        <w:rPr>
          <w:sz w:val="22"/>
          <w:color w:val="1F1F1F"/>
        </w:rPr>
        <w:t xml:space="preserve">.</w:t>
      </w:r>
    </w:p>
    <w:p>
      <w:r>
        <w:rPr>
          <w:sz w:val="22"/>
          <w:color w:val="1F1F1F"/>
        </w:rPr>
        <w:t xml:space="preserve">At any arbitrary interval </w:t>
      </w:r>
      <w:r>
        <w:rPr>
          <w:i/>
          <w:sz w:val="22"/>
          <w:color w:val="1C2422"/>
        </w:rPr>
        <w:t xml:space="preserve">m</w:t>
      </w:r>
      <w:r>
        <w:rPr>
          <w:sz w:val="22"/>
          <w:color w:val="1F1F1F"/>
        </w:rPr>
        <w:t xml:space="preserve">, total protocol weight reduces to an </w:t>
      </w:r>
      <w:r>
        <w:rPr>
          <w:b/>
          <w:sz w:val="22"/>
          <w:szCs w:val="22"/>
          <w:color w:val="1F1F1F"/>
        </w:rPr>
        <w:t xml:space="preserve">$O(1)$ constant-time scalar arithmetic evaluation</w:t>
      </w:r>
      <w:r>
        <w:rPr>
          <w:sz w:val="22"/>
          <w:color w:val="1F1F1F"/>
        </w:rPr>
        <w:t xml:space="preserve">:</w:t>
      </w:r>
    </w:p>
    <w:p>
      <w:pPr>
        <w:pStyle w:val="Equation"/>
      </w:pPr>
      <w:r>
        <w:rPr>
          <w:i/>
          <w:sz w:val="22"/>
          <w:color w:val="1C2422"/>
        </w:rPr>
        <w:t xml:space="preserve">W(m) = (1 + m) \cdot P_{\text{climb}} - J_{\text{climb}} + 22 \cdot P_{\text{settled}} + W_{\text{exiting}} - \text{headOpening}</w:t>
      </w:r>
    </w:p>
    <w:p>
      <w:pPr>
        <w:pStyle w:val="Heading3"/>
      </w:pPr>
      <w:r>
        <w:t>22-Cohort Circular Graduation Buffer (Graduation Ring)</w:t>
      </w:r>
    </w:p>
    <w:p>
      <w:r>
        <w:rPr>
          <w:sz w:val="22"/>
          <w:color w:val="1F1F1F"/>
        </w:rPr>
        <w:t xml:space="preserve">As interval </w:t>
      </w:r>
      <w:r>
        <w:rPr>
          <w:i/>
          <w:sz w:val="22"/>
          <w:color w:val="1C2422"/>
        </w:rPr>
        <w:t xml:space="preserve">m</w:t>
      </w:r>
      <w:r>
        <w:rPr>
          <w:sz w:val="22"/>
          <w:color w:val="1F1F1F"/>
        </w:rPr>
        <w:t xml:space="preserve"> elapses, cohorts completing their 21st interval graduate from </w:t>
      </w:r>
      <w:r>
        <w:rPr>
          <w:i/>
          <w:sz w:val="22"/>
          <w:color w:val="1C2422"/>
        </w:rPr>
        <w:t xml:space="preserve">P_{\text{climb}}</w:t>
      </w:r>
      <w:r>
        <w:rPr>
          <w:sz w:val="22"/>
          <w:color w:val="1F1F1F"/>
        </w:rPr>
        <w:t xml:space="preserve"> into </w:t>
      </w:r>
      <w:r>
        <w:rPr>
          <w:i/>
          <w:sz w:val="22"/>
          <w:color w:val="1C2422"/>
        </w:rPr>
        <w:t xml:space="preserve">P_{\text{settled}}</w:t>
      </w:r>
      <w:r>
        <w:rPr>
          <w:sz w:val="22"/>
          <w:color w:val="1F1F1F"/>
        </w:rPr>
        <w:t xml:space="preserve">. The contract manages this transition via a fixed circular array of size </w:t>
      </w:r>
      <w:r>
        <w:rPr>
          <w:i/>
          <w:sz w:val="22"/>
          <w:color w:val="1C2422"/>
        </w:rPr>
        <w:t xml:space="preserve">\text{COHORT\_SLOTS} = 22</w:t>
      </w:r>
      <w:r>
        <w:rPr>
          <w:sz w:val="22"/>
          <w:color w:val="1F1F1F"/>
        </w:rPr>
        <w:t xml:space="preserve">:</w:t>
      </w:r>
    </w:p>
    <w:p>
      <w:pPr>
        <w:pStyle w:val="Equation"/>
      </w:pPr>
      <w:r>
        <w:rPr>
          <w:i/>
          <w:sz w:val="22"/>
          <w:color w:val="1C2422"/>
        </w:rPr>
        <w:t xml:space="preserve">\text{slot} = \text{effectiveFrom} \pmod{22}</w:t>
      </w:r>
    </w:p>
    <w:p>
      <w:r>
        <w:rPr>
          <w:sz w:val="22"/>
          <w:color w:val="1F1F1F"/>
        </w:rPr>
        <w:t xml:space="preserve">Each interval transition processes one global graduation slot and one slot per registered asset. The cost is independent of total staker count </w:t>
      </w:r>
      <w:r>
        <w:rPr>
          <w:i/>
          <w:sz w:val="22"/>
          <w:color w:val="1C2422"/>
        </w:rPr>
        <w:t xml:space="preserve">N</w:t>
      </w:r>
      <w:r>
        <w:rPr>
          <w:sz w:val="22"/>
          <w:color w:val="1F1F1F"/>
        </w:rPr>
        <w:t xml:space="preserve"> but scales linearly with the append-only asset list.</w:t>
      </w:r>
    </w:p>
    <w:p>
      <w:pPr>
        <w:jc w:val="center"/>
        <w:spacing w:before="160" w:after="160"/>
      </w:pPr>
      <w:r>
        <w:rPr>
          <w:b/>
          <w:sz w:val="20"/>
          <w:color w:val="0F5C46"/>
        </w:rPr>
        <w:t>[ Figure 3: 22-Cohort Graduation Ring Mechanics ]</w:t>
      </w:r>
    </w:p>
    <w:p>
      <w:pPr>
        <w:pStyle w:val="Subtitle"/>
      </w:pPr>
      <w:r>
        <w:t>3.3 Dual-Accumulator Entitlement Arithmetic</w:t>
      </w:r>
    </w:p>
    <w:p>
      <w:r>
        <w:rPr>
          <w:sz w:val="22"/>
          <w:color w:val="1F1F1F"/>
        </w:rPr>
        <w:t xml:space="preserve">To evaluate a clean seniority range without iterating over every interval, </w:t>
      </w:r>
      <w:r>
        <w:rPr>
          <w:sz w:val="22"/>
          <w:color w:val="0F5C46"/>
          <w:u w:val="single"/>
        </w:rPr>
        <w:t xml:space="preserve">`SeniorityLedger.sol`</w:t>
      </w:r>
      <w:r>
        <w:rPr>
          <w:sz w:val="22"/>
          <w:color w:val="1F1F1F"/>
        </w:rPr>
        <w:t xml:space="preserve"> implements dual prefix accumulators scaled by </w:t>
      </w:r>
      <w:r>
        <w:rPr>
          <w:i/>
          <w:sz w:val="22"/>
          <w:color w:val="1C2422"/>
        </w:rPr>
        <w:t xml:space="preserve">\text{RAY} = 10^{27}</w:t>
      </w:r>
      <w:r>
        <w:rPr>
          <w:sz w:val="22"/>
          <w:color w:val="1F1F1F"/>
        </w:rPr>
        <w:t xml:space="preserve">.</w:t>
      </w:r>
    </w:p>
    <w:p>
      <w:r>
        <w:rPr>
          <w:sz w:val="22"/>
          <w:color w:val="1F1F1F"/>
        </w:rPr>
        <w:t xml:space="preserve">In interval </w:t>
      </w:r>
      <w:r>
        <w:rPr>
          <w:i/>
          <w:sz w:val="22"/>
          <w:color w:val="1C2422"/>
        </w:rPr>
        <w:t xml:space="preserve">m</w:t>
      </w:r>
      <w:r>
        <w:rPr>
          <w:sz w:val="22"/>
          <w:color w:val="1F1F1F"/>
        </w:rPr>
        <w:t xml:space="preserve">, asset </w:t>
      </w:r>
      <w:r>
        <w:rPr>
          <w:i/>
          <w:sz w:val="22"/>
          <w:color w:val="1C2422"/>
        </w:rPr>
        <w:t xml:space="preserve">a</w:t>
      </w:r>
      <w:r>
        <w:rPr>
          <w:sz w:val="22"/>
          <w:color w:val="1F1F1F"/>
        </w:rPr>
        <w:t xml:space="preserve"> receives quote allocation </w:t>
      </w:r>
      <w:r>
        <w:rPr>
          <w:i/>
          <w:sz w:val="22"/>
          <w:color w:val="1C2422"/>
        </w:rPr>
        <w:t xml:space="preserve">\text{Share}_{a, m}</w:t>
      </w:r>
      <w:r>
        <w:rPr>
          <w:sz w:val="22"/>
          <w:color w:val="1F1F1F"/>
        </w:rPr>
        <w:t xml:space="preserve">, normalized against denominator </w:t>
      </w:r>
      <w:r>
        <w:rPr>
          <w:i/>
          <w:sz w:val="22"/>
          <w:color w:val="1C2422"/>
        </w:rPr>
        <w:t xml:space="preserve">W_{\text{open}}(a, m)</w:t>
      </w:r>
      <w:r>
        <w:rPr>
          <w:sz w:val="22"/>
          <w:color w:val="1F1F1F"/>
        </w:rPr>
        <w:t xml:space="preserve">. The unit weight yield is:</w:t>
      </w:r>
    </w:p>
    <w:p>
      <w:pPr>
        <w:pStyle w:val="Equation"/>
      </w:pPr>
      <w:r>
        <w:rPr>
          <w:i/>
          <w:sz w:val="22"/>
          <w:color w:val="1C2422"/>
        </w:rPr>
        <w:t xml:space="preserve">\omega_{a, m} = \left\lfloor\frac{\text{Share}_{a, m} \cdot \text{RAY}}{W_{\text{open}}(a, m)}\right\rfloor</w:t>
      </w:r>
    </w:p>
    <w:p>
      <w:r>
        <w:rPr>
          <w:sz w:val="22"/>
          <w:color w:val="1F1F1F"/>
        </w:rPr>
        <w:t xml:space="preserve">The ledger updates two running prefix series:</w:t>
      </w:r>
    </w:p>
    <w:p>
      <w:pPr>
        <w:pStyle w:val="Equation"/>
      </w:pPr>
      <w:r>
        <w:rPr>
          <w:i/>
          <w:sz w:val="22"/>
          <w:color w:val="1C2422"/>
        </w:rPr>
        <w:t xml:space="preserve">A_{a, m} = A_{a, m-1} + (1 + m) \cdot \omega_{a, m}</w:t>
      </w:r>
    </w:p>
    <w:p>
      <w:pPr>
        <w:pStyle w:val="Equation"/>
      </w:pPr>
      <w:r>
        <w:rPr>
          <w:i/>
          <w:sz w:val="22"/>
          <w:color w:val="1C2422"/>
        </w:rPr>
        <w:t xml:space="preserve">B_{a, m} = B_{a, m-1} + \omega_{a, m}</w:t>
      </w:r>
    </w:p>
    <w:p>
      <w:r>
        <w:rPr>
          <w:sz w:val="22"/>
          <w:color w:val="1F1F1F"/>
        </w:rPr>
        <w:t xml:space="preserve">For a climbing position activated at interval </w:t>
      </w:r>
      <w:r>
        <w:rPr>
          <w:i/>
          <w:sz w:val="22"/>
          <w:color w:val="1C2422"/>
        </w:rPr>
        <w:t xml:space="preserve">j</w:t>
      </w:r>
      <w:r>
        <w:rPr>
          <w:sz w:val="22"/>
          <w:color w:val="1F1F1F"/>
        </w:rPr>
        <w:t xml:space="preserve"> with principal </w:t>
      </w:r>
      <w:r>
        <w:rPr>
          <w:i/>
          <w:sz w:val="22"/>
          <w:color w:val="1C2422"/>
        </w:rPr>
        <w:t xml:space="preserve">p</w:t>
      </w:r>
      <w:r>
        <w:rPr>
          <w:sz w:val="22"/>
          <w:color w:val="1F1F1F"/>
        </w:rPr>
        <w:t xml:space="preserve">, total entitlement across </w:t>
      </w:r>
      <w:r>
        <w:rPr>
          <w:i/>
          <w:sz w:val="22"/>
          <w:color w:val="1C2422"/>
        </w:rPr>
        <w:t xml:space="preserve">[j, m]</w:t>
      </w:r>
      <w:r>
        <w:rPr>
          <w:sz w:val="22"/>
          <w:color w:val="1F1F1F"/>
        </w:rPr>
        <w:t xml:space="preserve"> is calculated as:</w:t>
      </w:r>
    </w:p>
    <w:p>
      <w:pPr>
        <w:pStyle w:val="Equation"/>
      </w:pPr>
      <w:r>
        <w:rPr>
          <w:i/>
          <w:sz w:val="22"/>
          <w:color w:val="1C2422"/>
        </w:rPr>
        <w:t xml:space="preserve">\text{Entitlement}(j, m) = \left\lfloor\frac{p \cdot (\Delta A_a - j \cdot \Delta B_a)}{\text{RAY}}\right\rfloor</w:t>
      </w:r>
    </w:p>
    <w:p>
      <w:r>
        <w:rPr>
          <w:sz w:val="22"/>
          <w:color w:val="1F1F1F"/>
        </w:rPr>
        <w:t xml:space="preserve">For fully matured positions (multiplier capped at 22):</w:t>
      </w:r>
    </w:p>
    <w:p>
      <w:pPr>
        <w:pStyle w:val="Equation"/>
      </w:pPr>
      <w:r>
        <w:rPr>
          <w:i/>
          <w:sz w:val="22"/>
          <w:color w:val="1C2422"/>
        </w:rPr>
        <w:t xml:space="preserve">\text{Entitlement}_{\text{settled}} = \left\lfloor\frac{22 \cdot p \cdot \Delta B_a}{\text{RAY}}\right\rfloor</w:t>
      </w:r>
    </w:p>
    <w:p>
      <w:r>
        <w:rPr>
          <w:b/>
          <w:sz w:val="22"/>
          <w:szCs w:val="22"/>
          <w:color w:val="1F1F1F"/>
        </w:rPr>
        <w:t xml:space="preserve">Complexity boundary</w:t>
      </w:r>
      <w:r>
        <w:rPr>
          <w:sz w:val="22"/>
          <w:color w:val="1F1F1F"/>
        </w:rPr>
        <w:t xml:space="preserve">: The two prefix subtractions make entitlement arithmetic O(1) inside each clean range. A complete distributor claim must still locate boundaries and walk the execution batches it covers, so end-to-end cost is O(number of traversed batches), with </w:t>
      </w:r>
      <w:r>
        <w:rPr>
          <w:rFonts w:ascii="Menlo" w:hAnsi="Menlo"/>
          <w:sz w:val="20"/>
          <w:color w:val="1C2422"/>
          <w:shd w:val="clear" w:color="auto" w:fill="F3F4F6"/>
        </w:rPr>
        <w:t xml:space="preserve">claimThrough</w:t>
      </w:r>
      <w:r>
        <w:rPr>
          <w:sz w:val="22"/>
          <w:color w:val="1F1F1F"/>
        </w:rPr>
        <w:t xml:space="preserve"> available to process a long backlog safely in chunks.</w:t>
      </w:r>
    </w:p>
    <w:p>
      <w:pPr>
        <w:pStyle w:val="Subtitle"/>
      </w:pPr>
      <w:r>
        <w:t>3.4 Mid-Interval Forfeiture Netting &amp; Loyalist Compensation</w:t>
      </w:r>
    </w:p>
    <w:p>
      <w:r>
        <w:rPr>
          <w:sz w:val="22"/>
          <w:color w:val="1F1F1F"/>
        </w:rPr>
        <w:t xml:space="preserve">The protocol imposes no lock duration or exit fee on staked principal (</w:t>
      </w:r>
      <w:r>
        <w:rPr>
          <w:rFonts w:ascii="Menlo" w:hAnsi="Menlo"/>
          <w:sz w:val="20"/>
          <w:color w:val="1C2422"/>
          <w:shd w:val="clear" w:color="auto" w:fill="F3F4F6"/>
        </w:rPr>
        <w:t xml:space="preserve">StakingVault.redeem()</w:t>
      </w:r>
      <w:r>
        <w:rPr>
          <w:sz w:val="22"/>
          <w:color w:val="1F1F1F"/>
        </w:rPr>
        <w:t xml:space="preserve">). Subject to supported-token transfer behavior and normal call execution, the position may be redeemed at any block. Its protocol-defined economic cost is forfeiture of </w:t>
      </w:r>
      <w:r>
        <w:rPr>
          <w:b/>
          <w:sz w:val="22"/>
          <w:szCs w:val="22"/>
          <w:color w:val="1F1F1F"/>
        </w:rPr>
        <w:t xml:space="preserve">the currently executing meal</w:t>
      </w:r>
      <w:r>
        <w:rPr>
          <w:sz w:val="22"/>
          <w:color w:val="1F1F1F"/>
        </w:rPr>
        <w:t xml:space="preserve">.</w:t>
      </w:r>
    </w:p>
    <w:p>
      <w:r>
        <w:rPr>
          <w:sz w:val="22"/>
          <w:color w:val="1F1F1F"/>
        </w:rPr>
        <w:t xml:space="preserve">Let </w:t>
      </w:r>
      <w:r>
        <w:rPr>
          <w:i/>
          <w:sz w:val="22"/>
          <w:color w:val="1C2422"/>
        </w:rPr>
        <w:t xml:space="preserve">w_{\text{exit}}</w:t>
      </w:r>
      <w:r>
        <w:rPr>
          <w:sz w:val="22"/>
          <w:color w:val="1F1F1F"/>
        </w:rPr>
        <w:t xml:space="preserve"> be the effective weight of an unstaking position in asset </w:t>
      </w:r>
      <w:r>
        <w:rPr>
          <w:i/>
          <w:sz w:val="22"/>
          <w:color w:val="1C2422"/>
        </w:rPr>
        <w:t xml:space="preserve">a</w:t>
      </w:r>
      <w:r>
        <w:rPr>
          <w:sz w:val="22"/>
          <w:color w:val="1F1F1F"/>
        </w:rPr>
        <w:t xml:space="preserve">, where </w:t>
      </w:r>
      <w:r>
        <w:rPr>
          <w:i/>
          <w:sz w:val="22"/>
          <w:color w:val="1C2422"/>
        </w:rPr>
        <w:t xml:space="preserve">\text{Allocation}_a</w:t>
      </w:r>
      <w:r>
        <w:rPr>
          <w:sz w:val="22"/>
          <w:color w:val="1F1F1F"/>
        </w:rPr>
        <w:t xml:space="preserve"> represents total quote funds assigned to that asset in the active interval. The forfeited quote share is:</w:t>
      </w:r>
    </w:p>
    <w:p>
      <w:pPr>
        <w:pStyle w:val="Equation"/>
      </w:pPr>
      <w:r>
        <w:rPr>
          <w:i/>
          <w:sz w:val="22"/>
          <w:color w:val="1C2422"/>
        </w:rPr>
        <w:t xml:space="preserve">\text{Forfeited}_a = \left\lfloor\text{Allocation}_a \cdot \frac{w_{\text{exit}}}{W_{\text{open}}(a)}\right\rfloor</w:t>
      </w:r>
    </w:p>
    <w:p>
      <w:r>
        <w:rPr>
          <w:sz w:val="22"/>
          <w:color w:val="1F1F1F"/>
        </w:rPr>
        <w:t xml:space="preserve">In </w:t>
      </w:r>
      <w:r>
        <w:rPr>
          <w:sz w:val="22"/>
          <w:color w:val="0F5C46"/>
          <w:u w:val="single"/>
        </w:rPr>
        <w:t xml:space="preserve">`SeniorityLedger.sol`</w:t>
      </w:r>
      <w:r>
        <w:rPr>
          <w:sz w:val="22"/>
          <w:color w:val="1F1F1F"/>
        </w:rPr>
        <w:t xml:space="preserve"> and </w:t>
      </w:r>
      <w:r>
        <w:rPr>
          <w:sz w:val="22"/>
          <w:color w:val="0F5C46"/>
          <w:u w:val="single"/>
        </w:rPr>
        <w:t xml:space="preserve">`RewardDistributor.sol`</w:t>
      </w:r>
      <w:r>
        <w:rPr>
          <w:sz w:val="22"/>
          <w:color w:val="1F1F1F"/>
        </w:rPr>
        <w:t xml:space="preserve">:</w:t>
      </w:r>
    </w:p>
    <w:p>
      <w:pPr>
        <w:pStyle w:val="ListBullet"/>
      </w:pPr>
      <w:r>
        <w:rPr>
          <w:b/>
          <w:color w:val="0F5C46"/>
        </w:rPr>
        <w:t xml:space="preserve">1.  </w:t>
      </w:r>
      <w:r>
        <w:rPr>
          <w:sz w:val="21"/>
          <w:color w:val="1F1F1F"/>
        </w:rPr>
        <w:t xml:space="preserve"/>
      </w:r>
      <w:r>
        <w:rPr>
          <w:i/>
          <w:sz w:val="21"/>
          <w:color w:val="1C2422"/>
        </w:rPr>
        <w:t xml:space="preserve">\text{Forfeited}_a</w:t>
      </w:r>
      <w:r>
        <w:rPr>
          <w:sz w:val="21"/>
          <w:color w:val="1F1F1F"/>
        </w:rPr>
        <w:t xml:space="preserve"> is neither clawed back by the treasury nor captured by governance;</w:t>
      </w:r>
    </w:p>
    <w:p>
      <w:pPr>
        <w:pStyle w:val="ListBullet"/>
      </w:pPr>
      <w:r>
        <w:rPr>
          <w:b/>
          <w:color w:val="0F5C46"/>
        </w:rPr>
        <w:t xml:space="preserve">2.  </w:t>
      </w:r>
      <w:r>
        <w:rPr>
          <w:sz w:val="21"/>
          <w:color w:val="1F1F1F"/>
        </w:rPr>
        <w:t xml:space="preserve">Forfeited quote funds remain committed to the asset pool, netted against the effective purchase denominator:</w:t>
      </w:r>
    </w:p>
    <w:p>
      <w:pPr>
        <w:pStyle w:val="Equation"/>
      </w:pPr>
      <w:r>
        <w:rPr>
          <w:i/>
          <w:sz w:val="22"/>
          <w:color w:val="1C2422"/>
        </w:rPr>
        <w:t xml:space="preserve">\text{ClaimablePot}_a = \text{Pot}_a - \text{Forfeited}_a</w:t>
      </w:r>
    </w:p>
    <w:p>
      <w:pPr>
        <w:pStyle w:val="ListBullet"/>
      </w:pPr>
      <w:r>
        <w:rPr>
          <w:b/>
          <w:color w:val="0F5C46"/>
        </w:rPr>
        <w:t xml:space="preserve">3.  </w:t>
      </w:r>
      <w:r>
        <w:rPr>
          <w:sz w:val="21"/>
          <w:color w:val="1F1F1F"/>
        </w:rPr>
        <w:t xml:space="preserve">When forfeiture is nonzero, the settlement conversion rate </w:t>
      </w:r>
      <w:r>
        <w:rPr>
          <w:i/>
          <w:sz w:val="21"/>
          <w:color w:val="1C2422"/>
        </w:rPr>
        <w:t xml:space="preserve">\text{BatchRate}</w:t>
      </w:r>
      <w:r>
        <w:rPr>
          <w:sz w:val="21"/>
          <w:color w:val="1F1F1F"/>
        </w:rPr>
        <w:t xml:space="preserve"> preserves token output while reducing the share denominator, thereby raising the realized unit token rate. Downward integer rounding may leave residue, so the transfer is proportional within the contract's rounding rules rather than infinitely precise.</w:t>
      </w:r>
    </w:p>
    <w:p>
      <w:pPr>
        <w:pBdr>
          <w:bottom w:val="single" w:sz="6" w:space="8" w:color="E5E7EB"/>
        </w:pBdr>
        <w:spacing w:before="200" w:after="200"/>
      </w:pPr>
    </w:p>
    <w:p>
      <w:pPr>
        <w:pStyle w:val="Heading1"/>
      </w:pPr>
      <w:r>
        <w:t>4. Allocation Neutrality and Seniority Scenarios</w:t>
      </w:r>
    </w:p>
    <w:p>
      <w:pPr>
        <w:pStyle w:val="Subtitle"/>
      </w:pPr>
      <w:r>
        <w:t>4.1 Gross Quote Allocation under Ideal Conditions</w:t>
      </w:r>
    </w:p>
    <w:p>
      <w:r>
        <w:rPr>
          <w:sz w:val="22"/>
          <w:color w:val="1F1F1F"/>
        </w:rPr>
        <w:t xml:space="preserve">In classical DeFi governance (e.g., Curve Gauges), voting power directly dictates </w:t>
      </w:r>
      <w:r>
        <w:rPr>
          <w:b/>
          <w:sz w:val="22"/>
          <w:szCs w:val="22"/>
          <w:color w:val="1F1F1F"/>
        </w:rPr>
        <w:t xml:space="preserve">allocation magnitude (How much)</w:t>
      </w:r>
      <w:r>
        <w:rPr>
          <w:sz w:val="22"/>
          <w:color w:val="1F1F1F"/>
        </w:rPr>
        <w:t xml:space="preserve">. Because votes redirect absolute capital flows, they inevitably spawn mercenary vote-buying cartels (Bribes), necessitating heavy governance lockups and multi-week epochs.</w:t>
      </w:r>
    </w:p>
    <w:p>
      <w:r>
        <w:rPr>
          <w:sz w:val="22"/>
          <w:color w:val="1F1F1F"/>
        </w:rPr>
        <w:t xml:space="preserve">TheFatCat removes the direct gauge-voting mechanism. The following cancellation describes nominal gross quote allocation before contract caps and rounding; it is not a proof that outside bribery incentives cannot exist.</w:t>
      </w:r>
    </w:p>
    <w:p>
      <w:pPr>
        <w:pStyle w:val="Heading3"/>
      </w:pPr>
      <w:r>
        <w:t>Algebraic Cancellation Proof</w:t>
      </w:r>
    </w:p>
    <w:p>
      <w:r>
        <w:rPr>
          <w:sz w:val="22"/>
          <w:color w:val="1F1F1F"/>
        </w:rPr>
        <w:t xml:space="preserve">By Security Invariant S10 (</w:t>
      </w:r>
      <w:r>
        <w:rPr>
          <w:sz w:val="22"/>
          <w:color w:val="0F5C46"/>
          <w:u w:val="single"/>
        </w:rPr>
        <w:t xml:space="preserve">`contracts/doc/SECURITY_PROPERTIES.md`</w:t>
      </w:r>
      <w:r>
        <w:rPr>
          <w:sz w:val="22"/>
          <w:color w:val="1F1F1F"/>
        </w:rPr>
        <w:t xml:space="preserve">), the sum of asset open weights at interval transition equals total protocol weight:</w:t>
      </w:r>
    </w:p>
    <w:p>
      <w:pPr>
        <w:pStyle w:val="Equation"/>
      </w:pPr>
      <w:r>
        <w:rPr>
          <w:i/>
          <w:sz w:val="22"/>
          <w:color w:val="1C2422"/>
        </w:rPr>
        <w:t xml:space="preserve">\sum_{a \in \text{MENU}} W_{\text{open}}(a) = W_{\text{total}}</w:t>
      </w:r>
    </w:p>
    <w:p>
      <w:r>
        <w:rPr>
          <w:sz w:val="22"/>
          <w:color w:val="1F1F1F"/>
        </w:rPr>
        <w:t xml:space="preserve">When the clock advances, quote budget allocated to asset </w:t>
      </w:r>
      <w:r>
        <w:rPr>
          <w:i/>
          <w:sz w:val="22"/>
          <w:color w:val="1C2422"/>
        </w:rPr>
        <w:t xml:space="preserve">a</w:t>
      </w:r>
      <w:r>
        <w:rPr>
          <w:sz w:val="22"/>
          <w:color w:val="1F1F1F"/>
        </w:rPr>
        <w:t xml:space="preserve"> is:</w:t>
      </w:r>
    </w:p>
    <w:p>
      <w:pPr>
        <w:pStyle w:val="Equation"/>
      </w:pPr>
      <w:r>
        <w:rPr>
          <w:i/>
          <w:sz w:val="22"/>
          <w:color w:val="1C2422"/>
        </w:rPr>
        <w:t xml:space="preserve">Q_a = Q_{\text{total}} \cdot \frac{W_{\text{open}}(a)}{W_{\text{total}}}</w:t>
      </w:r>
    </w:p>
    <w:p>
      <w:r>
        <w:rPr>
          <w:sz w:val="22"/>
          <w:color w:val="1F1F1F"/>
        </w:rPr>
        <w:t xml:space="preserve">Position </w:t>
      </w:r>
      <w:r>
        <w:rPr>
          <w:i/>
          <w:sz w:val="22"/>
          <w:color w:val="1C2422"/>
        </w:rPr>
        <w:t xml:space="preserve">i</w:t>
      </w:r>
      <w:r>
        <w:rPr>
          <w:sz w:val="22"/>
          <w:color w:val="1F1F1F"/>
        </w:rPr>
        <w:t xml:space="preserve"> (with weight </w:t>
      </w:r>
      <w:r>
        <w:rPr>
          <w:i/>
          <w:sz w:val="22"/>
          <w:color w:val="1C2422"/>
        </w:rPr>
        <w:t xml:space="preserve">w_i</w:t>
      </w:r>
      <w:r>
        <w:rPr>
          <w:sz w:val="22"/>
          <w:color w:val="1F1F1F"/>
        </w:rPr>
        <w:t xml:space="preserve">, selecting asset </w:t>
      </w:r>
      <w:r>
        <w:rPr>
          <w:i/>
          <w:sz w:val="22"/>
          <w:color w:val="1C2422"/>
        </w:rPr>
        <w:t xml:space="preserve">a</w:t>
      </w:r>
      <w:r>
        <w:rPr>
          <w:sz w:val="22"/>
          <w:color w:val="1F1F1F"/>
        </w:rPr>
        <w:t xml:space="preserve">) receives an entitlement share within asset </w:t>
      </w:r>
      <w:r>
        <w:rPr>
          <w:i/>
          <w:sz w:val="22"/>
          <w:color w:val="1C2422"/>
        </w:rPr>
        <w:t xml:space="preserve">a</w:t>
      </w:r>
      <w:r>
        <w:rPr>
          <w:sz w:val="22"/>
          <w:color w:val="1F1F1F"/>
        </w:rPr>
        <w:t xml:space="preserve"> of:</w:t>
      </w:r>
    </w:p>
    <w:p>
      <w:pPr>
        <w:pStyle w:val="Equation"/>
      </w:pPr>
      <w:r>
        <w:rPr>
          <w:i/>
          <w:sz w:val="22"/>
          <w:color w:val="1C2422"/>
        </w:rPr>
        <w:t xml:space="preserve">\text{Share}_{i, a} = Q_a \cdot \frac{w_i}{W_{\text{open}}(a)}</w:t>
      </w:r>
    </w:p>
    <w:p>
      <w:r>
        <w:rPr>
          <w:sz w:val="22"/>
          <w:color w:val="1F1F1F"/>
        </w:rPr>
        <w:t xml:space="preserve">Substituting </w:t>
      </w:r>
      <w:r>
        <w:rPr>
          <w:i/>
          <w:sz w:val="22"/>
          <w:color w:val="1C2422"/>
        </w:rPr>
        <w:t xml:space="preserve">Q_a</w:t>
      </w:r>
      <w:r>
        <w:rPr>
          <w:sz w:val="22"/>
          <w:color w:val="1F1F1F"/>
        </w:rPr>
        <w:t xml:space="preserve"> into the entitlement equation:</w:t>
      </w:r>
    </w:p>
    <w:p>
      <w:pPr>
        <w:pStyle w:val="Equation"/>
      </w:pPr>
      <w:r>
        <w:rPr>
          <w:i/>
          <w:sz w:val="22"/>
          <w:color w:val="1C2422"/>
        </w:rPr>
        <w:t xml:space="preserve">\text{Share}_{i, a} = \left( Q_{\text{total}} \cdot \frac{W_{\text{open}}(a)}{W_{\text{total}}} \right) \cdot \frac{w_i}{W_{\text{open}}(a)} = Q_{\text{total}} \cdot \frac{w_i}{W_{\text{total}}}</w:t>
      </w:r>
    </w:p>
    <w:p>
      <w:pPr>
        <w:pStyle w:val="Heading3"/>
      </w:pPr>
      <w:r>
        <w:t>Conditional Conclusion</w:t>
      </w:r>
    </w:p>
    <w:p>
      <w:r>
        <w:rPr>
          <w:sz w:val="22"/>
          <w:color w:val="1F1F1F"/>
        </w:rPr>
        <w:t xml:space="preserve">In real-number arithmetic, for an enabled and uncapped asset, the denominator </w:t>
      </w:r>
      <w:r>
        <w:rPr>
          <w:i/>
          <w:sz w:val="22"/>
          <w:color w:val="1C2422"/>
        </w:rPr>
        <w:t xml:space="preserve">W_{\text{open}}(a)</w:t>
      </w:r>
      <w:r>
        <w:rPr>
          <w:sz w:val="22"/>
          <w:color w:val="1F1F1F"/>
        </w:rPr>
        <w:t xml:space="preserve"> cancels. Before integer dust, position </w:t>
      </w:r>
      <w:r>
        <w:rPr>
          <w:i/>
          <w:sz w:val="22"/>
          <w:color w:val="1C2422"/>
        </w:rPr>
        <w:t xml:space="preserve">i</w:t>
      </w:r>
      <w:r>
        <w:rPr>
          <w:sz w:val="22"/>
          <w:color w:val="1F1F1F"/>
        </w:rPr>
        <w:t xml:space="preserve"> therefore receives the same gross quote-budget share </w:t>
      </w:r>
      <w:r>
        <w:rPr>
          <w:i/>
          <w:sz w:val="22"/>
          <w:color w:val="1C2422"/>
        </w:rPr>
        <w:t xml:space="preserve">\frac{w_i}{W_{\text{total}}}</w:t>
      </w:r>
      <w:r>
        <w:rPr>
          <w:sz w:val="22"/>
          <w:color w:val="1F1F1F"/>
        </w:rPr>
        <w:t xml:space="preserve"> regardless of how many positions choose that asset.</w:t>
      </w:r>
    </w:p>
    <w:p>
      <w:pPr>
        <w:pStyle w:val="Blockquote"/>
      </w:pPr>
      <w:r>
        <w:rPr>
          <w:b/>
          <w:sz w:val="21"/>
          <w:szCs w:val="21"/>
          <w:color w:val="4B5563"/>
        </w:rPr>
        <w:t xml:space="preserve">Boundary of the result</w:t>
      </w:r>
      <w:r>
        <w:rPr>
          <w:sz w:val="21"/>
          <w:color w:val="4B5563"/>
        </w:rPr>
        <w:t xml:space="preserve">: DIET determines what the protocol buys and, under the assumptions above, not the position's nominal gross quote share. Probation caps, disabled assets, integer rounding, execution timing, slippage, fees, market prices and issuer or liquidity-provider incentives can all change the asset received or its realized economic value. DIET changes are free apart from gas, take effect in the next interval, and do not reset seniority.</w:t>
      </w:r>
    </w:p>
    <w:p>
      <w:pPr>
        <w:pStyle w:val="Subtitle"/>
      </w:pPr>
      <w:r>
        <w:t>4.2 Seniority Multiplier Relative Advantage Analysis</w:t>
      </w:r>
    </w:p>
    <w:p>
      <w:r>
        <w:rPr>
          <w:sz w:val="22"/>
          <w:color w:val="1F1F1F"/>
        </w:rPr>
        <w:t xml:space="preserve">The seniority multiplier must be evaluated across three distinct economic frames:</w:t>
      </w:r>
    </w:p>
    <w:tbl>
      <w:tblPr>
        <w:tblW w:w="0" w:type="auto"/>
        <w:tblBorders>
          <w:top w:val="single" w:sz="6" w:space="0" w:color="D1D5DB"/>
          <w:bottom w:val="single" w:sz="8" w:space="0" w:color="4B5563"/>
          <w:insideH w:val="single" w:sz="4" w:space="0" w:color="E5E7EB"/>
          <w:insideV w:val="none"/>
          <w:left w:val="none"/>
          <w:right w:val="none"/>
        </w:tblBorders>
        <w:tblCellMar>
          <w:top w:w="120" w:type="dxa"/>
          <w:bottom w:w="120" w:type="dxa"/>
          <w:left w:w="160" w:type="dxa"/>
          <w:right w:w="160" w:type="dxa"/>
        </w:tblCellMar>
      </w:tblPr>
      <w:tr>
        <w:tc>
          <w:tcPr>
            <w:shd w:val="clear" w:color="auto" w:fill="F9FAFB"/>
          </w:tcPr>
          <w:p>
            <w:pPr>
              <w:spacing w:before="60" w:after="60"/>
            </w:pPr>
            <w:r>
              <w:rPr>
                <w:b/>
              </w:rPr>
            </w:r>
            <w:r>
              <w:rPr>
                <w:sz w:val="20"/>
                <w:color w:val="0D1117"/>
              </w:rPr>
              <w:t xml:space="preserve">Comparison Metric</w:t>
            </w:r>
          </w:p>
        </w:tc>
        <w:tc>
          <w:tcPr>
            <w:shd w:val="clear" w:color="auto" w:fill="F9FAFB"/>
          </w:tcPr>
          <w:p>
            <w:pPr>
              <w:spacing w:before="60" w:after="60"/>
            </w:pPr>
            <w:r>
              <w:rPr>
                <w:b/>
              </w:rPr>
            </w:r>
            <w:r>
              <w:rPr>
                <w:sz w:val="20"/>
                <w:color w:val="0D1117"/>
              </w:rPr>
              <w:t xml:space="preserve">Relative Multiplier</w:t>
            </w:r>
          </w:p>
        </w:tc>
        <w:tc>
          <w:tcPr>
            <w:shd w:val="clear" w:color="auto" w:fill="F9FAFB"/>
          </w:tcPr>
          <w:p>
            <w:pPr>
              <w:spacing w:before="60" w:after="60"/>
            </w:pPr>
            <w:r>
              <w:rPr>
                <w:b/>
              </w:rPr>
            </w:r>
            <w:r>
              <w:rPr>
                <w:sz w:val="20"/>
                <w:color w:val="0D1117"/>
              </w:rPr>
              <w:t xml:space="preserve">Economic Character &amp; Boundary</w:t>
            </w:r>
          </w:p>
        </w:tc>
      </w:tr>
      <w:tr>
        <w:tc>
          <w:p>
            <w:pPr>
              <w:spacing w:before="40" w:after="40"/>
            </w:pPr>
            <w:r>
              <w:rPr>
                <w:b/>
                <w:sz w:val="19"/>
                <w:szCs w:val="19"/>
                <w:color w:val="1F1F1F"/>
              </w:rPr>
              <w:t xml:space="preserve">Max Mature Position vs. Position in Its First Active Interval</w:t>
            </w:r>
          </w:p>
        </w:tc>
        <w:tc>
          <w:p>
            <w:pPr>
              <w:spacing w:before="40" w:after="40"/>
            </w:pPr>
            <w:r>
              <w:rPr>
                <w:b/>
                <w:sz w:val="19"/>
                <w:szCs w:val="19"/>
                <w:color w:val="1F1F1F"/>
              </w:rPr>
              <w:t xml:space="preserve">22.0x</w:t>
            </w:r>
          </w:p>
        </w:tc>
        <w:tc>
          <w:p>
            <w:pPr>
              <w:spacing w:before="40" w:after="40"/>
            </w:pPr>
            <w:r>
              <w:rPr>
                <w:sz w:val="19"/>
                <w:color w:val="1F1F1F"/>
              </w:rPr>
              <w:t xml:space="preserve">Transient Disadvantage: New entrants climb over 21 completed active intervals, closing the gap naturally</w:t>
            </w:r>
          </w:p>
        </w:tc>
      </w:tr>
      <w:tr>
        <w:tc>
          <w:p>
            <w:pPr>
              <w:spacing w:before="40" w:after="40"/>
            </w:pPr>
            <w:r>
              <w:rPr>
                <w:b/>
                <w:sz w:val="19"/>
                <w:szCs w:val="19"/>
                <w:color w:val="1F1F1F"/>
              </w:rPr>
              <w:t xml:space="preserve">Max Mature Position vs. Pool Weighted Average</w:t>
            </w:r>
          </w:p>
        </w:tc>
        <w:tc>
          <w:p>
            <w:pPr>
              <w:spacing w:before="40" w:after="40"/>
            </w:pPr>
            <w:r>
              <w:rPr>
                <w:b/>
                <w:sz w:val="19"/>
                <w:szCs w:val="19"/>
                <w:color w:val="1F1F1F"/>
              </w:rPr>
              <w:t xml:space="preserve">$22/\bar c$</w:t>
            </w:r>
          </w:p>
        </w:tc>
        <w:tc>
          <w:p>
            <w:pPr>
              <w:spacing w:before="40" w:after="40"/>
            </w:pPr>
            <w:r>
              <w:rPr>
                <w:sz w:val="19"/>
                <w:color w:val="1F1F1F"/>
              </w:rPr>
              <w:t xml:space="preserve">Distribution-dependent: </w:t>
            </w:r>
            <w:r>
              <w:rPr>
                <w:i/>
                <w:sz w:val="19"/>
                <w:color w:val="1C2422"/>
              </w:rPr>
              <w:t xml:space="preserve">\bar c</w:t>
            </w:r>
            <w:r>
              <w:rPr>
                <w:sz w:val="19"/>
                <w:color w:val="1F1F1F"/>
              </w:rPr>
              <w:t xml:space="preserve"> is the principal-weighted mean coefficient</w:t>
            </w:r>
          </w:p>
        </w:tc>
      </w:tr>
      <w:tr>
        <w:tc>
          <w:p>
            <w:pPr>
              <w:spacing w:before="40" w:after="40"/>
            </w:pPr>
            <w:r>
              <w:rPr>
                <w:b/>
                <w:sz w:val="19"/>
                <w:szCs w:val="19"/>
                <w:color w:val="1F1F1F"/>
              </w:rPr>
              <w:t xml:space="preserve">Max Mature Position in Stagnant Pool</w:t>
            </w:r>
          </w:p>
        </w:tc>
        <w:tc>
          <w:p>
            <w:pPr>
              <w:spacing w:before="40" w:after="40"/>
            </w:pPr>
            <w:r>
              <w:rPr>
                <w:b/>
                <w:sz w:val="19"/>
                <w:szCs w:val="19"/>
                <w:color w:val="1F1F1F"/>
              </w:rPr>
              <w:t xml:space="preserve">1.0x</w:t>
            </w:r>
          </w:p>
        </w:tc>
        <w:tc>
          <w:p>
            <w:pPr>
              <w:spacing w:before="40" w:after="40"/>
            </w:pPr>
            <w:r>
              <w:rPr>
                <w:sz w:val="19"/>
                <w:color w:val="1F1F1F"/>
              </w:rPr>
              <w:t xml:space="preserve">Stationary Baseline: In a closed pool with zero new entrants, all positions mature to 22x, premium drops to 1.0x</w:t>
            </w:r>
          </w:p>
        </w:tc>
      </w:tr>
    </w:tbl>
    <w:p>
      <w:r>
        <w:rPr>
          <w:sz w:val="22"/>
          <w:color w:val="1F1F1F"/>
        </w:rPr>
        <w:t xml:space="preserve">For active principal amounts </w:t>
      </w:r>
      <w:r>
        <w:rPr>
          <w:i/>
          <w:sz w:val="22"/>
          <w:color w:val="1C2422"/>
        </w:rPr>
        <w:t xml:space="preserve">p_i</w:t>
      </w:r>
      <w:r>
        <w:rPr>
          <w:sz w:val="22"/>
          <w:color w:val="1F1F1F"/>
        </w:rPr>
        <w:t xml:space="preserve"> and coefficients </w:t>
      </w:r>
      <w:r>
        <w:rPr>
          <w:i/>
          <w:sz w:val="22"/>
          <w:color w:val="1C2422"/>
        </w:rPr>
        <w:t xml:space="preserve">c_i</w:t>
      </w:r>
      <w:r>
        <w:rPr>
          <w:sz w:val="22"/>
          <w:color w:val="1F1F1F"/>
        </w:rPr>
        <w:t xml:space="preserve">, let </w:t>
      </w:r>
      <w:r>
        <w:rPr>
          <w:i/>
          <w:sz w:val="22"/>
          <w:color w:val="1C2422"/>
        </w:rPr>
        <w:t xml:space="preserve">\bar c=\sum_i p_i c_i/\sum_i p_i</w:t>
      </w:r>
      <w:r>
        <w:rPr>
          <w:sz w:val="22"/>
          <w:color w:val="1F1F1F"/>
        </w:rPr>
        <w:t xml:space="preserve">. Because </w:t>
      </w:r>
      <w:r>
        <w:rPr>
          <w:i/>
          <w:sz w:val="22"/>
          <w:color w:val="1C2422"/>
        </w:rPr>
        <w:t xml:space="preserve">1\le\bar c\le22</w:t>
      </w:r>
      <w:r>
        <w:rPr>
          <w:sz w:val="22"/>
          <w:color w:val="1F1F1F"/>
        </w:rPr>
        <w:t xml:space="preserve">, the mature-to-average per-token ratio </w:t>
      </w:r>
      <w:r>
        <w:rPr>
          <w:i/>
          <w:sz w:val="22"/>
          <w:color w:val="1C2422"/>
        </w:rPr>
        <w:t xml:space="preserve">22/\bar c</w:t>
      </w:r>
      <w:r>
        <w:rPr>
          <w:sz w:val="22"/>
          <w:color w:val="1F1F1F"/>
        </w:rPr>
        <w:t xml:space="preserve"> lies between 1 and 22. The often-cited 1.913x figure is one scenario: equal principal uniformly distributed across coefficients 1 through 22 gives </w:t>
      </w:r>
      <w:r>
        <w:rPr>
          <w:i/>
          <w:sz w:val="22"/>
          <w:color w:val="1C2422"/>
        </w:rPr>
        <w:t xml:space="preserve">\bar c=11.5</w:t>
      </w:r>
      <w:r>
        <w:rPr>
          <w:sz w:val="22"/>
          <w:color w:val="1F1F1F"/>
        </w:rPr>
        <w:t xml:space="preserve">. Any narrower range requires an explicit entry, exit and age-distribution model; it is not a protocol-level upper bound. The advantage is per unit principal—absolute reward remains linear in principal.</w:t>
      </w:r>
    </w:p>
    <w:p>
      <w:pPr>
        <w:jc w:val="center"/>
        <w:spacing w:before="160" w:after="160"/>
      </w:pPr>
      <w:r>
        <w:rPr>
          <w:b/>
          <w:sz w:val="20"/>
          <w:color w:val="0F5C46"/>
        </w:rPr>
        <w:t>[ Figure 4: Seniority Multiplier &amp; Relative Advantage ]</w:t>
      </w:r>
    </w:p>
    <w:p>
      <w:pPr>
        <w:pStyle w:val="Subtitle"/>
      </w:pPr>
      <w:r>
        <w:t>4.3 `MIN_STAKE` Barrier and Seniority Certificate Specification</w:t>
      </w:r>
    </w:p>
    <w:p>
      <w:pPr>
        <w:pStyle w:val="ListBullet"/>
      </w:pPr>
      <w:r>
        <w:rPr>
          <w:b/>
          <w:color w:val="0F5C46"/>
        </w:rPr>
        <w:t xml:space="preserve">1.  </w:t>
      </w:r>
      <w:r>
        <w:rPr>
          <w:b/>
          <w:sz w:val="21"/>
          <w:szCs w:val="21"/>
          <w:color w:val="1F1F1F"/>
        </w:rPr>
        <w:t xml:space="preserve">Deployment-Pinned Entry Barrier</w:t>
      </w:r>
      <w:r>
        <w:rPr>
          <w:sz w:val="21"/>
          <w:color w:val="1F1F1F"/>
        </w:rPr>
        <w:t xml:space="preserve">: </w:t>
      </w:r>
      <w:r>
        <w:rPr>
          <w:sz w:val="21"/>
          <w:color w:val="0F5C46"/>
          <w:u w:val="single"/>
        </w:rPr>
        <w:t xml:space="preserve">`StakingVault.sol`</w:t>
      </w:r>
      <w:r>
        <w:rPr>
          <w:sz w:val="21"/>
          <w:color w:val="1F1F1F"/>
        </w:rPr>
        <w:t xml:space="preserve"> receives </w:t>
      </w:r>
      <w:r>
        <w:rPr>
          <w:rFonts w:ascii="Menlo" w:hAnsi="Menlo"/>
          <w:sz w:val="19"/>
          <w:color w:val="1C2422"/>
          <w:shd w:val="clear" w:color="auto" w:fill="F3F4F6"/>
        </w:rPr>
        <w:t xml:space="preserve">minStake</w:t>
      </w:r>
      <w:r>
        <w:rPr>
          <w:sz w:val="21"/>
          <w:color w:val="1F1F1F"/>
        </w:rPr>
        <w:t xml:space="preserve"> as an immutable constructor argument. The launch configuration pins it to </w:t>
      </w:r>
      <w:r>
        <w:rPr>
          <w:rFonts w:ascii="Menlo" w:hAnsi="Menlo"/>
          <w:sz w:val="19"/>
          <w:color w:val="1C2422"/>
          <w:shd w:val="clear" w:color="auto" w:fill="F3F4F6"/>
        </w:rPr>
        <w:t xml:space="preserve">100_000 FATCAT</w:t>
      </w:r>
      <w:r>
        <w:rPr>
          <w:sz w:val="21"/>
          <w:color w:val="1F1F1F"/>
        </w:rPr>
        <w:t xml:space="preserve"> (0.01% of the 1,000,000,000 total supply), with no post-deployment setter;</w:t>
      </w:r>
    </w:p>
    <w:p>
      <w:pPr>
        <w:pStyle w:val="ListBullet"/>
      </w:pPr>
      <w:r>
        <w:rPr>
          <w:b/>
          <w:color w:val="0F5C46"/>
        </w:rPr>
        <w:t xml:space="preserve">2.  </w:t>
      </w:r>
      <w:r>
        <w:rPr>
          <w:b/>
          <w:sz w:val="21"/>
          <w:szCs w:val="21"/>
          <w:color w:val="1F1F1F"/>
        </w:rPr>
        <w:t xml:space="preserve">Strictly Linear Scale</w:t>
      </w:r>
      <w:r>
        <w:rPr>
          <w:sz w:val="21"/>
          <w:color w:val="1F1F1F"/>
        </w:rPr>
        <w:t xml:space="preserve">: Holding coefficient and diet fixed, position weight is linear in principal above the threshold; there is no superlinear size multiplier. A separate new position begins its own seniority path;</w:t>
      </w:r>
    </w:p>
    <w:p>
      <w:pPr>
        <w:pStyle w:val="ListBullet"/>
      </w:pPr>
      <w:r>
        <w:rPr>
          <w:b/>
          <w:color w:val="0F5C46"/>
        </w:rPr>
        <w:t xml:space="preserve">3.  </w:t>
      </w:r>
      <w:r>
        <w:rPr>
          <w:b/>
          <w:sz w:val="21"/>
          <w:szCs w:val="21"/>
          <w:color w:val="1F1F1F"/>
        </w:rPr>
        <w:t xml:space="preserve">Seniority Physicalization Channel ([`SeniorityCertificate.sol`](../contracts/src/SeniorityCertificate.sol))</w:t>
      </w:r>
      <w:r>
        <w:rPr>
          <w:sz w:val="21"/>
          <w:color w:val="1F1F1F"/>
        </w:rPr>
        <w:t xml:space="preserve">:</w:t>
      </w:r>
    </w:p>
    <w:p>
      <w:pPr>
        <w:pStyle w:val="ListBullet"/>
      </w:pPr>
      <w:r>
        <w:rPr>
          <w:color w:val="0F5C46"/>
        </w:rPr>
        <w:t xml:space="preserve">•  </w:t>
      </w:r>
      <w:r>
        <w:rPr>
          <w:b/>
          <w:sz w:val="21"/>
          <w:szCs w:val="21"/>
          <w:color w:val="1F1F1F"/>
        </w:rPr>
        <w:t xml:space="preserve">Genesis Deployment</w:t>
      </w:r>
      <w:r>
        <w:rPr>
          <w:sz w:val="21"/>
          <w:color w:val="1F1F1F"/>
        </w:rPr>
        <w:t xml:space="preserve">: Deployed alongside the core staking contracts. Once the Governor multisig has opened issuance, stakers fully exiting an active standard position with principal </w:t>
      </w:r>
      <w:r>
        <w:rPr>
          <w:i/>
          <w:sz w:val="21"/>
          <w:color w:val="1C2422"/>
        </w:rPr>
        <w:t xml:space="preserve">\ge 100{,}000\text{ FATCAT}</w:t>
      </w:r>
      <w:r>
        <w:rPr>
          <w:sz w:val="21"/>
          <w:color w:val="1F1F1F"/>
        </w:rPr>
        <w:t xml:space="preserve"> may call </w:t>
      </w:r>
      <w:r>
        <w:rPr>
          <w:rFonts w:ascii="Menlo" w:hAnsi="Menlo"/>
          <w:sz w:val="19"/>
          <w:color w:val="1C2422"/>
          <w:shd w:val="clear" w:color="auto" w:fill="F3F4F6"/>
        </w:rPr>
        <w:t xml:space="preserve">redeemAndIssueCertificate()</w:t>
      </w:r>
      <w:r>
        <w:rPr>
          <w:sz w:val="21"/>
          <w:color w:val="1F1F1F"/>
        </w:rPr>
        <w:t xml:space="preserve"> to imprint their accrued seniority notch (</w:t>
      </w:r>
      <w:r>
        <w:rPr>
          <w:i/>
          <w:sz w:val="21"/>
          <w:color w:val="1C2422"/>
        </w:rPr>
        <w:t xml:space="preserve">c_i \in [1, 22]</w:t>
      </w:r>
      <w:r>
        <w:rPr>
          <w:sz w:val="21"/>
          <w:color w:val="1F1F1F"/>
        </w:rPr>
        <w:t xml:space="preserve">) into an immutable ERC-721 credential token (available across all notches, not restricted to notch 22);</w:t>
      </w:r>
    </w:p>
    <w:p>
      <w:pPr>
        <w:pStyle w:val="ListBullet"/>
      </w:pPr>
      <w:r>
        <w:rPr>
          <w:color w:val="0F5C46"/>
        </w:rPr>
        <w:t xml:space="preserve">•  </w:t>
      </w:r>
      <w:r>
        <w:rPr>
          <w:b/>
          <w:sz w:val="21"/>
          <w:szCs w:val="21"/>
          <w:color w:val="1F1F1F"/>
        </w:rPr>
        <w:t xml:space="preserve">Permanent Dead Address Lock</w:t>
      </w:r>
      <w:r>
        <w:rPr>
          <w:sz w:val="21"/>
          <w:color w:val="1F1F1F"/>
        </w:rPr>
        <w:t xml:space="preserve">: Minting permanently transfers the fixed </w:t>
      </w:r>
      <w:r>
        <w:rPr>
          <w:rFonts w:ascii="Menlo" w:hAnsi="Menlo"/>
          <w:sz w:val="19"/>
          <w:color w:val="1C2422"/>
          <w:shd w:val="clear" w:color="auto" w:fill="F3F4F6"/>
        </w:rPr>
        <w:t xml:space="preserve">100_000 FATCAT</w:t>
      </w:r>
      <w:r>
        <w:rPr>
          <w:sz w:val="21"/>
          <w:color w:val="1F1F1F"/>
        </w:rPr>
        <w:t xml:space="preserve"> (</w:t>
      </w:r>
      <w:r>
        <w:rPr>
          <w:rFonts w:ascii="Menlo" w:hAnsi="Menlo"/>
          <w:sz w:val="19"/>
          <w:color w:val="1C2422"/>
          <w:shd w:val="clear" w:color="auto" w:fill="F3F4F6"/>
        </w:rPr>
        <w:t xml:space="preserve">MINT_BURN</w:t>
      </w:r>
      <w:r>
        <w:rPr>
          <w:sz w:val="21"/>
          <w:color w:val="1F1F1F"/>
        </w:rPr>
        <w:t xml:space="preserve">) directly to the blackhole dead address </w:t>
      </w:r>
      <w:r>
        <w:rPr>
          <w:rFonts w:ascii="Menlo" w:hAnsi="Menlo"/>
          <w:sz w:val="19"/>
          <w:color w:val="1C2422"/>
          <w:shd w:val="clear" w:color="auto" w:fill="F3F4F6"/>
        </w:rPr>
        <w:t xml:space="preserve">0x000000000000000000000000000000000000dEaD</w:t>
      </w:r>
      <w:r>
        <w:rPr>
          <w:sz w:val="21"/>
          <w:color w:val="1F1F1F"/>
        </w:rPr>
        <w:t xml:space="preserve">, achieving factual permanent removal from circulation (underlying token </w:t>
      </w:r>
      <w:r>
        <w:rPr>
          <w:rFonts w:ascii="Menlo" w:hAnsi="Menlo"/>
          <w:sz w:val="19"/>
          <w:color w:val="1C2422"/>
          <w:shd w:val="clear" w:color="auto" w:fill="F3F4F6"/>
        </w:rPr>
        <w:t xml:space="preserve">transfer(DEAD, MINT_BURN)</w:t>
      </w:r>
      <w:r>
        <w:rPr>
          <w:sz w:val="21"/>
          <w:color w:val="1F1F1F"/>
        </w:rPr>
        <w:t xml:space="preserve">, not a </w:t>
      </w:r>
      <w:r>
        <w:rPr>
          <w:rFonts w:ascii="Menlo" w:hAnsi="Menlo"/>
          <w:sz w:val="19"/>
          <w:color w:val="1C2422"/>
          <w:shd w:val="clear" w:color="auto" w:fill="F3F4F6"/>
        </w:rPr>
        <w:t xml:space="preserve">burn()</w:t>
      </w:r>
      <w:r>
        <w:rPr>
          <w:sz w:val="21"/>
          <w:color w:val="1F1F1F"/>
        </w:rPr>
        <w:t xml:space="preserve"> call that reduces </w:t>
      </w:r>
      <w:r>
        <w:rPr>
          <w:rFonts w:ascii="Menlo" w:hAnsi="Menlo"/>
          <w:sz w:val="19"/>
          <w:color w:val="1C2422"/>
          <w:shd w:val="clear" w:color="auto" w:fill="F3F4F6"/>
        </w:rPr>
        <w:t xml:space="preserve">totalSupply</w:t>
      </w:r>
      <w:r>
        <w:rPr>
          <w:sz w:val="21"/>
          <w:color w:val="1F1F1F"/>
        </w:rPr>
        <w:t xml:space="preserve">); remaining principal is refunded to the user;</w:t>
      </w:r>
    </w:p>
    <w:p>
      <w:pPr>
        <w:pStyle w:val="ListBullet"/>
      </w:pPr>
      <w:r>
        <w:rPr>
          <w:color w:val="0F5C46"/>
        </w:rPr>
        <w:t xml:space="preserve">•  </w:t>
      </w:r>
      <w:r>
        <w:rPr>
          <w:b/>
          <w:sz w:val="21"/>
          <w:szCs w:val="21"/>
          <w:color w:val="1F1F1F"/>
        </w:rPr>
        <w:t xml:space="preserve">Certificate Staking &amp; Threshold Exemption</w:t>
      </w:r>
      <w:r>
        <w:rPr>
          <w:sz w:val="21"/>
          <w:color w:val="1F1F1F"/>
        </w:rPr>
        <w:t xml:space="preserve">: Holders of an unallocated certificate can call </w:t>
      </w:r>
      <w:r>
        <w:rPr>
          <w:rFonts w:ascii="Menlo" w:hAnsi="Menlo"/>
          <w:sz w:val="19"/>
          <w:color w:val="1C2422"/>
          <w:shd w:val="clear" w:color="auto" w:fill="F3F4F6"/>
        </w:rPr>
        <w:t xml:space="preserve">stakeWithCertificate(principal, diet, certificateId)</w:t>
      </w:r>
      <w:r>
        <w:rPr>
          <w:sz w:val="21"/>
          <w:color w:val="1F1F1F"/>
        </w:rPr>
        <w:t xml:space="preserve"> to open a position, inheriting the certificate's starting multiplier (head-start </w:t>
      </w:r>
      <w:r>
        <w:rPr>
          <w:i/>
          <w:sz w:val="21"/>
          <w:color w:val="1C2422"/>
        </w:rPr>
        <w:t xml:space="preserve">\text{head} = \text{multiplier} - 1</w:t>
      </w:r>
      <w:r>
        <w:rPr>
          <w:sz w:val="21"/>
          <w:color w:val="1F1F1F"/>
        </w:rPr>
        <w:t xml:space="preserve">) and exempt from the </w:t>
      </w:r>
      <w:r>
        <w:rPr>
          <w:rFonts w:ascii="Menlo" w:hAnsi="Menlo"/>
          <w:sz w:val="19"/>
          <w:color w:val="1C2422"/>
          <w:shd w:val="clear" w:color="auto" w:fill="F3F4F6"/>
        </w:rPr>
        <w:t xml:space="preserve">minStake</w:t>
      </w:r>
      <w:r>
        <w:rPr>
          <w:sz w:val="21"/>
          <w:color w:val="1F1F1F"/>
        </w:rPr>
        <w:t xml:space="preserve"> requirement. The certificate is exclusively locked (</w:t>
      </w:r>
      <w:r>
        <w:rPr>
          <w:rFonts w:ascii="Menlo" w:hAnsi="Menlo"/>
          <w:sz w:val="19"/>
          <w:color w:val="1C2422"/>
          <w:shd w:val="clear" w:color="auto" w:fill="F3F4F6"/>
        </w:rPr>
        <w:t xml:space="preserve">inUse == true</w:t>
      </w:r>
      <w:r>
        <w:rPr>
          <w:sz w:val="21"/>
          <w:color w:val="1F1F1F"/>
        </w:rPr>
        <w:t xml:space="preserve">) during the position's lifetime and released upon exit. Re-issuing another certificate from a certificate-backed position is strictly prohibited;</w:t>
      </w:r>
    </w:p>
    <w:p>
      <w:pPr>
        <w:pStyle w:val="ListBullet"/>
      </w:pPr>
      <w:r>
        <w:rPr>
          <w:color w:val="0F5C46"/>
        </w:rPr>
        <w:t xml:space="preserve">•  </w:t>
      </w:r>
      <w:r>
        <w:rPr>
          <w:b/>
          <w:sz w:val="21"/>
          <w:szCs w:val="21"/>
          <w:color w:val="1F1F1F"/>
        </w:rPr>
        <w:t xml:space="preserve">Fixed Hard Cap &amp; One-Time Opening</w:t>
      </w:r>
      <w:r>
        <w:rPr>
          <w:sz w:val="21"/>
          <w:color w:val="1F1F1F"/>
        </w:rPr>
        <w:t xml:space="preserve">: Capped at 9,999 tokens; issuance deploys closed and can be opened once by the Governor multisig, after which it cannot be closed. There is no automatic unlock or on-chain minimum waiting period;</w:t>
      </w:r>
    </w:p>
    <w:p>
      <w:pPr>
        <w:pStyle w:val="ListBullet"/>
      </w:pPr>
      <w:r>
        <w:rPr>
          <w:color w:val="0F5C46"/>
        </w:rPr>
        <w:t xml:space="preserve">•  </w:t>
      </w:r>
      <w:r>
        <w:rPr>
          <w:b/>
          <w:sz w:val="21"/>
          <w:szCs w:val="21"/>
          <w:color w:val="1F1F1F"/>
        </w:rPr>
        <w:t xml:space="preserve">Pure On-Chain SVG Rendering</w:t>
      </w:r>
      <w:r>
        <w:rPr>
          <w:sz w:val="21"/>
          <w:color w:val="1F1F1F"/>
        </w:rPr>
        <w:t xml:space="preserve">: Vector artwork and metadata are generated dynamically purely on-chain by </w:t>
      </w:r>
      <w:r>
        <w:rPr>
          <w:rFonts w:ascii="Menlo" w:hAnsi="Menlo"/>
          <w:sz w:val="19"/>
          <w:color w:val="1C2422"/>
          <w:shd w:val="clear" w:color="auto" w:fill="F3F4F6"/>
        </w:rPr>
        <w:t xml:space="preserve">SeniorityCertificateRenderer.sol</w:t>
      </w:r>
      <w:r>
        <w:rPr>
          <w:sz w:val="21"/>
          <w:color w:val="1F1F1F"/>
        </w:rPr>
        <w:t xml:space="preserve"> and </w:t>
      </w:r>
      <w:r>
        <w:rPr>
          <w:rFonts w:ascii="Menlo" w:hAnsi="Menlo"/>
          <w:sz w:val="19"/>
          <w:color w:val="1C2422"/>
          <w:shd w:val="clear" w:color="auto" w:fill="F3F4F6"/>
        </w:rPr>
        <w:t xml:space="preserve">CertificateData.sol</w:t>
      </w:r>
      <w:r>
        <w:rPr>
          <w:sz w:val="21"/>
          <w:color w:val="1F1F1F"/>
        </w:rPr>
        <w:t xml:space="preserve">. Metadata attributes are strictly </w:t>
      </w:r>
      <w:r>
        <w:rPr>
          <w:rFonts w:ascii="Menlo" w:hAnsi="Menlo"/>
          <w:sz w:val="19"/>
          <w:color w:val="1C2422"/>
          <w:shd w:val="clear" w:color="auto" w:fill="F3F4F6"/>
        </w:rPr>
        <w:t xml:space="preserve">Starting multiplier</w:t>
      </w:r>
      <w:r>
        <w:rPr>
          <w:sz w:val="21"/>
          <w:color w:val="1F1F1F"/>
        </w:rPr>
        <w:t xml:space="preserve"> and </w:t>
      </w:r>
      <w:r>
        <w:rPr>
          <w:rFonts w:ascii="Menlo" w:hAnsi="Menlo"/>
          <w:sz w:val="19"/>
          <w:color w:val="1C2422"/>
          <w:shd w:val="clear" w:color="auto" w:fill="F3F4F6"/>
        </w:rPr>
        <w:t xml:space="preserve">Status</w:t>
      </w:r>
      <w:r>
        <w:rPr>
          <w:sz w:val="21"/>
          <w:color w:val="1F1F1F"/>
        </w:rPr>
        <w:t xml:space="preserve"> (</w:t>
      </w:r>
      <w:r>
        <w:rPr>
          <w:rFonts w:ascii="Menlo" w:hAnsi="Menlo"/>
          <w:sz w:val="19"/>
          <w:color w:val="1C2422"/>
          <w:shd w:val="clear" w:color="auto" w:fill="F3F4F6"/>
        </w:rPr>
        <w:t xml:space="preserve">In use</w:t>
      </w:r>
      <w:r>
        <w:rPr>
          <w:sz w:val="21"/>
          <w:color w:val="1F1F1F"/>
        </w:rPr>
        <w:t xml:space="preserve"> or </w:t>
      </w:r>
      <w:r>
        <w:rPr>
          <w:rFonts w:ascii="Menlo" w:hAnsi="Menlo"/>
          <w:sz w:val="19"/>
          <w:color w:val="1C2422"/>
          <w:shd w:val="clear" w:color="auto" w:fill="F3F4F6"/>
        </w:rPr>
        <w:t xml:space="preserve">Available</w:t>
      </w:r>
      <w:r>
        <w:rPr>
          <w:sz w:val="21"/>
          <w:color w:val="1F1F1F"/>
        </w:rPr>
        <w:t xml:space="preserve">), with zero external dependencies on centralized servers or IPFS.</w:t>
      </w:r>
    </w:p>
    <w:p>
      <w:pPr>
        <w:pBdr>
          <w:bottom w:val="single" w:sz="6" w:space="8" w:color="E5E7EB"/>
        </w:pBdr>
        <w:spacing w:before="200" w:after="200"/>
      </w:pPr>
    </w:p>
    <w:p>
      <w:pPr>
        <w:pStyle w:val="Heading1"/>
      </w:pPr>
      <w:r>
        <w:t>5. Execution Routing, Oracles &amp; Solvency Accounting</w:t>
      </w:r>
    </w:p>
    <w:p>
      <w:pPr>
        <w:pStyle w:val="Subtitle"/>
      </w:pPr>
      <w:r>
        <w:t>5.1 Dual-Liability Accounting System</w:t>
      </w:r>
    </w:p>
    <w:p>
      <w:r>
        <w:rPr>
          <w:sz w:val="22"/>
          <w:color w:val="0F5C46"/>
          <w:u w:val="single"/>
        </w:rPr>
        <w:t xml:space="preserve">`RewardDistributor.sol`</w:t>
      </w:r>
      <w:r>
        <w:rPr>
          <w:sz w:val="22"/>
          <w:color w:val="1F1F1F"/>
        </w:rPr>
        <w:t xml:space="preserve"> maintains two distinct accounting balance sheets:</w:t>
      </w:r>
    </w:p>
    <w:p>
      <w:pPr>
        <w:pStyle w:val="ListBullet"/>
      </w:pPr>
      <w:r>
        <w:rPr>
          <w:color w:val="0F5C46"/>
        </w:rPr>
        <w:t xml:space="preserve">•  </w:t>
      </w:r>
      <w:r>
        <w:rPr>
          <w:b/>
          <w:sz w:val="21"/>
          <w:szCs w:val="21"/>
          <w:color w:val="1F1F1F"/>
        </w:rPr>
        <w:t xml:space="preserve">Token Asset Liability (`liability[asset]`)</w:t>
      </w:r>
      <w:r>
        <w:rPr>
          <w:sz w:val="21"/>
          <w:color w:val="1F1F1F"/>
        </w:rPr>
        <w:t xml:space="preserve">: Measured in D18{tok}, tracking outstanding reward tokens acquired via market execution;</w:t>
      </w:r>
    </w:p>
    <w:p>
      <w:pPr>
        <w:pStyle w:val="ListBullet"/>
      </w:pPr>
      <w:r>
        <w:rPr>
          <w:color w:val="0F5C46"/>
        </w:rPr>
        <w:t xml:space="preserve">•  </w:t>
      </w:r>
      <w:r>
        <w:rPr>
          <w:b/>
          <w:sz w:val="21"/>
          <w:szCs w:val="21"/>
          <w:color w:val="1F1F1F"/>
        </w:rPr>
        <w:t xml:space="preserve">Fallback Quote Liability (`quoteLiability[asset]`)</w:t>
      </w:r>
      <w:r>
        <w:rPr>
          <w:sz w:val="21"/>
          <w:color w:val="1F1F1F"/>
        </w:rPr>
        <w:t xml:space="preserve">: Measured in D18{quote}, tracking unspent WBNB liabilities from fallback or native routing.</w:t>
      </w:r>
    </w:p>
    <w:p>
      <w:pPr>
        <w:pStyle w:val="Heading3"/>
      </w:pPr>
      <w:r>
        <w:t>Batch Pricing Formulation</w:t>
      </w:r>
    </w:p>
    <w:p>
      <w:r>
        <w:rPr>
          <w:sz w:val="22"/>
          <w:color w:val="1F1F1F"/>
        </w:rPr>
        <w:t xml:space="preserve">Upon successful market swap completion, the router executes </w:t>
      </w:r>
      <w:r>
        <w:rPr>
          <w:rFonts w:ascii="Menlo" w:hAnsi="Menlo"/>
          <w:sz w:val="20"/>
          <w:color w:val="1C2422"/>
          <w:shd w:val="clear" w:color="auto" w:fill="F3F4F6"/>
        </w:rPr>
        <w:t xml:space="preserve">finalize()</w:t>
      </w:r>
      <w:r>
        <w:rPr>
          <w:sz w:val="22"/>
          <w:color w:val="1F1F1F"/>
        </w:rPr>
        <w:t xml:space="preserve">:</w:t>
      </w:r>
    </w:p>
    <w:p>
      <w:pPr>
        <w:pStyle w:val="Equation"/>
      </w:pPr>
      <w:r>
        <w:rPr>
          <w:i/>
          <w:sz w:val="22"/>
          <w:color w:val="1C2422"/>
        </w:rPr>
        <w:t xml:space="preserve">\text{BatchRate} = \left\lfloor\frac{\text{TokensReceived} \cdot \text{RAY}}{\text{ClaimablePot}}\right\rfloor</w:t>
      </w:r>
    </w:p>
    <w:p>
      <w:r>
        <w:rPr>
          <w:sz w:val="22"/>
          <w:color w:val="1F1F1F"/>
        </w:rPr>
        <w:t xml:space="preserve">If an asset experiences prolonged illiquidity, price disruption, or swap timeout (</w:t>
      </w:r>
      <w:r>
        <w:rPr>
          <w:rFonts w:ascii="Menlo" w:hAnsi="Menlo"/>
          <w:sz w:val="20"/>
          <w:color w:val="1C2422"/>
          <w:shd w:val="clear" w:color="auto" w:fill="F3F4F6"/>
        </w:rPr>
        <w:t xml:space="preserve">pendingAge &gt; maxPendingAge</w:t>
      </w:r>
      <w:r>
        <w:rPr>
          <w:sz w:val="22"/>
          <w:color w:val="1F1F1F"/>
        </w:rPr>
        <w:t xml:space="preserve">, defaulting to 3 days), any user may trigger permissionless </w:t>
      </w:r>
      <w:r>
        <w:rPr>
          <w:rFonts w:ascii="Menlo" w:hAnsi="Menlo"/>
          <w:sz w:val="20"/>
          <w:color w:val="1C2422"/>
          <w:shd w:val="clear" w:color="auto" w:fill="F3F4F6"/>
        </w:rPr>
        <w:t xml:space="preserve">fallbackFinalize()</w:t>
      </w:r>
      <w:r>
        <w:rPr>
          <w:sz w:val="22"/>
          <w:color w:val="1F1F1F"/>
        </w:rPr>
        <w:t xml:space="preserve">. Gross spent quote is delivered one-for-one into quote liabilities redeemable as BNB. The per-claim batch rate still divides by the forfeiture-netted claimable pot, so it equals </w:t>
      </w:r>
      <w:r>
        <w:rPr>
          <w:rFonts w:ascii="Menlo" w:hAnsi="Menlo"/>
          <w:sz w:val="20"/>
          <w:color w:val="1C2422"/>
          <w:shd w:val="clear" w:color="auto" w:fill="F3F4F6"/>
        </w:rPr>
        <w:t xml:space="preserve">RAY</w:t>
      </w:r>
      <w:r>
        <w:rPr>
          <w:sz w:val="22"/>
          <w:color w:val="1F1F1F"/>
        </w:rPr>
        <w:t xml:space="preserve"> only when that range contains no forfeiture.</w:t>
      </w:r>
    </w:p>
    <w:p>
      <w:pPr>
        <w:pStyle w:val="Subtitle"/>
      </w:pPr>
      <w:r>
        <w:t>5.2 On-Chain TWAP Readers and Execution Bounds</w:t>
      </w:r>
    </w:p>
    <w:p>
      <w:r>
        <w:rPr>
          <w:sz w:val="22"/>
          <w:color w:val="1F1F1F"/>
        </w:rPr>
        <w:t xml:space="preserve">The protocol avoids a separate signed price-feed administrator, but still deploys custom oracle reader contracts and remains dependent on the liquidity and integrity of the underlying pools:</w:t>
      </w:r>
    </w:p>
    <w:p>
      <w:pPr>
        <w:pStyle w:val="ListBullet"/>
      </w:pPr>
      <w:r>
        <w:rPr>
          <w:b/>
          <w:color w:val="0F5C46"/>
        </w:rPr>
        <w:t xml:space="preserve">1.  </w:t>
      </w:r>
      <w:r>
        <w:rPr>
          <w:b/>
          <w:sz w:val="21"/>
          <w:szCs w:val="21"/>
          <w:color w:val="1F1F1F"/>
        </w:rPr>
        <w:t xml:space="preserve">FATCAT Graduation Pair</w:t>
      </w:r>
      <w:r>
        <w:rPr>
          <w:sz w:val="21"/>
          <w:color w:val="1F1F1F"/>
        </w:rPr>
        <w:t xml:space="preserve">: </w:t>
      </w:r>
      <w:r>
        <w:rPr>
          <w:sz w:val="21"/>
          <w:color w:val="0F5C46"/>
          <w:u w:val="single"/>
        </w:rPr>
        <w:t xml:space="preserve">`PancakeV2TwapOracle.sol`</w:t>
      </w:r>
      <w:r>
        <w:rPr>
          <w:sz w:val="21"/>
          <w:color w:val="1F1F1F"/>
        </w:rPr>
        <w:t xml:space="preserve"> reads PancakeSwap V2 cumulative prices (</w:t>
      </w:r>
      <w:r>
        <w:rPr>
          <w:rFonts w:ascii="Menlo" w:hAnsi="Menlo"/>
          <w:sz w:val="19"/>
          <w:color w:val="1C2422"/>
          <w:shd w:val="clear" w:color="auto" w:fill="F3F4F6"/>
        </w:rPr>
        <w:t xml:space="preserve">price0CumulativeLast</w:t>
      </w:r>
      <w:r>
        <w:rPr>
          <w:sz w:val="21"/>
          <w:color w:val="1F1F1F"/>
        </w:rPr>
        <w:t xml:space="preserve"> and </w:t>
      </w:r>
      <w:r>
        <w:rPr>
          <w:rFonts w:ascii="Menlo" w:hAnsi="Menlo"/>
          <w:sz w:val="19"/>
          <w:color w:val="1C2422"/>
          <w:shd w:val="clear" w:color="auto" w:fill="F3F4F6"/>
        </w:rPr>
        <w:t xml:space="preserve">price1CumulativeLast</w:t>
      </w:r>
      <w:r>
        <w:rPr>
          <w:sz w:val="21"/>
          <w:color w:val="1F1F1F"/>
        </w:rPr>
        <w:t xml:space="preserve">, UQ112x112·s) at separated timestamps and computes a TWAP;</w:t>
      </w:r>
    </w:p>
    <w:p>
      <w:pPr>
        <w:pStyle w:val="ListBullet"/>
      </w:pPr>
      <w:r>
        <w:rPr>
          <w:b/>
          <w:color w:val="0F5C46"/>
        </w:rPr>
        <w:t xml:space="preserve">2.  </w:t>
      </w:r>
      <w:r>
        <w:rPr>
          <w:b/>
          <w:sz w:val="21"/>
          <w:szCs w:val="21"/>
          <w:color w:val="1F1F1F"/>
        </w:rPr>
        <w:t xml:space="preserve">Tokenized Equities (bStocks)</w:t>
      </w:r>
      <w:r>
        <w:rPr>
          <w:sz w:val="21"/>
          <w:color w:val="1F1F1F"/>
        </w:rPr>
        <w:t xml:space="preserve">: </w:t>
      </w:r>
      <w:r>
        <w:rPr>
          <w:sz w:val="21"/>
          <w:color w:val="0F5C46"/>
          <w:u w:val="single"/>
        </w:rPr>
        <w:t xml:space="preserve">`PancakeV3TwoHopTwapOracle.sol`</w:t>
      </w:r>
      <w:r>
        <w:rPr>
          <w:sz w:val="21"/>
          <w:color w:val="1F1F1F"/>
        </w:rPr>
        <w:t xml:space="preserve"> applies time-weighted liquidity checks across the configured pools. These checks raise the cost of manipulation; they do not make manipulation impossible;</w:t>
      </w:r>
    </w:p>
    <w:p>
      <w:pPr>
        <w:pStyle w:val="ListBullet"/>
      </w:pPr>
      <w:r>
        <w:rPr>
          <w:b/>
          <w:color w:val="0F5C46"/>
        </w:rPr>
        <w:t xml:space="preserve">3.  </w:t>
      </w:r>
      <w:r>
        <w:rPr>
          <w:b/>
          <w:sz w:val="21"/>
          <w:szCs w:val="21"/>
          <w:color w:val="1F1F1F"/>
        </w:rPr>
        <w:t xml:space="preserve">Slippage Bounds</w:t>
      </w:r>
      <w:r>
        <w:rPr>
          <w:sz w:val="21"/>
          <w:color w:val="1F1F1F"/>
        </w:rPr>
        <w:t xml:space="preserve">: The router enforces an immutable protocol floor:</w:t>
      </w:r>
    </w:p>
    <w:p>
      <w:pPr>
        <w:pStyle w:val="Equation"/>
      </w:pPr>
      <w:r>
        <w:rPr>
          <w:i/>
          <w:sz w:val="22"/>
          <w:color w:val="1C2422"/>
        </w:rPr>
        <w:t xml:space="preserve">\text{protocolMinOut} = \left\lfloor\frac{\text{expectedOut} \cdot (10000 - \text{maxDeviationBps})}{10000}\right\rfloor</w:t>
      </w:r>
    </w:p>
    <w:p>
      <w:r>
        <w:rPr>
          <w:sz w:val="22"/>
          <w:color w:val="1F1F1F"/>
        </w:rPr>
        <w:t xml:space="preserve">Callers may tighten execution bounds, but can never loosen protocol thresholds.</w:t>
      </w:r>
    </w:p>
    <w:p>
      <w:pPr>
        <w:pStyle w:val="Subtitle"/>
      </w:pPr>
      <w:r>
        <w:t>5.3 Conservative Rounding and Tested Solvency Invariants</w:t>
      </w:r>
    </w:p>
    <w:p>
      <w:r>
        <w:rPr>
          <w:sz w:val="22"/>
          <w:color w:val="1F1F1F"/>
        </w:rPr>
        <w:t xml:space="preserve">In Solidity EVM integer arithmetic, the division operator </w:t>
      </w:r>
      <w:r>
        <w:rPr>
          <w:rFonts w:ascii="Menlo" w:hAnsi="Menlo"/>
          <w:sz w:val="20"/>
          <w:color w:val="1C2422"/>
          <w:shd w:val="clear" w:color="auto" w:fill="F3F4F6"/>
        </w:rPr>
        <w:t xml:space="preserve">/</w:t>
      </w:r>
      <w:r>
        <w:rPr>
          <w:sz w:val="22"/>
          <w:color w:val="1F1F1F"/>
        </w:rPr>
        <w:t xml:space="preserve"> strictly truncates toward zero:</w:t>
      </w:r>
    </w:p>
    <w:p>
      <w:pPr>
        <w:pStyle w:val="Equation"/>
      </w:pPr>
      <w:r>
        <w:rPr>
          <w:i/>
          <w:sz w:val="22"/>
          <w:color w:val="1C2422"/>
        </w:rPr>
        <w:t xml:space="preserve">\forall a, b \in \mathbb{N}^+, \quad \left\lfloor \frac{a}{b} \right\rfloor \le \frac{a}{b}</w:t>
      </w:r>
    </w:p>
    <w:p>
      <w:r>
        <w:rPr>
          <w:sz w:val="22"/>
          <w:color w:val="1F1F1F"/>
        </w:rPr>
        <w:t xml:space="preserve">For one batch, let </w:t>
      </w:r>
      <w:r>
        <w:rPr>
          <w:i/>
          <w:sz w:val="22"/>
          <w:color w:val="1C2422"/>
        </w:rPr>
        <w:t xml:space="preserve">R</w:t>
      </w:r>
      <w:r>
        <w:rPr>
          <w:sz w:val="22"/>
          <w:color w:val="1F1F1F"/>
        </w:rPr>
        <w:t xml:space="preserve"> be the acquired asset amount, </w:t>
      </w:r>
      <w:r>
        <w:rPr>
          <w:i/>
          <w:sz w:val="22"/>
          <w:color w:val="1C2422"/>
        </w:rPr>
        <w:t xml:space="preserve">S</w:t>
      </w:r>
      <w:r>
        <w:rPr>
          <w:sz w:val="22"/>
          <w:color w:val="1F1F1F"/>
        </w:rPr>
        <w:t xml:space="preserve"> its claimable quote pot, and </w:t>
      </w:r>
      <w:r>
        <w:rPr>
          <w:i/>
          <w:sz w:val="22"/>
          <w:color w:val="1C2422"/>
        </w:rPr>
        <w:t xml:space="preserve">x_i</w:t>
      </w:r>
      <w:r>
        <w:rPr>
          <w:sz w:val="22"/>
          <w:color w:val="1F1F1F"/>
        </w:rPr>
        <w:t xml:space="preserve"> each claimant's quote entitlement, with </w:t>
      </w:r>
      <w:r>
        <w:rPr>
          <w:i/>
          <w:sz w:val="22"/>
          <w:color w:val="1C2422"/>
        </w:rPr>
        <w:t xml:space="preserve">\sum_i x_i\le S</w:t>
      </w:r>
      <w:r>
        <w:rPr>
          <w:sz w:val="22"/>
          <w:color w:val="1F1F1F"/>
        </w:rPr>
        <w:t xml:space="preserve">. The scaled batch rate and claim are:</w:t>
      </w:r>
    </w:p>
    <w:p>
      <w:pPr>
        <w:pStyle w:val="Equation"/>
      </w:pPr>
      <w:r>
        <w:rPr>
          <w:i/>
          <w:sz w:val="22"/>
          <w:color w:val="1C2422"/>
        </w:rPr>
        <w:t xml:space="preserve">\text{Rate}=\left\lfloor\frac{R\cdot\text{RAY}}{S}\right\rfloor,\qquad r_i=\left\lfloor\frac{x_i\cdot\text{Rate}}{\text{RAY}}\right\rfloor</w:t>
      </w:r>
    </w:p>
    <w:p>
      <w:r>
        <w:rPr>
          <w:sz w:val="22"/>
          <w:color w:val="1F1F1F"/>
        </w:rPr>
        <w:t xml:space="preserve">Under these premises:</w:t>
      </w:r>
    </w:p>
    <w:p>
      <w:pPr>
        <w:pStyle w:val="Equation"/>
      </w:pPr>
      <w:r>
        <w:rPr>
          <w:i/>
          <w:sz w:val="22"/>
          <w:color w:val="1C2422"/>
        </w:rPr>
        <w:t xml:space="preserve">\sum_{i} r_i \le R</w:t>
      </w:r>
    </w:p>
    <w:p>
      <w:r>
        <w:rPr>
          <w:sz w:val="22"/>
          <w:color w:val="1F1F1F"/>
        </w:rPr>
        <w:t xml:space="preserve">This is the rounding direction required by the solvency design, but it is not sufficient on its own. Batch conservation, liability updates, exact token delivery and the supported-token assumptions must also hold. The implementation tests the resulting D1 invariants (</w:t>
      </w:r>
      <w:r>
        <w:rPr>
          <w:sz w:val="22"/>
          <w:color w:val="0F5C46"/>
          <w:u w:val="single"/>
        </w:rPr>
        <w:t xml:space="preserve">`contracts/doc/SECURITY_PROPERTIES.md`</w:t>
      </w:r>
      <w:r>
        <w:rPr>
          <w:sz w:val="22"/>
          <w:color w:val="1F1F1F"/>
        </w:rPr>
        <w:t xml:space="preserve">):</w:t>
      </w:r>
    </w:p>
    <w:p>
      <w:pPr>
        <w:pStyle w:val="ListBullet"/>
      </w:pPr>
      <w:r>
        <w:rPr>
          <w:color w:val="0F5C46"/>
        </w:rPr>
        <w:t xml:space="preserve">•  </w:t>
      </w:r>
      <w:r>
        <w:rPr>
          <w:sz w:val="21"/>
          <w:color w:val="1F1F1F"/>
        </w:rPr>
        <w:t xml:space="preserve"/>
      </w:r>
      <w:r>
        <w:rPr>
          <w:i/>
          <w:sz w:val="21"/>
          <w:color w:val="1C2422"/>
        </w:rPr>
        <w:t xml:space="preserve">\text{balanceOf}(\text{Distributor}, a) \ge \text{liability}[a]</w:t>
      </w:r>
      <w:r>
        <w:rPr>
          <w:sz w:val="21"/>
          <w:color w:val="1F1F1F"/>
        </w:rPr>
        <w:t xml:space="preserve"/>
      </w:r>
    </w:p>
    <w:p>
      <w:pPr>
        <w:pStyle w:val="ListBullet"/>
      </w:pPr>
      <w:r>
        <w:rPr>
          <w:color w:val="0F5C46"/>
        </w:rPr>
        <w:t xml:space="preserve">•  </w:t>
      </w:r>
      <w:r>
        <w:rPr>
          <w:sz w:val="21"/>
          <w:color w:val="1F1F1F"/>
        </w:rPr>
        <w:t xml:space="preserve"/>
      </w:r>
      <w:r>
        <w:rPr>
          <w:i/>
          <w:sz w:val="21"/>
          <w:color w:val="1C2422"/>
        </w:rPr>
        <w:t xml:space="preserve">\text{balanceOf}(\text{Distributor}, \text{quote}) \ge \sum_a \text{quoteLiability}[a]</w:t>
      </w:r>
      <w:r>
        <w:rPr>
          <w:sz w:val="21"/>
          <w:color w:val="1F1F1F"/>
        </w:rPr>
        <w:t xml:space="preserve"/>
      </w:r>
    </w:p>
    <w:p>
      <w:r>
        <w:rPr>
          <w:sz w:val="22"/>
          <w:color w:val="1F1F1F"/>
        </w:rPr>
        <w:t xml:space="preserve">Within the supported exact-delivery token model, the implementation is designed and invariant-tested so physical reserves remain greater than or equal to recorded liabilities. Some conservation and mixed-rounding claims remain documented assumptions or focused-test properties rather than formal proofs; the test status table is the controlling statement of coverage.</w:t>
      </w:r>
    </w:p>
    <w:p>
      <w:r>
        <w:rPr>
          <w:sz w:val="22"/>
          <w:color w:val="1F1F1F"/>
        </w:rPr>
        <w:t xml:space="preserve">Furthermore, </w:t>
      </w:r>
      <w:r>
        <w:rPr>
          <w:sz w:val="22"/>
          <w:color w:val="0F5C46"/>
          <w:u w:val="single"/>
        </w:rPr>
        <w:t xml:space="preserve">`RewardDistributor.claimNative()`</w:t>
      </w:r>
      <w:r>
        <w:rPr>
          <w:sz w:val="22"/>
          <w:color w:val="1F1F1F"/>
        </w:rPr>
        <w:t xml:space="preserve"> provides automatic native unwrapping, preserving internal WBNB accounting consistency while eliminating unwrapping friction for retail users.</w:t>
      </w:r>
    </w:p>
    <w:p>
      <w:pPr>
        <w:pBdr>
          <w:bottom w:val="single" w:sz="6" w:space="8" w:color="E5E7EB"/>
        </w:pBdr>
        <w:spacing w:before="200" w:after="200"/>
      </w:pPr>
    </w:p>
    <w:p>
      <w:pPr>
        <w:pStyle w:val="Heading1"/>
      </w:pPr>
      <w:r>
        <w:t>6. Trust Boundaries &amp; External Dependencies</w:t>
      </w:r>
    </w:p>
    <w:p>
      <w:pPr>
        <w:pStyle w:val="Subtitle"/>
      </w:pPr>
      <w:r>
        <w:t>6.1 Restricted-Authority Vault Architecture (No Admin Withdrawal, Sweep, or Rescue)</w:t>
      </w:r>
    </w:p>
    <w:p>
      <w:pPr>
        <w:pStyle w:val="ListBullet"/>
      </w:pPr>
      <w:r>
        <w:rPr>
          <w:b/>
          <w:color w:val="0F5C46"/>
        </w:rPr>
        <w:t xml:space="preserve">1.  </w:t>
      </w:r>
      <w:r>
        <w:rPr>
          <w:b/>
          <w:sz w:val="21"/>
          <w:szCs w:val="21"/>
          <w:color w:val="1F1F1F"/>
        </w:rPr>
        <w:t xml:space="preserve">The Belly</w:t>
      </w:r>
      <w:r>
        <w:rPr>
          <w:sz w:val="21"/>
          <w:color w:val="1F1F1F"/>
        </w:rPr>
        <w:t xml:space="preserve">: Has immutable governor and guardian roles, with governance multi-sig fulfilled by an independent 2-of-3 Gnosis Safe. Either may pause outflow; only the governor may unpause and complete the one-time delayed spender activation; the operations multi-sig (Ops Safe) purely receives the fixed 5/36 operational revenue stream atomically, possessing zero protocol administrative privileges. Neither role has an administrative withdrawal, sweep, rescue, or spender-replacement path. After activation, only the immutable </w:t>
      </w:r>
      <w:r>
        <w:rPr>
          <w:sz w:val="21"/>
          <w:color w:val="0F5C46"/>
          <w:u w:val="single"/>
        </w:rPr>
        <w:t xml:space="preserve">`ExecutionRouter.sol`</w:t>
      </w:r>
      <w:r>
        <w:rPr>
          <w:sz w:val="21"/>
          <w:color w:val="1F1F1F"/>
        </w:rPr>
        <w:t xml:space="preserve"> spender may pull funds within the window allowance;</w:t>
      </w:r>
    </w:p>
    <w:p>
      <w:pPr>
        <w:pStyle w:val="ListBullet"/>
      </w:pPr>
      <w:r>
        <w:rPr>
          <w:b/>
          <w:color w:val="0F5C46"/>
        </w:rPr>
        <w:t xml:space="preserve">2.  </w:t>
      </w:r>
      <w:r>
        <w:rPr>
          <w:b/>
          <w:sz w:val="21"/>
          <w:szCs w:val="21"/>
          <w:color w:val="1F1F1F"/>
        </w:rPr>
        <w:t xml:space="preserve">StakingVault</w:t>
      </w:r>
      <w:r>
        <w:rPr>
          <w:sz w:val="21"/>
          <w:color w:val="1F1F1F"/>
        </w:rPr>
        <w:t xml:space="preserve">: The principal redemption function </w:t>
      </w:r>
      <w:r>
        <w:rPr>
          <w:rFonts w:ascii="Menlo" w:hAnsi="Menlo"/>
          <w:sz w:val="19"/>
          <w:color w:val="1C2422"/>
          <w:shd w:val="clear" w:color="auto" w:fill="F3F4F6"/>
        </w:rPr>
        <w:t xml:space="preserve">redeem()</w:t>
      </w:r>
      <w:r>
        <w:rPr>
          <w:sz w:val="21"/>
          <w:color w:val="1F1F1F"/>
        </w:rPr>
        <w:t xml:space="preserve"> deliberately ignores </w:t>
      </w:r>
      <w:r>
        <w:rPr>
          <w:rFonts w:ascii="Menlo" w:hAnsi="Menlo"/>
          <w:sz w:val="19"/>
          <w:color w:val="1C2422"/>
          <w:shd w:val="clear" w:color="auto" w:fill="F3F4F6"/>
        </w:rPr>
        <w:t xml:space="preserve">paused</w:t>
      </w:r>
      <w:r>
        <w:rPr>
          <w:sz w:val="21"/>
          <w:color w:val="1F1F1F"/>
        </w:rPr>
        <w:t xml:space="preserve">. Its pause gates new stakes only; it does not stop </w:t>
      </w:r>
      <w:r>
        <w:rPr>
          <w:rFonts w:ascii="Menlo" w:hAnsi="Menlo"/>
          <w:sz w:val="19"/>
          <w:color w:val="1C2422"/>
          <w:shd w:val="clear" w:color="auto" w:fill="F3F4F6"/>
        </w:rPr>
        <w:t xml:space="preserve">setDiet</w:t>
      </w:r>
      <w:r>
        <w:rPr>
          <w:sz w:val="21"/>
          <w:color w:val="1F1F1F"/>
        </w:rPr>
        <w:t xml:space="preserve"> or permissionless clock advances in </w:t>
      </w:r>
      <w:r>
        <w:rPr>
          <w:rFonts w:ascii="Menlo" w:hAnsi="Menlo"/>
          <w:sz w:val="19"/>
          <w:color w:val="1C2422"/>
          <w:shd w:val="clear" w:color="auto" w:fill="F3F4F6"/>
        </w:rPr>
        <w:t xml:space="preserve">IntervalController</w:t>
      </w:r>
      <w:r>
        <w:rPr>
          <w:sz w:val="21"/>
          <w:color w:val="1F1F1F"/>
        </w:rPr>
        <w:t xml:space="preserve">, and it cannot obstruct principal withdrawal.</w:t>
      </w:r>
    </w:p>
    <w:p>
      <w:pPr>
        <w:pStyle w:val="Subtitle"/>
      </w:pPr>
      <w:r>
        <w:t>6.2 External Tax Processor Ownership and Operational Watcher</w:t>
      </w:r>
    </w:p>
    <w:p>
      <w:pPr>
        <w:pStyle w:val="ListBullet"/>
      </w:pPr>
      <w:r>
        <w:rPr>
          <w:color w:val="0F5C46"/>
        </w:rPr>
        <w:t xml:space="preserve">•  </w:t>
      </w:r>
      <w:r>
        <w:rPr>
          <w:b/>
          <w:sz w:val="21"/>
          <w:szCs w:val="21"/>
          <w:color w:val="1F1F1F"/>
        </w:rPr>
        <w:t xml:space="preserve">Boundary Constraint</w:t>
      </w:r>
      <w:r>
        <w:rPr>
          <w:sz w:val="21"/>
          <w:color w:val="1F1F1F"/>
        </w:rPr>
        <w:t xml:space="preserve">: On BNB Chain, the separate transaction-tax processor remains owned by the Flap factory system after token graduation and retains mutable routing authority. The FATCAT token clone's implementation pointer is a distinct, immutable property. According to verified on-chain code, the tax is effective for 100 years post-graduation (after which trading becomes permanently tax-free), and after a 1-year anti-farmer period taxes only the primary liquidity pool;</w:t>
      </w:r>
    </w:p>
    <w:p>
      <w:pPr>
        <w:pStyle w:val="ListBullet"/>
      </w:pPr>
      <w:r>
        <w:rPr>
          <w:color w:val="0F5C46"/>
        </w:rPr>
        <w:t xml:space="preserve">•  </w:t>
      </w:r>
      <w:r>
        <w:rPr>
          <w:b/>
          <w:sz w:val="21"/>
          <w:szCs w:val="21"/>
          <w:color w:val="1F1F1F"/>
        </w:rPr>
        <w:t xml:space="preserve">Operational Detection</w:t>
      </w:r>
      <w:r>
        <w:rPr>
          <w:sz w:val="21"/>
          <w:color w:val="1F1F1F"/>
        </w:rPr>
        <w:t xml:space="preserve">: The protocol includes </w:t>
      </w:r>
      <w:r>
        <w:rPr>
          <w:sz w:val="21"/>
          <w:color w:val="0F5C46"/>
          <w:u w:val="single"/>
        </w:rPr>
        <w:t xml:space="preserve">`watch-processor.sh`</w:t>
      </w:r>
      <w:r>
        <w:rPr>
          <w:sz w:val="21"/>
          <w:color w:val="1F1F1F"/>
        </w:rPr>
        <w:t xml:space="preserve"> to poll eight routing-related read-only functions (recipient addresses, fee allocations, factory pointers, and router binding). Detection latency and availability depend on the external monitor, RPC and notification infrastructure; the contract does not guarantee 24/7 or first-block alerting;</w:t>
      </w:r>
    </w:p>
    <w:p>
      <w:pPr>
        <w:pStyle w:val="ListBullet"/>
      </w:pPr>
      <w:r>
        <w:rPr>
          <w:color w:val="0F5C46"/>
        </w:rPr>
        <w:t xml:space="preserve">•  </w:t>
      </w:r>
      <w:r>
        <w:rPr>
          <w:b/>
          <w:sz w:val="21"/>
          <w:szCs w:val="21"/>
          <w:color w:val="1F1F1F"/>
        </w:rPr>
        <w:t xml:space="preserve">Risk Partitioning</w:t>
      </w:r>
      <w:r>
        <w:rPr>
          <w:sz w:val="21"/>
          <w:color w:val="1F1F1F"/>
        </w:rPr>
        <w:t xml:space="preserve">: Flap's routing authority grants no withdrawal path into the staking vault, so the direct custody exposure is future fee inflow rather than recorded principal. Upstream changes can still affect trading economics and future rewards.</w:t>
      </w:r>
    </w:p>
    <w:p>
      <w:pPr>
        <w:pStyle w:val="Subtitle"/>
      </w:pPr>
      <w:r>
        <w:t>6.3 Default Asset Alignment &amp; Real-World Asset (RWA) Risk Segregation</w:t>
      </w:r>
    </w:p>
    <w:p>
      <w:r>
        <w:rPr>
          <w:sz w:val="22"/>
          <w:color w:val="1F1F1F"/>
        </w:rPr>
        <w:t xml:space="preserve">Within the multi-asset menu:</w:t>
      </w:r>
    </w:p>
    <w:p>
      <w:pPr>
        <w:pStyle w:val="ListBullet"/>
      </w:pPr>
      <w:r>
        <w:rPr>
          <w:b/>
          <w:color w:val="0F5C46"/>
        </w:rPr>
        <w:t xml:space="preserve">1.  </w:t>
      </w:r>
      <w:r>
        <w:rPr>
          <w:b/>
          <w:sz w:val="21"/>
          <w:szCs w:val="21"/>
          <w:color w:val="1F1F1F"/>
        </w:rPr>
        <w:t xml:space="preserve">BNB as the Invariant Default &amp; Fallback Diet</w:t>
      </w:r>
      <w:r>
        <w:rPr>
          <w:sz w:val="21"/>
          <w:color w:val="1F1F1F"/>
        </w:rPr>
        <w:t xml:space="preserve">:</w:t>
      </w:r>
    </w:p>
    <w:p>
      <w:r>
        <w:rPr>
          <w:sz w:val="22"/>
          <w:color w:val="1F1F1F"/>
        </w:rPr>
        <w:t xml:space="preserve">In </w:t>
      </w:r>
      <w:r>
        <w:rPr>
          <w:sz w:val="22"/>
          <w:color w:val="0F5C46"/>
          <w:u w:val="single"/>
        </w:rPr>
        <w:t xml:space="preserve">`SeniorityLedger.sol`</w:t>
      </w:r>
      <w:r>
        <w:rPr>
          <w:sz w:val="22"/>
          <w:color w:val="1F1F1F"/>
        </w:rPr>
        <w:t xml:space="preserve"> and </w:t>
      </w:r>
      <w:r>
        <w:rPr>
          <w:sz w:val="22"/>
          <w:color w:val="0F5C46"/>
          <w:u w:val="single"/>
        </w:rPr>
        <w:t xml:space="preserve">`RewardAssetRegistry.sol`</w:t>
      </w:r>
      <w:r>
        <w:rPr>
          <w:sz w:val="22"/>
          <w:color w:val="1F1F1F"/>
        </w:rPr>
        <w:t xml:space="preserve">, </w:t>
      </w:r>
      <w:r>
        <w:rPr>
          <w:rFonts w:ascii="Menlo" w:hAnsi="Menlo"/>
          <w:sz w:val="20"/>
          <w:color w:val="1C2422"/>
          <w:shd w:val="clear" w:color="auto" w:fill="F3F4F6"/>
        </w:rPr>
        <w:t xml:space="preserve">defaultAsset</w:t>
      </w:r>
      <w:r>
        <w:rPr>
          <w:sz w:val="22"/>
          <w:color w:val="1F1F1F"/>
        </w:rPr>
        <w:t xml:space="preserve"> and </w:t>
      </w:r>
      <w:r>
        <w:rPr>
          <w:rFonts w:ascii="Menlo" w:hAnsi="Menlo"/>
          <w:sz w:val="20"/>
          <w:color w:val="1C2422"/>
          <w:shd w:val="clear" w:color="auto" w:fill="F3F4F6"/>
        </w:rPr>
        <w:t xml:space="preserve">fallbackAsset</w:t>
      </w:r>
      <w:r>
        <w:rPr>
          <w:sz w:val="22"/>
          <w:color w:val="1F1F1F"/>
        </w:rPr>
        <w:t xml:space="preserve"> are immutably designated as canonical network WBNB. This identity route avoids an additional market trade and the RWA issuer/custodian exposure carried by bStocks; ordinary smart-contract and BNB Chain risks remain;</w:t>
      </w:r>
    </w:p>
    <w:p>
      <w:pPr>
        <w:pStyle w:val="ListBullet"/>
      </w:pPr>
      <w:r>
        <w:rPr>
          <w:b/>
          <w:color w:val="0F5C46"/>
        </w:rPr>
        <w:t xml:space="preserve">2.  </w:t>
      </w:r>
      <w:r>
        <w:rPr>
          <w:b/>
          <w:sz w:val="21"/>
          <w:szCs w:val="21"/>
          <w:color w:val="1F1F1F"/>
        </w:rPr>
        <w:t xml:space="preserve">Tokenized Equity (bStock) Credit Isolation</w:t>
      </w:r>
      <w:r>
        <w:rPr>
          <w:sz w:val="21"/>
          <w:color w:val="1F1F1F"/>
        </w:rPr>
        <w:t xml:space="preserve">:</w:t>
      </w:r>
    </w:p>
    <w:p>
      <w:r>
        <w:rPr>
          <w:sz w:val="22"/>
          <w:color w:val="1F1F1F"/>
        </w:rPr>
        <w:t xml:space="preserve">Tokenized real-world assets carry institutional custodial and upgrade risk. The protocol limits, rather than eliminates, this exposure with a 5% probation allocation cap. A stuck pot can be settled in quote through permissionless fallback; no bStock is liquidated by that fallback path;</w:t>
      </w:r>
    </w:p>
    <w:p>
      <w:pPr>
        <w:pStyle w:val="ListBullet"/>
      </w:pPr>
      <w:r>
        <w:rPr>
          <w:b/>
          <w:color w:val="0F5C46"/>
        </w:rPr>
        <w:t xml:space="preserve">3.  </w:t>
      </w:r>
      <w:r>
        <w:rPr>
          <w:b/>
          <w:sz w:val="21"/>
          <w:szCs w:val="21"/>
          <w:color w:val="1F1F1F"/>
        </w:rPr>
        <w:t xml:space="preserve">Post-Graduation FATCAT Listing</w:t>
      </w:r>
      <w:r>
        <w:rPr>
          <w:sz w:val="21"/>
          <w:color w:val="1F1F1F"/>
        </w:rPr>
        <w:t xml:space="preserve">:</w:t>
      </w:r>
    </w:p>
    <w:p>
      <w:r>
        <w:rPr>
          <w:sz w:val="22"/>
          <w:color w:val="1F1F1F"/>
        </w:rPr>
        <w:t xml:space="preserve">FATCAT initiates on the Flap bonding curve without external AMM liquidity. Only after AMM graduation, route verification and oracle initialization may governance add FATCAT through the standard 3-day timelock; listing is not automatic.</w:t>
      </w:r>
    </w:p>
    <w:p>
      <w:pPr>
        <w:pStyle w:val="Subtitle"/>
      </w:pPr>
      <w:r>
        <w:t>6.4 Genesis Launch Sequence &amp; Two Independent Seven-Day Gates</w:t>
      </w:r>
    </w:p>
    <w:p>
      <w:r>
        <w:rPr>
          <w:sz w:val="22"/>
          <w:color w:val="1F1F1F"/>
        </w:rPr>
        <w:t xml:space="preserve">Tax collection, staking deployment and staking opening are separate events. The one-time staking opening—not deployment or graduation—starts the seven-day reward clock:</w:t>
      </w:r>
    </w:p>
    <w:p>
      <w:pPr>
        <w:pStyle w:val="CodeBlock"/>
      </w:pPr>
      <w:r>
        <w:rPr>
          <w:rFonts w:ascii="Menlo" w:hAnsi="Menlo"/>
          <w:sz w:val="18"/>
          <w:color w:val="1C2422"/>
        </w:rPr>
        <w:t xml:space="preserve">[ Flap token launch ] ──► [ Tax flows to Belly; staking graph may deploy CLOSED ]
                                  │
                 Governor opens early OR anyone opens after graduation
                                  ▼
                       [ Staking deposits open ]
                                  │ exactly 7 days: allocation = 0
                                  ▼
                   [ Day 8: reward time eligible ]
                                  │ later interval advance + route settlement
                                  ▼
                       [ Claimable rewards ]
Separate gate: Belly Spender proposal → 7-day timelock → Governor activation.</w:t>
      </w:r>
    </w:p>
    <w:p>
      <w:pPr>
        <w:pStyle w:val="ListBullet"/>
      </w:pPr>
      <w:r>
        <w:rPr>
          <w:b/>
          <w:color w:val="0F5C46"/>
        </w:rPr>
        <w:t xml:space="preserve">1.  </w:t>
      </w:r>
      <w:r>
        <w:rPr>
          <w:b/>
          <w:sz w:val="21"/>
          <w:szCs w:val="21"/>
          <w:color w:val="1F1F1F"/>
        </w:rPr>
        <w:t xml:space="preserve">Token Launch &amp; Tax Collection</w:t>
      </w:r>
      <w:r>
        <w:rPr>
          <w:sz w:val="21"/>
          <w:color w:val="1F1F1F"/>
        </w:rPr>
        <w:t xml:space="preserve">: FATCAT begins trading on Flap's bonding curve. Its forwarding vault routes creator revenue to The Belly independently of whether staking contracts exist or accept deposits. Flap may later graduate liquidity to PancakeSwap V2; post-graduation tax continues;</w:t>
      </w:r>
    </w:p>
    <w:p>
      <w:pPr>
        <w:pStyle w:val="ListBullet"/>
      </w:pPr>
      <w:r>
        <w:rPr>
          <w:b/>
          <w:color w:val="0F5C46"/>
        </w:rPr>
        <w:t xml:space="preserve">2.  </w:t>
      </w:r>
      <w:r>
        <w:rPr>
          <w:b/>
          <w:sz w:val="21"/>
          <w:szCs w:val="21"/>
          <w:color w:val="1F1F1F"/>
        </w:rPr>
        <w:t xml:space="preserve">Closed Staking Deployment</w:t>
      </w:r>
      <w:r>
        <w:rPr>
          <w:sz w:val="21"/>
          <w:color w:val="1F1F1F"/>
        </w:rPr>
        <w:t xml:space="preserve">: After token launch and initial reward-route review, the production staking graph may deploy before graduation. It accepts Flap states 0–4 but starts with deposits and interval advances disabled, </w:t>
      </w:r>
      <w:r>
        <w:rPr>
          <w:rFonts w:ascii="Menlo" w:hAnsi="Menlo"/>
          <w:sz w:val="19"/>
          <w:color w:val="1C2422"/>
          <w:shd w:val="clear" w:color="auto" w:fill="F3F4F6"/>
        </w:rPr>
        <w:t xml:space="preserve">stakingOpenedAt = rewardStartAt = 0</w:t>
      </w:r>
      <w:r>
        <w:rPr>
          <w:sz w:val="21"/>
          <w:color w:val="1F1F1F"/>
        </w:rPr>
        <w:t xml:space="preserve">;</w:t>
      </w:r>
    </w:p>
    <w:p>
      <w:pPr>
        <w:pStyle w:val="ListBullet"/>
      </w:pPr>
      <w:r>
        <w:rPr>
          <w:b/>
          <w:color w:val="0F5C46"/>
        </w:rPr>
        <w:t xml:space="preserve">3.  </w:t>
      </w:r>
      <w:r>
        <w:rPr>
          <w:b/>
          <w:sz w:val="21"/>
          <w:szCs w:val="21"/>
          <w:color w:val="1F1F1F"/>
        </w:rPr>
        <w:t xml:space="preserve">One-Time Staking Opening</w:t>
      </w:r>
      <w:r>
        <w:rPr>
          <w:sz w:val="21"/>
          <w:color w:val="1F1F1F"/>
        </w:rPr>
        <w:t xml:space="preserve">: Before graduation only Governor may call </w:t>
      </w:r>
      <w:r>
        <w:rPr>
          <w:rFonts w:ascii="Menlo" w:hAnsi="Menlo"/>
          <w:sz w:val="19"/>
          <w:color w:val="1C2422"/>
          <w:shd w:val="clear" w:color="auto" w:fill="F3F4F6"/>
        </w:rPr>
        <w:t xml:space="preserve">vault.openStaking()</w:t>
      </w:r>
      <w:r>
        <w:rPr>
          <w:sz w:val="21"/>
          <w:color w:val="1F1F1F"/>
        </w:rPr>
        <w:t xml:space="preserve">; once Flap </w:t>
      </w:r>
      <w:r>
        <w:rPr>
          <w:rFonts w:ascii="Menlo" w:hAnsi="Menlo"/>
          <w:sz w:val="19"/>
          <w:color w:val="1C2422"/>
          <w:shd w:val="clear" w:color="auto" w:fill="F3F4F6"/>
        </w:rPr>
        <w:t xml:space="preserve">state()</w:t>
      </w:r>
      <w:r>
        <w:rPr>
          <w:sz w:val="21"/>
          <w:color w:val="1F1F1F"/>
        </w:rPr>
        <w:t xml:space="preserve"> is 2–4, anyone may trigger it if still closed. This transaction opens deposits and fixes </w:t>
      </w:r>
      <w:r>
        <w:rPr>
          <w:rFonts w:ascii="Menlo" w:hAnsi="Menlo"/>
          <w:sz w:val="19"/>
          <w:color w:val="1C2422"/>
          <w:shd w:val="clear" w:color="auto" w:fill="F3F4F6"/>
        </w:rPr>
        <w:t xml:space="preserve">rewardStartAt = stakingOpenedAt + 7 days</w:t>
      </w:r>
      <w:r>
        <w:rPr>
          <w:sz w:val="21"/>
          <w:color w:val="1F1F1F"/>
        </w:rPr>
        <w:t xml:space="preserve">. An intentionally early opening can place day eight before Flap graduation. FATCAT as a reward asset still requires graduation, route verification and oracle warm-up;</w:t>
      </w:r>
    </w:p>
    <w:p>
      <w:pPr>
        <w:pStyle w:val="ListBullet"/>
      </w:pPr>
      <w:r>
        <w:rPr>
          <w:b/>
          <w:color w:val="0F5C46"/>
        </w:rPr>
        <w:t xml:space="preserve">4.  </w:t>
      </w:r>
      <w:r>
        <w:rPr>
          <w:b/>
          <w:sz w:val="21"/>
          <w:szCs w:val="21"/>
          <w:color w:val="1F1F1F"/>
        </w:rPr>
        <w:t xml:space="preserve">Two Independent Seven-Day Gates</w:t>
      </w:r>
      <w:r>
        <w:rPr>
          <w:sz w:val="21"/>
          <w:color w:val="1F1F1F"/>
        </w:rPr>
        <w:t xml:space="preserve">: The first seven full days after staking opens accumulate seniority and tax reserves but allocate zero rewards, without later back-pay. Governance separately proposes </w:t>
      </w:r>
      <w:r>
        <w:rPr>
          <w:rFonts w:ascii="Menlo" w:hAnsi="Menlo"/>
          <w:sz w:val="19"/>
          <w:color w:val="1C2422"/>
          <w:shd w:val="clear" w:color="auto" w:fill="F3F4F6"/>
        </w:rPr>
        <w:t xml:space="preserve">ExecutionRouter</w:t>
      </w:r>
      <w:r>
        <w:rPr>
          <w:sz w:val="21"/>
          <w:color w:val="1F1F1F"/>
        </w:rPr>
        <w:t xml:space="preserve"> as Belly Spender; its own seven-day timelock begins at proposal, not staking opening, and activation may occur later;</w:t>
      </w:r>
    </w:p>
    <w:p>
      <w:pPr>
        <w:pStyle w:val="ListBullet"/>
      </w:pPr>
      <w:r>
        <w:rPr>
          <w:b/>
          <w:color w:val="0F5C46"/>
        </w:rPr>
        <w:t xml:space="preserve">5.  </w:t>
      </w:r>
      <w:r>
        <w:rPr>
          <w:b/>
          <w:sz w:val="21"/>
          <w:szCs w:val="21"/>
          <w:color w:val="1F1F1F"/>
        </w:rPr>
        <w:t xml:space="preserve">Settlement &amp; Claimable Rewards</w:t>
      </w:r>
      <w:r>
        <w:rPr>
          <w:sz w:val="21"/>
          <w:color w:val="1F1F1F"/>
        </w:rPr>
        <w:t xml:space="preserve">: Reaching </w:t>
      </w:r>
      <w:r>
        <w:rPr>
          <w:rFonts w:ascii="Menlo" w:hAnsi="Menlo"/>
          <w:sz w:val="19"/>
          <w:color w:val="1C2422"/>
          <w:shd w:val="clear" w:color="auto" w:fill="F3F4F6"/>
        </w:rPr>
        <w:t xml:space="preserve">rewardStartAt</w:t>
      </w:r>
      <w:r>
        <w:rPr>
          <w:sz w:val="21"/>
          <w:color w:val="1F1F1F"/>
        </w:rPr>
        <w:t xml:space="preserve"> automatically changes reward eligibility, but cannot send a transaction or guarantee a payout at that instant. The first claimable reward requires a later </w:t>
      </w:r>
      <w:r>
        <w:rPr>
          <w:rFonts w:ascii="Menlo" w:hAnsi="Menlo"/>
          <w:sz w:val="19"/>
          <w:color w:val="1C2422"/>
          <w:shd w:val="clear" w:color="auto" w:fill="F3F4F6"/>
        </w:rPr>
        <w:t xml:space="preserve">advance()</w:t>
      </w:r>
      <w:r>
        <w:rPr>
          <w:sz w:val="21"/>
          <w:color w:val="1F1F1F"/>
        </w:rPr>
        <w:t xml:space="preserve"> closing an interval with eligible time, an activated Belly Spender, and route execution or fallback settlement. Keeper operation targets prompt settlement, not second-exact block inclusion.</w:t>
      </w:r>
    </w:p>
    <w:p>
      <w:pPr>
        <w:pBdr>
          <w:bottom w:val="single" w:sz="6" w:space="8" w:color="E5E7EB"/>
        </w:pBdr>
        <w:spacing w:before="200" w:after="200"/>
      </w:pPr>
    </w:p>
    <w:p>
      <w:pPr>
        <w:pStyle w:val="Heading1"/>
      </w:pPr>
      <w:r>
        <w:t>7. Testing, Verification &amp; Non-Goals</w:t>
      </w:r>
    </w:p>
    <w:p>
      <w:pPr>
        <w:pStyle w:val="Subtitle"/>
      </w:pPr>
      <w:r>
        <w:t>7.1 Reproducible Test Evidence</w:t>
      </w:r>
    </w:p>
    <w:p>
      <w:r>
        <w:rPr>
          <w:sz w:val="22"/>
          <w:color w:val="1F1F1F"/>
        </w:rPr>
        <w:t xml:space="preserve">The repository records multiple adversarial and operational review rounds. Test totals are revision- and endpoint-dependent and must be published with a commit, command and evidence artifact rather than as timeless protocol constants. The local non-fork suite (</w:t>
      </w:r>
      <w:r>
        <w:rPr>
          <w:rFonts w:ascii="Menlo" w:hAnsi="Menlo"/>
          <w:sz w:val="20"/>
          <w:color w:val="1C2422"/>
          <w:shd w:val="clear" w:color="auto" w:fill="F3F4F6"/>
        </w:rPr>
        <w:t xml:space="preserve">FOUNDRY_PROFILE=local forge test</w:t>
      </w:r>
      <w:r>
        <w:rPr>
          <w:sz w:val="22"/>
          <w:color w:val="1F1F1F"/>
        </w:rPr>
        <w:t xml:space="preserve">) passes; mainnet-fork results are evidence only for the pinned block and RPC used by that run.</w:t>
      </w:r>
    </w:p>
    <w:p>
      <w:r>
        <w:rPr>
          <w:sz w:val="22"/>
          <w:color w:val="1F1F1F"/>
        </w:rPr>
        <w:t xml:space="preserve">Foundry fuzzing/invariants and Echidna are property-based testing, not formal verification. The authoritative property matrix is </w:t>
      </w:r>
      <w:r>
        <w:rPr>
          <w:sz w:val="22"/>
          <w:color w:val="0F5C46"/>
          <w:u w:val="single"/>
        </w:rPr>
        <w:t xml:space="preserve">`contracts/doc/SECURITY_PROPERTIES.md`</w:t>
      </w:r>
      <w:r>
        <w:rPr>
          <w:sz w:val="22"/>
          <w:color w:val="1F1F1F"/>
        </w:rPr>
        <w:t xml:space="preserve">: </w:t>
      </w:r>
      <w:r>
        <w:rPr>
          <w:rFonts w:ascii="Menlo" w:hAnsi="Menlo"/>
          <w:sz w:val="20"/>
          <w:color w:val="1C2422"/>
          <w:shd w:val="clear" w:color="auto" w:fill="F3F4F6"/>
        </w:rPr>
        <w:t xml:space="preserve">[F]</w:t>
      </w:r>
      <w:r>
        <w:rPr>
          <w:sz w:val="22"/>
          <w:color w:val="1F1F1F"/>
        </w:rPr>
        <w:t xml:space="preserve"> means encoded in a stateful property harness, </w:t>
      </w:r>
      <w:r>
        <w:rPr>
          <w:rFonts w:ascii="Menlo" w:hAnsi="Menlo"/>
          <w:sz w:val="20"/>
          <w:color w:val="1C2422"/>
          <w:shd w:val="clear" w:color="auto" w:fill="F3F4F6"/>
        </w:rPr>
        <w:t xml:space="preserve">[T]</w:t>
      </w:r>
      <w:r>
        <w:rPr>
          <w:sz w:val="22"/>
          <w:color w:val="1F1F1F"/>
        </w:rPr>
        <w:t xml:space="preserve"> focused tests, </w:t>
      </w:r>
      <w:r>
        <w:rPr>
          <w:rFonts w:ascii="Menlo" w:hAnsi="Menlo"/>
          <w:sz w:val="20"/>
          <w:color w:val="1C2422"/>
          <w:shd w:val="clear" w:color="auto" w:fill="F3F4F6"/>
        </w:rPr>
        <w:t xml:space="preserve">[D]</w:t>
      </w:r>
      <w:r>
        <w:rPr>
          <w:sz w:val="22"/>
          <w:color w:val="1F1F1F"/>
        </w:rPr>
        <w:t xml:space="preserve"> documented only, and </w:t>
      </w:r>
      <w:r>
        <w:rPr>
          <w:rFonts w:ascii="Menlo" w:hAnsi="Menlo"/>
          <w:sz w:val="20"/>
          <w:color w:val="1C2422"/>
          <w:shd w:val="clear" w:color="auto" w:fill="F3F4F6"/>
        </w:rPr>
        <w:t xml:space="preserve">[U]</w:t>
      </w:r>
      <w:r>
        <w:rPr>
          <w:sz w:val="22"/>
          <w:color w:val="1F1F1F"/>
        </w:rPr>
        <w:t xml:space="preserve"> an unenforced assumption. It does not mark every B1–V5 property as executable or proved.</w:t>
      </w:r>
    </w:p>
    <w:p>
      <w:pPr>
        <w:pStyle w:val="Subtitle"/>
      </w:pPr>
      <w:r>
        <w:t>7.2 Deterministic Boundaries and Non-Goals</w:t>
      </w:r>
    </w:p>
    <w:p>
      <w:pPr>
        <w:pStyle w:val="ListBullet"/>
      </w:pPr>
      <w:r>
        <w:rPr>
          <w:b/>
          <w:color w:val="0F5C46"/>
        </w:rPr>
        <w:t xml:space="preserve">1.  </w:t>
      </w:r>
      <w:r>
        <w:rPr>
          <w:b/>
          <w:sz w:val="21"/>
          <w:szCs w:val="21"/>
          <w:color w:val="1F1F1F"/>
        </w:rPr>
        <w:t xml:space="preserve">Not a Fixed-Income Product</w:t>
      </w:r>
      <w:r>
        <w:rPr>
          <w:sz w:val="21"/>
          <w:color w:val="1F1F1F"/>
        </w:rPr>
        <w:t xml:space="preserve">: The protocol does not quote an Annual Percentage Yield (APY). Trading fees are the designed reward source, and unsolicited WBNB donations also enter recognized balance; neither path mints reward tokens;</w:t>
      </w:r>
    </w:p>
    <w:p>
      <w:pPr>
        <w:pStyle w:val="ListBullet"/>
      </w:pPr>
      <w:r>
        <w:rPr>
          <w:b/>
          <w:color w:val="0F5C46"/>
        </w:rPr>
        <w:t xml:space="preserve">2.  </w:t>
      </w:r>
      <w:r>
        <w:rPr>
          <w:b/>
          <w:sz w:val="21"/>
          <w:szCs w:val="21"/>
          <w:color w:val="1F1F1F"/>
        </w:rPr>
        <w:t xml:space="preserve">Not a Lockup</w:t>
      </w:r>
      <w:r>
        <w:rPr>
          <w:sz w:val="21"/>
          <w:color w:val="1F1F1F"/>
        </w:rPr>
        <w:t xml:space="preserve">: Subject to supported-token transfer behavior and successful call execution, a staker may redeem the whole recorded principal at any block, forfeiting the single open interval;</w:t>
      </w:r>
    </w:p>
    <w:p>
      <w:pPr>
        <w:pStyle w:val="ListBullet"/>
      </w:pPr>
      <w:r>
        <w:rPr>
          <w:b/>
          <w:color w:val="0F5C46"/>
        </w:rPr>
        <w:t xml:space="preserve">3.  </w:t>
      </w:r>
      <w:r>
        <w:rPr>
          <w:b/>
          <w:sz w:val="21"/>
          <w:szCs w:val="21"/>
          <w:color w:val="1F1F1F"/>
        </w:rPr>
        <w:t xml:space="preserve">Zero Superlinear Bias</w:t>
      </w:r>
      <w:r>
        <w:rPr>
          <w:sz w:val="21"/>
          <w:color w:val="1F1F1F"/>
        </w:rPr>
        <w:t xml:space="preserve">: Capital scales entitlement linearly above the minimum threshold. Seniority is the only non-principal weighting input and increases additively by one per completed active interval until it caps at 22; it does not compound;</w:t>
      </w:r>
    </w:p>
    <w:p>
      <w:pPr>
        <w:pStyle w:val="ListBullet"/>
      </w:pPr>
      <w:r>
        <w:rPr>
          <w:b/>
          <w:color w:val="0F5C46"/>
        </w:rPr>
        <w:t xml:space="preserve">4.  </w:t>
      </w:r>
      <w:r>
        <w:rPr>
          <w:b/>
          <w:sz w:val="21"/>
          <w:szCs w:val="21"/>
          <w:color w:val="1F1F1F"/>
        </w:rPr>
        <w:t xml:space="preserve">Not a Pension Fund</w:t>
      </w:r>
      <w:r>
        <w:rPr>
          <w:sz w:val="21"/>
          <w:color w:val="1F1F1F"/>
        </w:rPr>
        <w:t xml:space="preserve">: Under the zero-inflow, eight-hour-cadence assumptions of §2, the idealized Belly model has a 4.735-day half-life and leaves about 1.24% after 30 days. Live behavior also depends on reserved claims, timing, caps, invalid meals and rounding.</w:t>
      </w:r>
    </w:p>
    <w:p>
      <w:pPr>
        <w:pBdr>
          <w:bottom w:val="single" w:sz="6" w:space="8" w:color="E5E7EB"/>
        </w:pBdr>
        <w:spacing w:before="200" w:after="200"/>
      </w:pPr>
    </w:p>
    <w:p>
      <w:pPr>
        <w:pStyle w:val="Heading1"/>
      </w:pPr>
      <w:r>
        <w:t>Appendix A: Notation &amp; Dimensions Index</w:t>
      </w:r>
    </w:p>
    <w:p>
      <w:r>
        <w:rPr>
          <w:sz w:val="22"/>
          <w:color w:val="1F1F1F"/>
        </w:rPr>
        <w:t xml:space="preserve">The following table summarizes the primary mathematical and state variables, their physical definitions, valid domains, and EVM representation scales used across the protocol specification:</w:t>
      </w:r>
    </w:p>
    <w:tbl>
      <w:tblPr>
        <w:tblW w:w="0" w:type="auto"/>
        <w:tblBorders>
          <w:top w:val="single" w:sz="6" w:space="0" w:color="D1D5DB"/>
          <w:bottom w:val="single" w:sz="8" w:space="0" w:color="4B5563"/>
          <w:insideH w:val="single" w:sz="4" w:space="0" w:color="E5E7EB"/>
          <w:insideV w:val="none"/>
          <w:left w:val="none"/>
          <w:right w:val="none"/>
        </w:tblBorders>
        <w:tblCellMar>
          <w:top w:w="120" w:type="dxa"/>
          <w:bottom w:w="120" w:type="dxa"/>
          <w:left w:w="160" w:type="dxa"/>
          <w:right w:w="160" w:type="dxa"/>
        </w:tblCellMar>
      </w:tblPr>
      <w:tr>
        <w:tc>
          <w:tcPr>
            <w:shd w:val="clear" w:color="auto" w:fill="F9FAFB"/>
          </w:tcPr>
          <w:p>
            <w:pPr>
              <w:spacing w:before="60" w:after="60"/>
            </w:pPr>
            <w:r>
              <w:rPr>
                <w:b/>
              </w:rPr>
            </w:r>
            <w:r>
              <w:rPr>
                <w:sz w:val="20"/>
                <w:color w:val="0D1117"/>
              </w:rPr>
              <w:t xml:space="preserve">Symbol</w:t>
            </w:r>
          </w:p>
        </w:tc>
        <w:tc>
          <w:tcPr>
            <w:shd w:val="clear" w:color="auto" w:fill="F9FAFB"/>
          </w:tcPr>
          <w:p>
            <w:pPr>
              <w:spacing w:before="60" w:after="60"/>
            </w:pPr>
            <w:r>
              <w:rPr>
                <w:b/>
              </w:rPr>
            </w:r>
            <w:r>
              <w:rPr>
                <w:sz w:val="20"/>
                <w:color w:val="0D1117"/>
              </w:rPr>
              <w:t xml:space="preserve">Semantic Definition &amp; Physical Concept</w:t>
            </w:r>
          </w:p>
        </w:tc>
        <w:tc>
          <w:tcPr>
            <w:shd w:val="clear" w:color="auto" w:fill="F9FAFB"/>
          </w:tcPr>
          <w:p>
            <w:pPr>
              <w:spacing w:before="60" w:after="60"/>
            </w:pPr>
            <w:r>
              <w:rPr>
                <w:b/>
              </w:rPr>
            </w:r>
            <w:r>
              <w:rPr>
                <w:sz w:val="20"/>
                <w:color w:val="0D1117"/>
              </w:rPr>
              <w:t xml:space="preserve">Valid Domain / Constraints</w:t>
            </w:r>
          </w:p>
        </w:tc>
        <w:tc>
          <w:tcPr>
            <w:shd w:val="clear" w:color="auto" w:fill="F9FAFB"/>
          </w:tcPr>
          <w:p>
            <w:pPr>
              <w:spacing w:before="60" w:after="60"/>
            </w:pPr>
            <w:r>
              <w:rPr>
                <w:b/>
              </w:rPr>
            </w:r>
            <w:r>
              <w:rPr>
                <w:sz w:val="20"/>
                <w:color w:val="0D1117"/>
              </w:rPr>
              <w:t xml:space="preserve">EVM Representation &amp; Scale</w:t>
            </w:r>
          </w:p>
        </w:tc>
      </w:tr>
      <w:tr>
        <w:tc>
          <w:p>
            <w:pPr>
              <w:spacing w:before="40" w:after="40"/>
            </w:pPr>
            <w:r>
              <w:rPr>
                <w:sz w:val="19"/>
                <w:color w:val="1F1F1F"/>
              </w:rPr>
              <w:t xml:space="preserve"/>
            </w:r>
            <w:r>
              <w:rPr>
                <w:i/>
                <w:sz w:val="19"/>
                <w:color w:val="1C2422"/>
              </w:rPr>
              <w:t xml:space="preserve">m</w:t>
            </w:r>
            <w:r>
              <w:rPr>
                <w:sz w:val="19"/>
                <w:color w:val="1F1F1F"/>
              </w:rPr>
              <w:t xml:space="preserve"/>
            </w:r>
          </w:p>
        </w:tc>
        <w:tc>
          <w:p>
            <w:pPr>
              <w:spacing w:before="40" w:after="40"/>
            </w:pPr>
            <w:r>
              <w:rPr>
                <w:sz w:val="19"/>
                <w:color w:val="1F1F1F"/>
              </w:rPr>
              <w:t xml:space="preserve">Global discrete clock interval index</w:t>
            </w:r>
          </w:p>
        </w:tc>
        <w:tc>
          <w:p>
            <w:pPr>
              <w:spacing w:before="40" w:after="40"/>
            </w:pPr>
            <w:r>
              <w:rPr>
                <w:sz w:val="19"/>
                <w:color w:val="1F1F1F"/>
              </w:rPr>
              <w:t xml:space="preserve"/>
            </w:r>
            <w:r>
              <w:rPr>
                <w:i/>
                <w:sz w:val="19"/>
                <w:color w:val="1C2422"/>
              </w:rPr>
              <w:t xml:space="preserve">\mathbb{N}^+</w:t>
            </w:r>
            <w:r>
              <w:rPr>
                <w:sz w:val="19"/>
                <w:color w:val="1F1F1F"/>
              </w:rPr>
              <w:t xml:space="preserve"> (Starts at 1, increments by 1)</w:t>
            </w:r>
          </w:p>
        </w:tc>
        <w:tc>
          <w:p>
            <w:pPr>
              <w:spacing w:before="40" w:after="40"/>
            </w:pPr>
            <w:r>
              <w:rPr>
                <w:sz w:val="19"/>
                <w:color w:val="1F1F1F"/>
              </w:rPr>
              <w:t xml:space="preserve">Dimensionless scalar (</w:t>
            </w:r>
            <w:r>
              <w:rPr>
                <w:rFonts w:ascii="Menlo" w:hAnsi="Menlo"/>
                <w:sz w:val="17"/>
                <w:color w:val="1C2422"/>
                <w:shd w:val="clear" w:color="auto" w:fill="F3F4F6"/>
              </w:rPr>
              <w:t xml:space="preserve">uint256</w:t>
            </w:r>
            <w:r>
              <w:rPr>
                <w:sz w:val="19"/>
                <w:color w:val="1F1F1F"/>
              </w:rPr>
              <w:t xml:space="preserve">, step size 1)</w:t>
            </w:r>
          </w:p>
        </w:tc>
      </w:tr>
      <w:tr>
        <w:tc>
          <w:p>
            <w:pPr>
              <w:spacing w:before="40" w:after="40"/>
            </w:pPr>
            <w:r>
              <w:rPr>
                <w:sz w:val="19"/>
                <w:color w:val="1F1F1F"/>
              </w:rPr>
              <w:t xml:space="preserve"/>
            </w:r>
            <w:r>
              <w:rPr>
                <w:i/>
                <w:sz w:val="19"/>
                <w:color w:val="1C2422"/>
              </w:rPr>
              <w:t xml:space="preserve">j_i</w:t>
            </w:r>
            <w:r>
              <w:rPr>
                <w:sz w:val="19"/>
                <w:color w:val="1F1F1F"/>
              </w:rPr>
              <w:t xml:space="preserve"/>
            </w:r>
          </w:p>
        </w:tc>
        <w:tc>
          <w:p>
            <w:pPr>
              <w:spacing w:before="40" w:after="40"/>
            </w:pPr>
            <w:r>
              <w:rPr>
                <w:sz w:val="19"/>
                <w:color w:val="1F1F1F"/>
              </w:rPr>
              <w:t xml:space="preserve">Position </w:t>
            </w:r>
            <w:r>
              <w:rPr>
                <w:i/>
                <w:sz w:val="19"/>
                <w:color w:val="1C2422"/>
              </w:rPr>
              <w:t xml:space="preserve">i</w:t>
            </w:r>
            <w:r>
              <w:rPr>
                <w:sz w:val="19"/>
                <w:color w:val="1F1F1F"/>
              </w:rPr>
              <w:t xml:space="preserve">'s active-from interval (</w:t>
            </w:r>
            <w:r>
              <w:rPr>
                <w:rFonts w:ascii="Menlo" w:hAnsi="Menlo"/>
                <w:sz w:val="17"/>
                <w:color w:val="1C2422"/>
                <w:shd w:val="clear" w:color="auto" w:fill="F3F4F6"/>
              </w:rPr>
              <w:t xml:space="preserve">activeFrom</w:t>
            </w:r>
            <w:r>
              <w:rPr>
                <w:sz w:val="19"/>
                <w:color w:val="1F1F1F"/>
              </w:rPr>
              <w:t xml:space="preserve">)</w:t>
            </w:r>
          </w:p>
        </w:tc>
        <w:tc>
          <w:p>
            <w:pPr>
              <w:spacing w:before="40" w:after="40"/>
            </w:pPr>
            <w:r>
              <w:rPr>
                <w:sz w:val="19"/>
                <w:color w:val="1F1F1F"/>
              </w:rPr>
              <w:t xml:space="preserve"/>
            </w:r>
            <w:r>
              <w:rPr>
                <w:i/>
                <w:sz w:val="19"/>
                <w:color w:val="1C2422"/>
              </w:rPr>
              <w:t xml:space="preserve">j_i = m_{\text{stake}} + 1</w:t>
            </w:r>
            <w:r>
              <w:rPr>
                <w:sz w:val="19"/>
                <w:color w:val="1F1F1F"/>
              </w:rPr>
              <w:t xml:space="preserve"/>
            </w:r>
          </w:p>
        </w:tc>
        <w:tc>
          <w:p>
            <w:pPr>
              <w:spacing w:before="40" w:after="40"/>
            </w:pPr>
            <w:r>
              <w:rPr>
                <w:sz w:val="19"/>
                <w:color w:val="1F1F1F"/>
              </w:rPr>
              <w:t xml:space="preserve">Dimensionless scalar (</w:t>
            </w:r>
            <w:r>
              <w:rPr>
                <w:rFonts w:ascii="Menlo" w:hAnsi="Menlo"/>
                <w:sz w:val="17"/>
                <w:color w:val="1C2422"/>
                <w:shd w:val="clear" w:color="auto" w:fill="F3F4F6"/>
              </w:rPr>
              <w:t xml:space="preserve">uint256</w:t>
            </w:r>
            <w:r>
              <w:rPr>
                <w:sz w:val="19"/>
                <w:color w:val="1F1F1F"/>
              </w:rPr>
              <w:t xml:space="preserve">)</w:t>
            </w:r>
          </w:p>
        </w:tc>
      </w:tr>
      <w:tr>
        <w:tc>
          <w:p>
            <w:pPr>
              <w:spacing w:before="40" w:after="40"/>
            </w:pPr>
            <w:r>
              <w:rPr>
                <w:sz w:val="19"/>
                <w:color w:val="1F1F1F"/>
              </w:rPr>
              <w:t xml:space="preserve"/>
            </w:r>
            <w:r>
              <w:rPr>
                <w:i/>
                <w:sz w:val="19"/>
                <w:color w:val="1C2422"/>
              </w:rPr>
              <w:t xml:space="preserve">p_i</w:t>
            </w:r>
            <w:r>
              <w:rPr>
                <w:sz w:val="19"/>
                <w:color w:val="1F1F1F"/>
              </w:rPr>
              <w:t xml:space="preserve"/>
            </w:r>
          </w:p>
        </w:tc>
        <w:tc>
          <w:p>
            <w:pPr>
              <w:spacing w:before="40" w:after="40"/>
            </w:pPr>
            <w:r>
              <w:rPr>
                <w:sz w:val="19"/>
                <w:color w:val="1F1F1F"/>
              </w:rPr>
              <w:t xml:space="preserve">Position </w:t>
            </w:r>
            <w:r>
              <w:rPr>
                <w:i/>
                <w:sz w:val="19"/>
                <w:color w:val="1C2422"/>
              </w:rPr>
              <w:t xml:space="preserve">i</w:t>
            </w:r>
            <w:r>
              <w:rPr>
                <w:sz w:val="19"/>
                <w:color w:val="1F1F1F"/>
              </w:rPr>
              <w:t xml:space="preserve">'s staked principal</w:t>
            </w:r>
          </w:p>
        </w:tc>
        <w:tc>
          <w:p>
            <w:pPr>
              <w:spacing w:before="40" w:after="40"/>
            </w:pPr>
            <w:r>
              <w:rPr>
                <w:sz w:val="19"/>
                <w:color w:val="1F1F1F"/>
              </w:rPr>
              <w:t xml:space="preserve"/>
            </w:r>
            <w:r>
              <w:rPr>
                <w:i/>
                <w:sz w:val="19"/>
                <w:color w:val="1C2422"/>
              </w:rPr>
              <w:t xml:space="preserve">\ge 100,000</w:t>
            </w:r>
            <w:r>
              <w:rPr>
                <w:sz w:val="19"/>
                <w:color w:val="1F1F1F"/>
              </w:rPr>
              <w:t xml:space="preserve"> FATCAT</w:t>
            </w:r>
          </w:p>
        </w:tc>
        <w:tc>
          <w:p>
            <w:pPr>
              <w:spacing w:before="40" w:after="40"/>
            </w:pPr>
            <w:r>
              <w:rPr>
                <w:sz w:val="19"/>
                <w:color w:val="1F1F1F"/>
              </w:rPr>
              <w:t xml:space="preserve">D18{FATCAT} (</w:t>
            </w:r>
            <w:r>
              <w:rPr>
                <w:i/>
                <w:sz w:val="19"/>
                <w:color w:val="1C2422"/>
              </w:rPr>
              <w:t xml:space="preserve">10^{18}</w:t>
            </w:r>
            <w:r>
              <w:rPr>
                <w:sz w:val="19"/>
                <w:color w:val="1F1F1F"/>
              </w:rPr>
              <w:t xml:space="preserve"> scale)</w:t>
            </w:r>
          </w:p>
        </w:tc>
      </w:tr>
      <w:tr>
        <w:tc>
          <w:p>
            <w:pPr>
              <w:spacing w:before="40" w:after="40"/>
            </w:pPr>
            <w:r>
              <w:rPr>
                <w:sz w:val="19"/>
                <w:color w:val="1F1F1F"/>
              </w:rPr>
              <w:t xml:space="preserve"/>
            </w:r>
            <w:r>
              <w:rPr>
                <w:i/>
                <w:sz w:val="19"/>
                <w:color w:val="1C2422"/>
              </w:rPr>
              <w:t xml:space="preserve">c_i(m)</w:t>
            </w:r>
            <w:r>
              <w:rPr>
                <w:sz w:val="19"/>
                <w:color w:val="1F1F1F"/>
              </w:rPr>
              <w:t xml:space="preserve"/>
            </w:r>
          </w:p>
        </w:tc>
        <w:tc>
          <w:p>
            <w:pPr>
              <w:spacing w:before="40" w:after="40"/>
            </w:pPr>
            <w:r>
              <w:rPr>
                <w:sz w:val="19"/>
                <w:color w:val="1F1F1F"/>
              </w:rPr>
              <w:t xml:space="preserve">Position </w:t>
            </w:r>
            <w:r>
              <w:rPr>
                <w:i/>
                <w:sz w:val="19"/>
                <w:color w:val="1C2422"/>
              </w:rPr>
              <w:t xml:space="preserve">i</w:t>
            </w:r>
            <w:r>
              <w:rPr>
                <w:sz w:val="19"/>
                <w:color w:val="1F1F1F"/>
              </w:rPr>
              <w:t xml:space="preserve">'s seniority notch at interval </w:t>
            </w:r>
            <w:r>
              <w:rPr>
                <w:i/>
                <w:sz w:val="19"/>
                <w:color w:val="1C2422"/>
              </w:rPr>
              <w:t xml:space="preserve">m</w:t>
            </w:r>
            <w:r>
              <w:rPr>
                <w:sz w:val="19"/>
                <w:color w:val="1F1F1F"/>
              </w:rPr>
              <w:t xml:space="preserve"/>
            </w:r>
          </w:p>
        </w:tc>
        <w:tc>
          <w:p>
            <w:pPr>
              <w:spacing w:before="40" w:after="40"/>
            </w:pPr>
            <w:r>
              <w:rPr>
                <w:sz w:val="19"/>
                <w:color w:val="1F1F1F"/>
              </w:rPr>
              <w:t xml:space="preserve">Discrete closed interval </w:t>
            </w:r>
            <w:r>
              <w:rPr>
                <w:i/>
                <w:sz w:val="19"/>
                <w:color w:val="1C2422"/>
              </w:rPr>
              <w:t xml:space="preserve">[1, 22]</w:t>
            </w:r>
            <w:r>
              <w:rPr>
                <w:sz w:val="19"/>
                <w:color w:val="1F1F1F"/>
              </w:rPr>
              <w:t xml:space="preserve"/>
            </w:r>
          </w:p>
        </w:tc>
        <w:tc>
          <w:p>
            <w:pPr>
              <w:spacing w:before="40" w:after="40"/>
            </w:pPr>
            <w:r>
              <w:rPr>
                <w:sz w:val="19"/>
                <w:color w:val="1F1F1F"/>
              </w:rPr>
              <w:t xml:space="preserve">Dimensionless scalar (</w:t>
            </w:r>
            <w:r>
              <w:rPr>
                <w:rFonts w:ascii="Menlo" w:hAnsi="Menlo"/>
                <w:sz w:val="17"/>
                <w:color w:val="1C2422"/>
                <w:shd w:val="clear" w:color="auto" w:fill="F3F4F6"/>
              </w:rPr>
              <w:t xml:space="preserve">uint256</w:t>
            </w:r>
            <w:r>
              <w:rPr>
                <w:sz w:val="19"/>
                <w:color w:val="1F1F1F"/>
              </w:rPr>
              <w:t xml:space="preserve">)</w:t>
            </w:r>
          </w:p>
        </w:tc>
      </w:tr>
      <w:tr>
        <w:tc>
          <w:p>
            <w:pPr>
              <w:spacing w:before="40" w:after="40"/>
            </w:pPr>
            <w:r>
              <w:rPr>
                <w:sz w:val="19"/>
                <w:color w:val="1F1F1F"/>
              </w:rPr>
              <w:t xml:space="preserve"/>
            </w:r>
            <w:r>
              <w:rPr>
                <w:i/>
                <w:sz w:val="19"/>
                <w:color w:val="1C2422"/>
              </w:rPr>
              <w:t xml:space="preserve">w_i(m)</w:t>
            </w:r>
            <w:r>
              <w:rPr>
                <w:sz w:val="19"/>
                <w:color w:val="1F1F1F"/>
              </w:rPr>
              <w:t xml:space="preserve"/>
            </w:r>
          </w:p>
        </w:tc>
        <w:tc>
          <w:p>
            <w:pPr>
              <w:spacing w:before="40" w:after="40"/>
            </w:pPr>
            <w:r>
              <w:rPr>
                <w:sz w:val="19"/>
                <w:color w:val="1F1F1F"/>
              </w:rPr>
              <w:t xml:space="preserve">Position </w:t>
            </w:r>
            <w:r>
              <w:rPr>
                <w:i/>
                <w:sz w:val="19"/>
                <w:color w:val="1C2422"/>
              </w:rPr>
              <w:t xml:space="preserve">i</w:t>
            </w:r>
            <w:r>
              <w:rPr>
                <w:sz w:val="19"/>
                <w:color w:val="1F1F1F"/>
              </w:rPr>
              <w:t xml:space="preserve">'s effective weight at interval </w:t>
            </w:r>
            <w:r>
              <w:rPr>
                <w:i/>
                <w:sz w:val="19"/>
                <w:color w:val="1C2422"/>
              </w:rPr>
              <w:t xml:space="preserve">m</w:t>
            </w:r>
            <w:r>
              <w:rPr>
                <w:sz w:val="19"/>
                <w:color w:val="1F1F1F"/>
              </w:rPr>
              <w:t xml:space="preserve"/>
            </w:r>
          </w:p>
        </w:tc>
        <w:tc>
          <w:p>
            <w:pPr>
              <w:spacing w:before="40" w:after="40"/>
            </w:pPr>
            <w:r>
              <w:rPr>
                <w:sz w:val="19"/>
                <w:color w:val="1F1F1F"/>
              </w:rPr>
              <w:t xml:space="preserve"/>
            </w:r>
            <w:r>
              <w:rPr>
                <w:i/>
                <w:sz w:val="19"/>
                <w:color w:val="1C2422"/>
              </w:rPr>
              <w:t xml:space="preserve">p_i \cdot c_i(m)</w:t>
            </w:r>
            <w:r>
              <w:rPr>
                <w:sz w:val="19"/>
                <w:color w:val="1F1F1F"/>
              </w:rPr>
              <w:t xml:space="preserve"/>
            </w:r>
          </w:p>
        </w:tc>
        <w:tc>
          <w:p>
            <w:pPr>
              <w:spacing w:before="40" w:after="40"/>
            </w:pPr>
            <w:r>
              <w:rPr>
                <w:sz w:val="19"/>
                <w:color w:val="1F1F1F"/>
              </w:rPr>
              <w:t xml:space="preserve">D18{weight} (</w:t>
            </w:r>
            <w:r>
              <w:rPr>
                <w:i/>
                <w:sz w:val="19"/>
                <w:color w:val="1C2422"/>
              </w:rPr>
              <w:t xml:space="preserve">10^{18}</w:t>
            </w:r>
            <w:r>
              <w:rPr>
                <w:sz w:val="19"/>
                <w:color w:val="1F1F1F"/>
              </w:rPr>
              <w:t xml:space="preserve"> scale)</w:t>
            </w:r>
          </w:p>
        </w:tc>
      </w:tr>
      <w:tr>
        <w:tc>
          <w:p>
            <w:pPr>
              <w:spacing w:before="40" w:after="40"/>
            </w:pPr>
            <w:r>
              <w:rPr>
                <w:sz w:val="19"/>
                <w:color w:val="1F1F1F"/>
              </w:rPr>
              <w:t xml:space="preserve"/>
            </w:r>
            <w:r>
              <w:rPr>
                <w:i/>
                <w:sz w:val="19"/>
                <w:color w:val="1C2422"/>
              </w:rPr>
              <w:t xml:space="preserve">W(m)</w:t>
            </w:r>
            <w:r>
              <w:rPr>
                <w:sz w:val="19"/>
                <w:color w:val="1F1F1F"/>
              </w:rPr>
              <w:t xml:space="preserve"/>
            </w:r>
          </w:p>
        </w:tc>
        <w:tc>
          <w:p>
            <w:pPr>
              <w:spacing w:before="40" w:after="40"/>
            </w:pPr>
            <w:r>
              <w:rPr>
                <w:sz w:val="19"/>
                <w:color w:val="1F1F1F"/>
              </w:rPr>
              <w:t xml:space="preserve">Total active seniority weight across all stakers</w:t>
            </w:r>
          </w:p>
        </w:tc>
        <w:tc>
          <w:p>
            <w:pPr>
              <w:spacing w:before="40" w:after="40"/>
            </w:pPr>
            <w:r>
              <w:rPr>
                <w:sz w:val="19"/>
                <w:color w:val="1F1F1F"/>
              </w:rPr>
              <w:t xml:space="preserve"/>
            </w:r>
            <w:r>
              <w:rPr>
                <w:i/>
                <w:sz w:val="19"/>
                <w:color w:val="1C2422"/>
              </w:rPr>
              <w:t xml:space="preserve">\sum_i w_i(m)</w:t>
            </w:r>
            <w:r>
              <w:rPr>
                <w:sz w:val="19"/>
                <w:color w:val="1F1F1F"/>
              </w:rPr>
              <w:t xml:space="preserve"/>
            </w:r>
          </w:p>
        </w:tc>
        <w:tc>
          <w:p>
            <w:pPr>
              <w:spacing w:before="40" w:after="40"/>
            </w:pPr>
            <w:r>
              <w:rPr>
                <w:sz w:val="19"/>
                <w:color w:val="1F1F1F"/>
              </w:rPr>
              <w:t xml:space="preserve">D18{weight} (</w:t>
            </w:r>
            <w:r>
              <w:rPr>
                <w:i/>
                <w:sz w:val="19"/>
                <w:color w:val="1C2422"/>
              </w:rPr>
              <w:t xml:space="preserve">10^{18}</w:t>
            </w:r>
            <w:r>
              <w:rPr>
                <w:sz w:val="19"/>
                <w:color w:val="1F1F1F"/>
              </w:rPr>
              <w:t xml:space="preserve"> scale)</w:t>
            </w:r>
          </w:p>
        </w:tc>
      </w:tr>
      <w:tr>
        <w:tc>
          <w:p>
            <w:pPr>
              <w:spacing w:before="40" w:after="40"/>
            </w:pPr>
            <w:r>
              <w:rPr>
                <w:sz w:val="19"/>
                <w:color w:val="1F1F1F"/>
              </w:rPr>
              <w:t xml:space="preserve"/>
            </w:r>
            <w:r>
              <w:rPr>
                <w:i/>
                <w:sz w:val="19"/>
                <w:color w:val="1C2422"/>
              </w:rPr>
              <w:t xml:space="preserve">W_{\text{open}}(a, m)</w:t>
            </w:r>
            <w:r>
              <w:rPr>
                <w:sz w:val="19"/>
                <w:color w:val="1F1F1F"/>
              </w:rPr>
              <w:t xml:space="preserve"/>
            </w:r>
          </w:p>
        </w:tc>
        <w:tc>
          <w:p>
            <w:pPr>
              <w:spacing w:before="40" w:after="40"/>
            </w:pPr>
            <w:r>
              <w:rPr>
                <w:sz w:val="19"/>
                <w:color w:val="1F1F1F"/>
              </w:rPr>
              <w:t xml:space="preserve">Effective open weight locked for asset </w:t>
            </w:r>
            <w:r>
              <w:rPr>
                <w:i/>
                <w:sz w:val="19"/>
                <w:color w:val="1C2422"/>
              </w:rPr>
              <w:t xml:space="preserve">a</w:t>
            </w:r>
            <w:r>
              <w:rPr>
                <w:sz w:val="19"/>
                <w:color w:val="1F1F1F"/>
              </w:rPr>
              <w:t xml:space="preserve"> at start of </w:t>
            </w:r>
            <w:r>
              <w:rPr>
                <w:i/>
                <w:sz w:val="19"/>
                <w:color w:val="1C2422"/>
              </w:rPr>
              <w:t xml:space="preserve">m</w:t>
            </w:r>
            <w:r>
              <w:rPr>
                <w:sz w:val="19"/>
                <w:color w:val="1F1F1F"/>
              </w:rPr>
              <w:t xml:space="preserve"/>
            </w:r>
          </w:p>
        </w:tc>
        <w:tc>
          <w:p>
            <w:pPr>
              <w:spacing w:before="40" w:after="40"/>
            </w:pPr>
            <w:r>
              <w:rPr>
                <w:sz w:val="19"/>
                <w:color w:val="1F1F1F"/>
              </w:rPr>
              <w:t xml:space="preserve"/>
            </w:r>
            <w:r>
              <w:rPr>
                <w:i/>
                <w:sz w:val="19"/>
                <w:color w:val="1C2422"/>
              </w:rPr>
              <w:t xml:space="preserve">\sum_{a \in \text{MENU}} W_{\text{open}}(a) = W(m)</w:t>
            </w:r>
            <w:r>
              <w:rPr>
                <w:sz w:val="19"/>
                <w:color w:val="1F1F1F"/>
              </w:rPr>
              <w:t xml:space="preserve"/>
            </w:r>
          </w:p>
        </w:tc>
        <w:tc>
          <w:p>
            <w:pPr>
              <w:spacing w:before="40" w:after="40"/>
            </w:pPr>
            <w:r>
              <w:rPr>
                <w:sz w:val="19"/>
                <w:color w:val="1F1F1F"/>
              </w:rPr>
              <w:t xml:space="preserve">D18{weight} (</w:t>
            </w:r>
            <w:r>
              <w:rPr>
                <w:i/>
                <w:sz w:val="19"/>
                <w:color w:val="1C2422"/>
              </w:rPr>
              <w:t xml:space="preserve">10^{18}</w:t>
            </w:r>
            <w:r>
              <w:rPr>
                <w:sz w:val="19"/>
                <w:color w:val="1F1F1F"/>
              </w:rPr>
              <w:t xml:space="preserve"> scale)</w:t>
            </w:r>
          </w:p>
        </w:tc>
      </w:tr>
      <w:tr>
        <w:tc>
          <w:p>
            <w:pPr>
              <w:spacing w:before="40" w:after="40"/>
            </w:pPr>
            <w:r>
              <w:rPr>
                <w:sz w:val="19"/>
                <w:color w:val="1F1F1F"/>
              </w:rPr>
              <w:t xml:space="preserve"/>
            </w:r>
            <w:r>
              <w:rPr>
                <w:i/>
                <w:sz w:val="19"/>
                <w:color w:val="1C2422"/>
              </w:rPr>
              <w:t xml:space="preserve">P_{\text{climb}}</w:t>
            </w:r>
            <w:r>
              <w:rPr>
                <w:sz w:val="19"/>
                <w:color w:val="1F1F1F"/>
              </w:rPr>
              <w:t xml:space="preserve"/>
            </w:r>
          </w:p>
        </w:tc>
        <w:tc>
          <w:p>
            <w:pPr>
              <w:spacing w:before="40" w:after="40"/>
            </w:pPr>
            <w:r>
              <w:rPr>
                <w:sz w:val="19"/>
                <w:color w:val="1F1F1F"/>
              </w:rPr>
              <w:t xml:space="preserve">Aggregate principal of all climbing cohorts (</w:t>
            </w:r>
            <w:r>
              <w:rPr>
                <w:i/>
                <w:sz w:val="19"/>
                <w:color w:val="1C2422"/>
              </w:rPr>
              <w:t xml:space="preserve">c_i &lt; 22</w:t>
            </w:r>
            <w:r>
              <w:rPr>
                <w:sz w:val="19"/>
                <w:color w:val="1F1F1F"/>
              </w:rPr>
              <w:t xml:space="preserve">)</w:t>
            </w:r>
          </w:p>
        </w:tc>
        <w:tc>
          <w:p>
            <w:pPr>
              <w:spacing w:before="40" w:after="40"/>
            </w:pPr>
            <w:r>
              <w:rPr>
                <w:sz w:val="19"/>
                <w:color w:val="1F1F1F"/>
              </w:rPr>
              <w:t xml:space="preserve"/>
            </w:r>
            <w:r>
              <w:rPr>
                <w:i/>
                <w:sz w:val="19"/>
                <w:color w:val="1C2422"/>
              </w:rPr>
              <w:t xml:space="preserve">\sum_{i \in \text{Climb}} p_i</w:t>
            </w:r>
            <w:r>
              <w:rPr>
                <w:sz w:val="19"/>
                <w:color w:val="1F1F1F"/>
              </w:rPr>
              <w:t xml:space="preserve"/>
            </w:r>
          </w:p>
        </w:tc>
        <w:tc>
          <w:p>
            <w:pPr>
              <w:spacing w:before="40" w:after="40"/>
            </w:pPr>
            <w:r>
              <w:rPr>
                <w:sz w:val="19"/>
                <w:color w:val="1F1F1F"/>
              </w:rPr>
              <w:t xml:space="preserve">D18{FATCAT} (</w:t>
            </w:r>
            <w:r>
              <w:rPr>
                <w:i/>
                <w:sz w:val="19"/>
                <w:color w:val="1C2422"/>
              </w:rPr>
              <w:t xml:space="preserve">10^{18}</w:t>
            </w:r>
            <w:r>
              <w:rPr>
                <w:sz w:val="19"/>
                <w:color w:val="1F1F1F"/>
              </w:rPr>
              <w:t xml:space="preserve"> scale)</w:t>
            </w:r>
          </w:p>
        </w:tc>
      </w:tr>
      <w:tr>
        <w:tc>
          <w:p>
            <w:pPr>
              <w:spacing w:before="40" w:after="40"/>
            </w:pPr>
            <w:r>
              <w:rPr>
                <w:sz w:val="19"/>
                <w:color w:val="1F1F1F"/>
              </w:rPr>
              <w:t xml:space="preserve"/>
            </w:r>
            <w:r>
              <w:rPr>
                <w:i/>
                <w:sz w:val="19"/>
                <w:color w:val="1C2422"/>
              </w:rPr>
              <w:t xml:space="preserve">J_{\text{climb}}</w:t>
            </w:r>
            <w:r>
              <w:rPr>
                <w:sz w:val="19"/>
                <w:color w:val="1F1F1F"/>
              </w:rPr>
              <w:t xml:space="preserve"/>
            </w:r>
          </w:p>
        </w:tc>
        <w:tc>
          <w:p>
            <w:pPr>
              <w:spacing w:before="40" w:after="40"/>
            </w:pPr>
            <w:r>
              <w:rPr>
                <w:sz w:val="19"/>
                <w:color w:val="1F1F1F"/>
              </w:rPr>
              <w:t xml:space="preserve">Weighted activation index scalar of climbing cohorts</w:t>
            </w:r>
          </w:p>
        </w:tc>
        <w:tc>
          <w:p>
            <w:pPr>
              <w:spacing w:before="40" w:after="40"/>
            </w:pPr>
            <w:r>
              <w:rPr>
                <w:sz w:val="19"/>
                <w:color w:val="1F1F1F"/>
              </w:rPr>
              <w:t xml:space="preserve"/>
            </w:r>
            <w:r>
              <w:rPr>
                <w:i/>
                <w:sz w:val="19"/>
                <w:color w:val="1C2422"/>
              </w:rPr>
              <w:t xml:space="preserve">\sum_{i \in \text{Climb}} (p_i \cdot j_i)</w:t>
            </w:r>
            <w:r>
              <w:rPr>
                <w:sz w:val="19"/>
                <w:color w:val="1F1F1F"/>
              </w:rPr>
              <w:t xml:space="preserve"/>
            </w:r>
          </w:p>
        </w:tc>
        <w:tc>
          <w:p>
            <w:pPr>
              <w:spacing w:before="40" w:after="40"/>
            </w:pPr>
            <w:r>
              <w:rPr>
                <w:sz w:val="19"/>
                <w:color w:val="1F1F1F"/>
              </w:rPr>
              <w:t xml:space="preserve">D18{FATCAT} (</w:t>
            </w:r>
            <w:r>
              <w:rPr>
                <w:i/>
                <w:sz w:val="19"/>
                <w:color w:val="1C2422"/>
              </w:rPr>
              <w:t xml:space="preserve">10^{18}</w:t>
            </w:r>
            <w:r>
              <w:rPr>
                <w:sz w:val="19"/>
                <w:color w:val="1F1F1F"/>
              </w:rPr>
              <w:t xml:space="preserve"> scale)</w:t>
            </w:r>
          </w:p>
        </w:tc>
      </w:tr>
      <w:tr>
        <w:tc>
          <w:p>
            <w:pPr>
              <w:spacing w:before="40" w:after="40"/>
            </w:pPr>
            <w:r>
              <w:rPr>
                <w:sz w:val="19"/>
                <w:color w:val="1F1F1F"/>
              </w:rPr>
              <w:t xml:space="preserve"/>
            </w:r>
            <w:r>
              <w:rPr>
                <w:i/>
                <w:sz w:val="19"/>
                <w:color w:val="1C2422"/>
              </w:rPr>
              <w:t xml:space="preserve">P_{\text{settled}}</w:t>
            </w:r>
            <w:r>
              <w:rPr>
                <w:sz w:val="19"/>
                <w:color w:val="1F1F1F"/>
              </w:rPr>
              <w:t xml:space="preserve"/>
            </w:r>
          </w:p>
        </w:tc>
        <w:tc>
          <w:p>
            <w:pPr>
              <w:spacing w:before="40" w:after="40"/>
            </w:pPr>
            <w:r>
              <w:rPr>
                <w:sz w:val="19"/>
                <w:color w:val="1F1F1F"/>
              </w:rPr>
              <w:t xml:space="preserve">Aggregate principal of all matured cohorts (</w:t>
            </w:r>
            <w:r>
              <w:rPr>
                <w:i/>
                <w:sz w:val="19"/>
                <w:color w:val="1C2422"/>
              </w:rPr>
              <w:t xml:space="preserve">c_i = 22</w:t>
            </w:r>
            <w:r>
              <w:rPr>
                <w:sz w:val="19"/>
                <w:color w:val="1F1F1F"/>
              </w:rPr>
              <w:t xml:space="preserve">)</w:t>
            </w:r>
          </w:p>
        </w:tc>
        <w:tc>
          <w:p>
            <w:pPr>
              <w:spacing w:before="40" w:after="40"/>
            </w:pPr>
            <w:r>
              <w:rPr>
                <w:sz w:val="19"/>
                <w:color w:val="1F1F1F"/>
              </w:rPr>
              <w:t xml:space="preserve"/>
            </w:r>
            <w:r>
              <w:rPr>
                <w:i/>
                <w:sz w:val="19"/>
                <w:color w:val="1C2422"/>
              </w:rPr>
              <w:t xml:space="preserve">\sum_{i \in \text{Settled}} p_i</w:t>
            </w:r>
            <w:r>
              <w:rPr>
                <w:sz w:val="19"/>
                <w:color w:val="1F1F1F"/>
              </w:rPr>
              <w:t xml:space="preserve"/>
            </w:r>
          </w:p>
        </w:tc>
        <w:tc>
          <w:p>
            <w:pPr>
              <w:spacing w:before="40" w:after="40"/>
            </w:pPr>
            <w:r>
              <w:rPr>
                <w:sz w:val="19"/>
                <w:color w:val="1F1F1F"/>
              </w:rPr>
              <w:t xml:space="preserve">D18{FATCAT} (</w:t>
            </w:r>
            <w:r>
              <w:rPr>
                <w:i/>
                <w:sz w:val="19"/>
                <w:color w:val="1C2422"/>
              </w:rPr>
              <w:t xml:space="preserve">10^{18}</w:t>
            </w:r>
            <w:r>
              <w:rPr>
                <w:sz w:val="19"/>
                <w:color w:val="1F1F1F"/>
              </w:rPr>
              <w:t xml:space="preserve"> scale)</w:t>
            </w:r>
          </w:p>
        </w:tc>
      </w:tr>
      <w:tr>
        <w:tc>
          <w:p>
            <w:pPr>
              <w:spacing w:before="40" w:after="40"/>
            </w:pPr>
            <w:r>
              <w:rPr>
                <w:sz w:val="19"/>
                <w:color w:val="1F1F1F"/>
              </w:rPr>
              <w:t xml:space="preserve"/>
            </w:r>
            <w:r>
              <w:rPr>
                <w:i/>
                <w:sz w:val="19"/>
                <w:color w:val="1C2422"/>
              </w:rPr>
              <w:t xml:space="preserve">W_{\text{exiting}}</w:t>
            </w:r>
            <w:r>
              <w:rPr>
                <w:sz w:val="19"/>
                <w:color w:val="1F1F1F"/>
              </w:rPr>
              <w:t xml:space="preserve"/>
            </w:r>
          </w:p>
        </w:tc>
        <w:tc>
          <w:p>
            <w:pPr>
              <w:spacing w:before="40" w:after="40"/>
            </w:pPr>
            <w:r>
              <w:rPr>
                <w:sz w:val="19"/>
                <w:color w:val="1F1F1F"/>
              </w:rPr>
              <w:t xml:space="preserve">Residual exit weight from stakers redeeming mid-interval</w:t>
            </w:r>
          </w:p>
        </w:tc>
        <w:tc>
          <w:p>
            <w:pPr>
              <w:spacing w:before="40" w:after="40"/>
            </w:pPr>
            <w:r>
              <w:rPr>
                <w:sz w:val="19"/>
                <w:color w:val="1F1F1F"/>
              </w:rPr>
              <w:t xml:space="preserve"/>
            </w:r>
            <w:r>
              <w:rPr>
                <w:i/>
                <w:sz w:val="19"/>
                <w:color w:val="1C2422"/>
              </w:rPr>
              <w:t xml:space="preserve">\sum_{i \in \text{Exited}} w_i</w:t>
            </w:r>
            <w:r>
              <w:rPr>
                <w:sz w:val="19"/>
                <w:color w:val="1F1F1F"/>
              </w:rPr>
              <w:t xml:space="preserve"/>
            </w:r>
          </w:p>
        </w:tc>
        <w:tc>
          <w:p>
            <w:pPr>
              <w:spacing w:before="40" w:after="40"/>
            </w:pPr>
            <w:r>
              <w:rPr>
                <w:sz w:val="19"/>
                <w:color w:val="1F1F1F"/>
              </w:rPr>
              <w:t xml:space="preserve">D18{weight} (</w:t>
            </w:r>
            <w:r>
              <w:rPr>
                <w:i/>
                <w:sz w:val="19"/>
                <w:color w:val="1C2422"/>
              </w:rPr>
              <w:t xml:space="preserve">10^{18}</w:t>
            </w:r>
            <w:r>
              <w:rPr>
                <w:sz w:val="19"/>
                <w:color w:val="1F1F1F"/>
              </w:rPr>
              <w:t xml:space="preserve"> scale)</w:t>
            </w:r>
          </w:p>
        </w:tc>
      </w:tr>
      <w:tr>
        <w:tc>
          <w:p>
            <w:pPr>
              <w:spacing w:before="40" w:after="40"/>
            </w:pPr>
            <w:r>
              <w:rPr>
                <w:sz w:val="19"/>
                <w:color w:val="1F1F1F"/>
              </w:rPr>
              <w:t xml:space="preserve"/>
            </w:r>
            <w:r>
              <w:rPr>
                <w:i/>
                <w:sz w:val="19"/>
                <w:color w:val="1C2422"/>
              </w:rPr>
              <w:t xml:space="preserve">\text{RAY}</w:t>
            </w:r>
            <w:r>
              <w:rPr>
                <w:sz w:val="19"/>
                <w:color w:val="1F1F1F"/>
              </w:rPr>
              <w:t xml:space="preserve"/>
            </w:r>
          </w:p>
        </w:tc>
        <w:tc>
          <w:p>
            <w:pPr>
              <w:spacing w:before="40" w:after="40"/>
            </w:pPr>
            <w:r>
              <w:rPr>
                <w:sz w:val="19"/>
                <w:color w:val="1F1F1F"/>
              </w:rPr>
              <w:t xml:space="preserve">Fixed-point prefix accumulator scaling base</w:t>
            </w:r>
          </w:p>
        </w:tc>
        <w:tc>
          <w:p>
            <w:pPr>
              <w:spacing w:before="40" w:after="40"/>
            </w:pPr>
            <w:r>
              <w:rPr>
                <w:sz w:val="19"/>
                <w:color w:val="1F1F1F"/>
              </w:rPr>
              <w:t xml:space="preserve">Constant </w:t>
            </w:r>
            <w:r>
              <w:rPr>
                <w:i/>
                <w:sz w:val="19"/>
                <w:color w:val="1C2422"/>
              </w:rPr>
              <w:t xml:space="preserve">10^{27}</w:t>
            </w:r>
            <w:r>
              <w:rPr>
                <w:sz w:val="19"/>
                <w:color w:val="1F1F1F"/>
              </w:rPr>
              <w:t xml:space="preserve"/>
            </w:r>
          </w:p>
        </w:tc>
        <w:tc>
          <w:p>
            <w:pPr>
              <w:spacing w:before="40" w:after="40"/>
            </w:pPr>
            <w:r>
              <w:rPr>
                <w:sz w:val="19"/>
                <w:color w:val="1F1F1F"/>
              </w:rPr>
              <w:t xml:space="preserve">D27 (Fixed-point ray scale)</w:t>
            </w:r>
          </w:p>
        </w:tc>
      </w:tr>
      <w:tr>
        <w:tc>
          <w:p>
            <w:pPr>
              <w:spacing w:before="40" w:after="40"/>
            </w:pPr>
            <w:r>
              <w:rPr>
                <w:sz w:val="19"/>
                <w:color w:val="1F1F1F"/>
              </w:rPr>
              <w:t xml:space="preserve"/>
            </w:r>
            <w:r>
              <w:rPr>
                <w:i/>
                <w:sz w:val="19"/>
                <w:color w:val="1C2422"/>
              </w:rPr>
              <w:t xml:space="preserve">\omega_{a, m}</w:t>
            </w:r>
            <w:r>
              <w:rPr>
                <w:sz w:val="19"/>
                <w:color w:val="1F1F1F"/>
              </w:rPr>
              <w:t xml:space="preserve"/>
            </w:r>
          </w:p>
        </w:tc>
        <w:tc>
          <w:p>
            <w:pPr>
              <w:spacing w:before="40" w:after="40"/>
            </w:pPr>
            <w:r>
              <w:rPr>
                <w:sz w:val="19"/>
                <w:color w:val="1F1F1F"/>
              </w:rPr>
              <w:t xml:space="preserve">Per-weight quote yield scalar for asset </w:t>
            </w:r>
            <w:r>
              <w:rPr>
                <w:i/>
                <w:sz w:val="19"/>
                <w:color w:val="1C2422"/>
              </w:rPr>
              <w:t xml:space="preserve">a</w:t>
            </w:r>
            <w:r>
              <w:rPr>
                <w:sz w:val="19"/>
                <w:color w:val="1F1F1F"/>
              </w:rPr>
              <w:t xml:space="preserve"> in interval </w:t>
            </w:r>
            <w:r>
              <w:rPr>
                <w:i/>
                <w:sz w:val="19"/>
                <w:color w:val="1C2422"/>
              </w:rPr>
              <w:t xml:space="preserve">m</w:t>
            </w:r>
            <w:r>
              <w:rPr>
                <w:sz w:val="19"/>
                <w:color w:val="1F1F1F"/>
              </w:rPr>
              <w:t xml:space="preserve"/>
            </w:r>
          </w:p>
        </w:tc>
        <w:tc>
          <w:p>
            <w:pPr>
              <w:spacing w:before="40" w:after="40"/>
            </w:pPr>
            <w:r>
              <w:rPr>
                <w:sz w:val="19"/>
                <w:color w:val="1F1F1F"/>
              </w:rPr>
              <w:t xml:space="preserve"/>
            </w:r>
            <w:r>
              <w:rPr>
                <w:i/>
                <w:sz w:val="19"/>
                <w:color w:val="1C2422"/>
              </w:rPr>
              <w:t xml:space="preserve">\lfloor \text{Share}_{a,m} \cdot \text{RAY} / W_{\text{open}}(a,m) \rfloor</w:t>
            </w:r>
            <w:r>
              <w:rPr>
                <w:sz w:val="19"/>
                <w:color w:val="1F1F1F"/>
              </w:rPr>
              <w:t xml:space="preserve"/>
            </w:r>
          </w:p>
        </w:tc>
        <w:tc>
          <w:p>
            <w:pPr>
              <w:spacing w:before="40" w:after="40"/>
            </w:pPr>
            <w:r>
              <w:rPr>
                <w:sz w:val="19"/>
                <w:color w:val="1F1F1F"/>
              </w:rPr>
              <w:t xml:space="preserve">D27 (</w:t>
            </w:r>
            <w:r>
              <w:rPr>
                <w:rFonts w:ascii="Menlo" w:hAnsi="Menlo"/>
                <w:sz w:val="17"/>
                <w:color w:val="1C2422"/>
                <w:shd w:val="clear" w:color="auto" w:fill="F3F4F6"/>
              </w:rPr>
              <w:t xml:space="preserve">uint256</w:t>
            </w:r>
            <w:r>
              <w:rPr>
                <w:sz w:val="19"/>
                <w:color w:val="1F1F1F"/>
              </w:rPr>
              <w:t xml:space="preserve">)</w:t>
            </w:r>
          </w:p>
        </w:tc>
      </w:tr>
      <w:tr>
        <w:tc>
          <w:p>
            <w:pPr>
              <w:spacing w:before="40" w:after="40"/>
            </w:pPr>
            <w:r>
              <w:rPr>
                <w:sz w:val="19"/>
                <w:color w:val="1F1F1F"/>
              </w:rPr>
              <w:t xml:space="preserve"/>
            </w:r>
            <w:r>
              <w:rPr>
                <w:i/>
                <w:sz w:val="19"/>
                <w:color w:val="1C2422"/>
              </w:rPr>
              <w:t xml:space="preserve">A_{a, m}</w:t>
            </w:r>
            <w:r>
              <w:rPr>
                <w:sz w:val="19"/>
                <w:color w:val="1F1F1F"/>
              </w:rPr>
              <w:t xml:space="preserve"/>
            </w:r>
          </w:p>
        </w:tc>
        <w:tc>
          <w:p>
            <w:pPr>
              <w:spacing w:before="40" w:after="40"/>
            </w:pPr>
            <w:r>
              <w:rPr>
                <w:sz w:val="19"/>
                <w:color w:val="1F1F1F"/>
              </w:rPr>
              <w:t xml:space="preserve">Seniority prefix accumulator A for asset </w:t>
            </w:r>
            <w:r>
              <w:rPr>
                <w:i/>
                <w:sz w:val="19"/>
                <w:color w:val="1C2422"/>
              </w:rPr>
              <w:t xml:space="preserve">a</w:t>
            </w:r>
            <w:r>
              <w:rPr>
                <w:sz w:val="19"/>
                <w:color w:val="1F1F1F"/>
              </w:rPr>
              <w:t xml:space="preserve"/>
            </w:r>
          </w:p>
        </w:tc>
        <w:tc>
          <w:p>
            <w:pPr>
              <w:spacing w:before="40" w:after="40"/>
            </w:pPr>
            <w:r>
              <w:rPr>
                <w:sz w:val="19"/>
                <w:color w:val="1F1F1F"/>
              </w:rPr>
              <w:t xml:space="preserve"/>
            </w:r>
            <w:r>
              <w:rPr>
                <w:i/>
                <w:sz w:val="19"/>
                <w:color w:val="1C2422"/>
              </w:rPr>
              <w:t xml:space="preserve">\sum_{k \le m} (1 + k) \cdot \omega_{a, k}</w:t>
            </w:r>
            <w:r>
              <w:rPr>
                <w:sz w:val="19"/>
                <w:color w:val="1F1F1F"/>
              </w:rPr>
              <w:t xml:space="preserve"/>
            </w:r>
          </w:p>
        </w:tc>
        <w:tc>
          <w:p>
            <w:pPr>
              <w:spacing w:before="40" w:after="40"/>
            </w:pPr>
            <w:r>
              <w:rPr>
                <w:sz w:val="19"/>
                <w:color w:val="1F1F1F"/>
              </w:rPr>
              <w:t xml:space="preserve">D27 (</w:t>
            </w:r>
            <w:r>
              <w:rPr>
                <w:rFonts w:ascii="Menlo" w:hAnsi="Menlo"/>
                <w:sz w:val="17"/>
                <w:color w:val="1C2422"/>
                <w:shd w:val="clear" w:color="auto" w:fill="F3F4F6"/>
              </w:rPr>
              <w:t xml:space="preserve">uint256</w:t>
            </w:r>
            <w:r>
              <w:rPr>
                <w:sz w:val="19"/>
                <w:color w:val="1F1F1F"/>
              </w:rPr>
              <w:t xml:space="preserve"> prefix sum)</w:t>
            </w:r>
          </w:p>
        </w:tc>
      </w:tr>
      <w:tr>
        <w:tc>
          <w:p>
            <w:pPr>
              <w:spacing w:before="40" w:after="40"/>
            </w:pPr>
            <w:r>
              <w:rPr>
                <w:sz w:val="19"/>
                <w:color w:val="1F1F1F"/>
              </w:rPr>
              <w:t xml:space="preserve"/>
            </w:r>
            <w:r>
              <w:rPr>
                <w:i/>
                <w:sz w:val="19"/>
                <w:color w:val="1C2422"/>
              </w:rPr>
              <w:t xml:space="preserve">B_{a, m}</w:t>
            </w:r>
            <w:r>
              <w:rPr>
                <w:sz w:val="19"/>
                <w:color w:val="1F1F1F"/>
              </w:rPr>
              <w:t xml:space="preserve"/>
            </w:r>
          </w:p>
        </w:tc>
        <w:tc>
          <w:p>
            <w:pPr>
              <w:spacing w:before="40" w:after="40"/>
            </w:pPr>
            <w:r>
              <w:rPr>
                <w:sz w:val="19"/>
                <w:color w:val="1F1F1F"/>
              </w:rPr>
              <w:t xml:space="preserve">Seniority prefix accumulator B for asset </w:t>
            </w:r>
            <w:r>
              <w:rPr>
                <w:i/>
                <w:sz w:val="19"/>
                <w:color w:val="1C2422"/>
              </w:rPr>
              <w:t xml:space="preserve">a</w:t>
            </w:r>
            <w:r>
              <w:rPr>
                <w:sz w:val="19"/>
                <w:color w:val="1F1F1F"/>
              </w:rPr>
              <w:t xml:space="preserve"/>
            </w:r>
          </w:p>
        </w:tc>
        <w:tc>
          <w:p>
            <w:pPr>
              <w:spacing w:before="40" w:after="40"/>
            </w:pPr>
            <w:r>
              <w:rPr>
                <w:sz w:val="19"/>
                <w:color w:val="1F1F1F"/>
              </w:rPr>
              <w:t xml:space="preserve"/>
            </w:r>
            <w:r>
              <w:rPr>
                <w:i/>
                <w:sz w:val="19"/>
                <w:color w:val="1C2422"/>
              </w:rPr>
              <w:t xml:space="preserve">\sum_{k \le m} \omega_{a, k}</w:t>
            </w:r>
            <w:r>
              <w:rPr>
                <w:sz w:val="19"/>
                <w:color w:val="1F1F1F"/>
              </w:rPr>
              <w:t xml:space="preserve"/>
            </w:r>
          </w:p>
        </w:tc>
        <w:tc>
          <w:p>
            <w:pPr>
              <w:spacing w:before="40" w:after="40"/>
            </w:pPr>
            <w:r>
              <w:rPr>
                <w:sz w:val="19"/>
                <w:color w:val="1F1F1F"/>
              </w:rPr>
              <w:t xml:space="preserve">D27 (</w:t>
            </w:r>
            <w:r>
              <w:rPr>
                <w:rFonts w:ascii="Menlo" w:hAnsi="Menlo"/>
                <w:sz w:val="17"/>
                <w:color w:val="1C2422"/>
                <w:shd w:val="clear" w:color="auto" w:fill="F3F4F6"/>
              </w:rPr>
              <w:t xml:space="preserve">uint256</w:t>
            </w:r>
            <w:r>
              <w:rPr>
                <w:sz w:val="19"/>
                <w:color w:val="1F1F1F"/>
              </w:rPr>
              <w:t xml:space="preserve"> prefix sum)</w:t>
            </w:r>
          </w:p>
        </w:tc>
      </w:tr>
      <w:tr>
        <w:tc>
          <w:p>
            <w:pPr>
              <w:spacing w:before="40" w:after="40"/>
            </w:pPr>
            <w:r>
              <w:rPr>
                <w:sz w:val="19"/>
                <w:color w:val="1F1F1F"/>
              </w:rPr>
              <w:t xml:space="preserve"/>
            </w:r>
            <w:r>
              <w:rPr>
                <w:i/>
                <w:sz w:val="19"/>
                <w:color w:val="1C2422"/>
              </w:rPr>
              <w:t xml:space="preserve">\alpha</w:t>
            </w:r>
            <w:r>
              <w:rPr>
                <w:sz w:val="19"/>
                <w:color w:val="1F1F1F"/>
              </w:rPr>
              <w:t xml:space="preserve"/>
            </w:r>
          </w:p>
        </w:tc>
        <w:tc>
          <w:p>
            <w:pPr>
              <w:spacing w:before="40" w:after="40"/>
            </w:pPr>
            <w:r>
              <w:rPr>
                <w:sz w:val="19"/>
                <w:color w:val="1F1F1F"/>
              </w:rPr>
              <w:t xml:space="preserve">Baseline emission fraction per nominal interval</w:t>
            </w:r>
          </w:p>
        </w:tc>
        <w:tc>
          <w:p>
            <w:pPr>
              <w:spacing w:before="40" w:after="40"/>
            </w:pPr>
            <w:r>
              <w:rPr>
                <w:sz w:val="19"/>
                <w:color w:val="1F1F1F"/>
              </w:rPr>
              <w:t xml:space="preserve"/>
            </w:r>
            <w:r>
              <w:rPr>
                <w:i/>
                <w:sz w:val="19"/>
                <w:color w:val="1C2422"/>
              </w:rPr>
              <w:t xml:space="preserve">\frac{\text{WINDOW}}{T_{\text{week}}} = \frac{8}{168} = \frac{1}{21}</w:t>
            </w:r>
            <w:r>
              <w:rPr>
                <w:sz w:val="19"/>
                <w:color w:val="1F1F1F"/>
              </w:rPr>
              <w:t xml:space="preserve"/>
            </w:r>
          </w:p>
        </w:tc>
        <w:tc>
          <w:p>
            <w:pPr>
              <w:spacing w:before="40" w:after="40"/>
            </w:pPr>
            <w:r>
              <w:rPr>
                <w:sz w:val="19"/>
                <w:color w:val="1F1F1F"/>
              </w:rPr>
              <w:t xml:space="preserve">Dimensionless fraction (</w:t>
            </w:r>
            <w:r>
              <w:rPr>
                <w:i/>
                <w:sz w:val="19"/>
                <w:color w:val="1C2422"/>
              </w:rPr>
              <w:t xml:space="preserve">\approx 4.7619\%</w:t>
            </w:r>
            <w:r>
              <w:rPr>
                <w:sz w:val="19"/>
                <w:color w:val="1F1F1F"/>
              </w:rPr>
              <w:t xml:space="preserve">)</w:t>
            </w:r>
          </w:p>
        </w:tc>
      </w:tr>
      <w:tr>
        <w:tc>
          <w:p>
            <w:pPr>
              <w:spacing w:before="40" w:after="40"/>
            </w:pPr>
            <w:r>
              <w:rPr>
                <w:sz w:val="19"/>
                <w:color w:val="1F1F1F"/>
              </w:rPr>
              <w:t xml:space="preserve"/>
            </w:r>
            <w:r>
              <w:rPr>
                <w:i/>
                <w:sz w:val="19"/>
                <w:color w:val="1C2422"/>
              </w:rPr>
              <w:t xml:space="preserve">B_k</w:t>
            </w:r>
            <w:r>
              <w:rPr>
                <w:sz w:val="19"/>
                <w:color w:val="1F1F1F"/>
              </w:rPr>
              <w:t xml:space="preserve"/>
            </w:r>
          </w:p>
        </w:tc>
        <w:tc>
          <w:p>
            <w:pPr>
              <w:spacing w:before="40" w:after="40"/>
            </w:pPr>
            <w:r>
              <w:rPr>
                <w:sz w:val="19"/>
                <w:color w:val="1F1F1F"/>
              </w:rPr>
              <w:t xml:space="preserve">Available quote balance in The Belly prior to meal </w:t>
            </w:r>
            <w:r>
              <w:rPr>
                <w:i/>
                <w:sz w:val="19"/>
                <w:color w:val="1C2422"/>
              </w:rPr>
              <w:t xml:space="preserve">k</w:t>
            </w:r>
            <w:r>
              <w:rPr>
                <w:sz w:val="19"/>
                <w:color w:val="1F1F1F"/>
              </w:rPr>
              <w:t xml:space="preserve"/>
            </w:r>
          </w:p>
        </w:tc>
        <w:tc>
          <w:p>
            <w:pPr>
              <w:spacing w:before="40" w:after="40"/>
            </w:pPr>
            <w:r>
              <w:rPr>
                <w:sz w:val="19"/>
                <w:color w:val="1F1F1F"/>
              </w:rPr>
              <w:t xml:space="preserve"/>
            </w:r>
            <w:r>
              <w:rPr>
                <w:i/>
                <w:sz w:val="19"/>
                <w:color w:val="1C2422"/>
              </w:rPr>
              <w:t xml:space="preserve">\text{accounted} - \text{outstandingClaims}</w:t>
            </w:r>
            <w:r>
              <w:rPr>
                <w:sz w:val="19"/>
                <w:color w:val="1F1F1F"/>
              </w:rPr>
              <w:t xml:space="preserve"/>
            </w:r>
          </w:p>
        </w:tc>
        <w:tc>
          <w:p>
            <w:pPr>
              <w:spacing w:before="40" w:after="40"/>
            </w:pPr>
            <w:r>
              <w:rPr>
                <w:sz w:val="19"/>
                <w:color w:val="1F1F1F"/>
              </w:rPr>
              <w:t xml:space="preserve">D18{quote} (Canonical WBNB)</w:t>
            </w:r>
          </w:p>
        </w:tc>
      </w:tr>
      <w:tr>
        <w:tc>
          <w:p>
            <w:pPr>
              <w:spacing w:before="40" w:after="40"/>
            </w:pPr>
            <w:r>
              <w:rPr>
                <w:sz w:val="19"/>
                <w:color w:val="1F1F1F"/>
              </w:rPr>
              <w:t xml:space="preserve"/>
            </w:r>
            <w:r>
              <w:rPr>
                <w:i/>
                <w:sz w:val="19"/>
                <w:color w:val="1C2422"/>
              </w:rPr>
              <w:t xml:space="preserve">\text{BatchRate}</w:t>
            </w:r>
            <w:r>
              <w:rPr>
                <w:sz w:val="19"/>
                <w:color w:val="1F1F1F"/>
              </w:rPr>
              <w:t xml:space="preserve"/>
            </w:r>
          </w:p>
        </w:tc>
        <w:tc>
          <w:p>
            <w:pPr>
              <w:spacing w:before="40" w:after="40"/>
            </w:pPr>
            <w:r>
              <w:rPr>
                <w:sz w:val="19"/>
                <w:color w:val="1F1F1F"/>
              </w:rPr>
              <w:t xml:space="preserve">Unit execution conversion rate for asset batch</w:t>
            </w:r>
          </w:p>
        </w:tc>
        <w:tc>
          <w:p>
            <w:pPr>
              <w:spacing w:before="40" w:after="40"/>
            </w:pPr>
            <w:r>
              <w:rPr>
                <w:sz w:val="19"/>
                <w:color w:val="1F1F1F"/>
              </w:rPr>
              <w:t xml:space="preserve"/>
            </w:r>
            <w:r>
              <w:rPr>
                <w:i/>
                <w:sz w:val="19"/>
                <w:color w:val="1C2422"/>
              </w:rPr>
              <w:t xml:space="preserve">\lfloor \text{TokensReceived} \cdot \text{RAY} / \text{ClaimablePot} \rfloor</w:t>
            </w:r>
            <w:r>
              <w:rPr>
                <w:sz w:val="19"/>
                <w:color w:val="1F1F1F"/>
              </w:rPr>
              <w:t xml:space="preserve"/>
            </w:r>
          </w:p>
        </w:tc>
        <w:tc>
          <w:p>
            <w:pPr>
              <w:spacing w:before="40" w:after="40"/>
            </w:pPr>
            <w:r>
              <w:rPr>
                <w:sz w:val="19"/>
                <w:color w:val="1F1F1F"/>
              </w:rPr>
              <w:t xml:space="preserve">D27 (Fixed-point exchange rate)</w:t>
            </w:r>
          </w:p>
        </w:tc>
      </w:tr>
      <w:tr>
        <w:tc>
          <w:p>
            <w:pPr>
              <w:spacing w:before="40" w:after="40"/>
            </w:pPr>
            <w:r>
              <w:rPr>
                <w:sz w:val="19"/>
                <w:color w:val="1F1F1F"/>
              </w:rPr>
              <w:t xml:space="preserve"/>
            </w:r>
            <w:r>
              <w:rPr>
                <w:i/>
                <w:sz w:val="19"/>
                <w:color w:val="1C2422"/>
              </w:rPr>
              <w:t xml:space="preserve">\text{liability}[a]</w:t>
            </w:r>
            <w:r>
              <w:rPr>
                <w:sz w:val="19"/>
                <w:color w:val="1F1F1F"/>
              </w:rPr>
              <w:t xml:space="preserve"/>
            </w:r>
          </w:p>
        </w:tc>
        <w:tc>
          <w:p>
            <w:pPr>
              <w:spacing w:before="40" w:after="40"/>
            </w:pPr>
            <w:r>
              <w:rPr>
                <w:sz w:val="19"/>
                <w:color w:val="1F1F1F"/>
              </w:rPr>
              <w:t xml:space="preserve">Outstanding reward token liability for asset </w:t>
            </w:r>
            <w:r>
              <w:rPr>
                <w:i/>
                <w:sz w:val="19"/>
                <w:color w:val="1C2422"/>
              </w:rPr>
              <w:t xml:space="preserve">a</w:t>
            </w:r>
            <w:r>
              <w:rPr>
                <w:sz w:val="19"/>
                <w:color w:val="1F1F1F"/>
              </w:rPr>
              <w:t xml:space="preserve"/>
            </w:r>
          </w:p>
        </w:tc>
        <w:tc>
          <w:p>
            <w:pPr>
              <w:spacing w:before="40" w:after="40"/>
            </w:pPr>
            <w:r>
              <w:rPr>
                <w:sz w:val="19"/>
                <w:color w:val="1F1F1F"/>
              </w:rPr>
              <w:t xml:space="preserve"/>
            </w:r>
            <w:r>
              <w:rPr>
                <w:i/>
                <w:sz w:val="19"/>
                <w:color w:val="1C2422"/>
              </w:rPr>
              <w:t xml:space="preserve">\ge 0</w:t>
            </w:r>
            <w:r>
              <w:rPr>
                <w:sz w:val="19"/>
                <w:color w:val="1F1F1F"/>
              </w:rPr>
              <w:t xml:space="preserve"/>
            </w:r>
          </w:p>
        </w:tc>
        <w:tc>
          <w:p>
            <w:pPr>
              <w:spacing w:before="40" w:after="40"/>
            </w:pPr>
            <w:r>
              <w:rPr>
                <w:sz w:val="19"/>
                <w:color w:val="1F1F1F"/>
              </w:rPr>
              <w:t xml:space="preserve">D18{tok} (Reward token quantity)</w:t>
            </w:r>
          </w:p>
        </w:tc>
      </w:tr>
      <w:tr>
        <w:tc>
          <w:p>
            <w:pPr>
              <w:spacing w:before="40" w:after="40"/>
            </w:pPr>
            <w:r>
              <w:rPr>
                <w:sz w:val="19"/>
                <w:color w:val="1F1F1F"/>
              </w:rPr>
              <w:t xml:space="preserve"/>
            </w:r>
            <w:r>
              <w:rPr>
                <w:i/>
                <w:sz w:val="19"/>
                <w:color w:val="1C2422"/>
              </w:rPr>
              <w:t xml:space="preserve">\text{quoteLiability}[a]</w:t>
            </w:r>
            <w:r>
              <w:rPr>
                <w:sz w:val="19"/>
                <w:color w:val="1F1F1F"/>
              </w:rPr>
              <w:t xml:space="preserve"/>
            </w:r>
          </w:p>
        </w:tc>
        <w:tc>
          <w:p>
            <w:pPr>
              <w:spacing w:before="40" w:after="40"/>
            </w:pPr>
            <w:r>
              <w:rPr>
                <w:sz w:val="19"/>
                <w:color w:val="1F1F1F"/>
              </w:rPr>
              <w:t xml:space="preserve">Outstanding fallback quote liability for asset </w:t>
            </w:r>
            <w:r>
              <w:rPr>
                <w:i/>
                <w:sz w:val="19"/>
                <w:color w:val="1C2422"/>
              </w:rPr>
              <w:t xml:space="preserve">a</w:t>
            </w:r>
            <w:r>
              <w:rPr>
                <w:sz w:val="19"/>
                <w:color w:val="1F1F1F"/>
              </w:rPr>
              <w:t xml:space="preserve"/>
            </w:r>
          </w:p>
        </w:tc>
        <w:tc>
          <w:p>
            <w:pPr>
              <w:spacing w:before="40" w:after="40"/>
            </w:pPr>
            <w:r>
              <w:rPr>
                <w:sz w:val="19"/>
                <w:color w:val="1F1F1F"/>
              </w:rPr>
              <w:t xml:space="preserve"/>
            </w:r>
            <w:r>
              <w:rPr>
                <w:i/>
                <w:sz w:val="19"/>
                <w:color w:val="1C2422"/>
              </w:rPr>
              <w:t xml:space="preserve">\ge 0</w:t>
            </w:r>
            <w:r>
              <w:rPr>
                <w:sz w:val="19"/>
                <w:color w:val="1F1F1F"/>
              </w:rPr>
              <w:t xml:space="preserve"/>
            </w:r>
          </w:p>
        </w:tc>
        <w:tc>
          <w:p>
            <w:pPr>
              <w:spacing w:before="40" w:after="40"/>
            </w:pPr>
            <w:r>
              <w:rPr>
                <w:sz w:val="19"/>
                <w:color w:val="1F1F1F"/>
              </w:rPr>
              <w:t xml:space="preserve">D18{quote} (Canonical WBNB quantity)</w:t>
            </w:r>
          </w:p>
        </w:tc>
      </w:tr>
    </w:tbl>
    <w:p>
      <w:pPr>
        <w:pBdr>
          <w:bottom w:val="single" w:sz="6" w:space="8" w:color="E5E7EB"/>
        </w:pBdr>
        <w:spacing w:before="200" w:after="200"/>
      </w:pPr>
    </w:p>
    <w:p>
      <w:pPr>
        <w:pStyle w:val="Heading1"/>
      </w:pPr>
      <w:r>
        <w:t>Appendix B: Solidity Rounding and Solvency Bounds</w:t>
      </w:r>
    </w:p>
    <w:p>
      <w:pPr>
        <w:pStyle w:val="Subtitle"/>
      </w:pPr>
      <w:r>
        <w:t>B.1 Integer Floor Division Properties</w:t>
      </w:r>
    </w:p>
    <w:p>
      <w:r>
        <w:rPr>
          <w:sz w:val="22"/>
          <w:color w:val="1F1F1F"/>
        </w:rPr>
        <w:t xml:space="preserve">In the EVM architecture, unsigned integer division </w:t>
      </w:r>
      <w:r>
        <w:rPr>
          <w:rFonts w:ascii="Menlo" w:hAnsi="Menlo"/>
          <w:sz w:val="20"/>
          <w:color w:val="1C2422"/>
          <w:shd w:val="clear" w:color="auto" w:fill="F3F4F6"/>
        </w:rPr>
        <w:t xml:space="preserve">/</w:t>
      </w:r>
      <w:r>
        <w:rPr>
          <w:sz w:val="22"/>
          <w:color w:val="1F1F1F"/>
        </w:rPr>
        <w:t xml:space="preserve"> strictly truncates toward zero (floor division):</w:t>
      </w:r>
    </w:p>
    <w:p>
      <w:pPr>
        <w:pStyle w:val="Equation"/>
      </w:pPr>
      <w:r>
        <w:rPr>
          <w:i/>
          <w:sz w:val="22"/>
          <w:color w:val="1C2422"/>
        </w:rPr>
        <w:t xml:space="preserve">\forall a, b \in \mathbb{N}^+, \quad \left\lfloor \frac{a}{b} \right\rfloor = \frac{a - (a \pmod b)}{b} \le \frac{a}{b}</w:t>
      </w:r>
    </w:p>
    <w:p>
      <w:r>
        <w:rPr>
          <w:sz w:val="22"/>
          <w:color w:val="1F1F1F"/>
        </w:rPr>
        <w:t xml:space="preserve">The integer truncation rounding error </w:t>
      </w:r>
      <w:r>
        <w:rPr>
          <w:i/>
          <w:sz w:val="22"/>
          <w:color w:val="1C2422"/>
        </w:rPr>
        <w:t xml:space="preserve">\epsilon = \frac{a}{b} - \left\lfloor \frac{a}{b} \right\rfloor = \frac{a \pmod b}{b}</w:t>
      </w:r>
      <w:r>
        <w:rPr>
          <w:sz w:val="22"/>
          <w:color w:val="1F1F1F"/>
        </w:rPr>
        <w:t xml:space="preserve"> strictly satisfies </w:t>
      </w:r>
      <w:r>
        <w:rPr>
          <w:i/>
          <w:sz w:val="22"/>
          <w:color w:val="1C2422"/>
        </w:rPr>
        <w:t xml:space="preserve">0 \le \epsilon &lt; 1</w:t>
      </w:r>
      <w:r>
        <w:rPr>
          <w:sz w:val="22"/>
          <w:color w:val="1F1F1F"/>
        </w:rPr>
        <w:t xml:space="preserve">.</w:t>
      </w:r>
    </w:p>
    <w:p>
      <w:pPr>
        <w:pStyle w:val="Subtitle"/>
      </w:pPr>
      <w:r>
        <w:t>B.2 Non-Negative Dust Theorem in Batch Realization</w:t>
      </w:r>
    </w:p>
    <w:p>
      <w:r>
        <w:rPr>
          <w:b/>
          <w:sz w:val="22"/>
          <w:szCs w:val="22"/>
          <w:color w:val="1F1F1F"/>
        </w:rPr>
        <w:t xml:space="preserve">Theorem</w:t>
      </w:r>
      <w:r>
        <w:rPr>
          <w:sz w:val="22"/>
          <w:color w:val="1F1F1F"/>
        </w:rPr>
        <w:t xml:space="preserve">: Let </w:t>
      </w:r>
      <w:r>
        <w:rPr>
          <w:i/>
          <w:sz w:val="22"/>
          <w:color w:val="1C2422"/>
        </w:rPr>
        <w:t xml:space="preserve">R</w:t>
      </w:r>
      <w:r>
        <w:rPr>
          <w:sz w:val="22"/>
          <w:color w:val="1F1F1F"/>
        </w:rPr>
        <w:t xml:space="preserve"> (in D18{tok}) be the total reward tokens acquired in an execution batch, and let </w:t>
      </w:r>
      <w:r>
        <w:rPr>
          <w:i/>
          <w:sz w:val="22"/>
          <w:color w:val="1C2422"/>
        </w:rPr>
        <w:t xml:space="preserve">S</w:t>
      </w:r>
      <w:r>
        <w:rPr>
          <w:sz w:val="22"/>
          <w:color w:val="1F1F1F"/>
        </w:rPr>
        <w:t xml:space="preserve"> (in D18{quote}) be the claimable quote pot allocated to that batch. Let </w:t>
      </w:r>
      <w:r>
        <w:rPr>
          <w:i/>
          <w:sz w:val="22"/>
          <w:color w:val="1C2422"/>
        </w:rPr>
        <w:t xml:space="preserve">x_i</w:t>
      </w:r>
      <w:r>
        <w:rPr>
          <w:sz w:val="22"/>
          <w:color w:val="1F1F1F"/>
        </w:rPr>
        <w:t xml:space="preserve"> be staker </w:t>
      </w:r>
      <w:r>
        <w:rPr>
          <w:i/>
          <w:sz w:val="22"/>
          <w:color w:val="1C2422"/>
        </w:rPr>
        <w:t xml:space="preserve">i</w:t>
      </w:r>
      <w:r>
        <w:rPr>
          <w:sz w:val="22"/>
          <w:color w:val="1F1F1F"/>
        </w:rPr>
        <w:t xml:space="preserve">'s entitlement quote share, satisfying </w:t>
      </w:r>
      <w:r>
        <w:rPr>
          <w:i/>
          <w:sz w:val="22"/>
          <w:color w:val="1C2422"/>
        </w:rPr>
        <w:t xml:space="preserve">\sum_{i=1}^N x_i \le S</w:t>
      </w:r>
      <w:r>
        <w:rPr>
          <w:sz w:val="22"/>
          <w:color w:val="1F1F1F"/>
        </w:rPr>
        <w:t xml:space="preserve">. Under dual-scaled integer division, the aggregate claimed tokens across all </w:t>
      </w:r>
      <w:r>
        <w:rPr>
          <w:i/>
          <w:sz w:val="22"/>
          <w:color w:val="1C2422"/>
        </w:rPr>
        <w:t xml:space="preserve">N</w:t>
      </w:r>
      <w:r>
        <w:rPr>
          <w:sz w:val="22"/>
          <w:color w:val="1F1F1F"/>
        </w:rPr>
        <w:t xml:space="preserve"> stakers is guaranteed to be less than or equal to the actual token reserve </w:t>
      </w:r>
      <w:r>
        <w:rPr>
          <w:i/>
          <w:sz w:val="22"/>
          <w:color w:val="1C2422"/>
        </w:rPr>
        <w:t xml:space="preserve">R</w:t>
      </w:r>
      <w:r>
        <w:rPr>
          <w:sz w:val="22"/>
          <w:color w:val="1F1F1F"/>
        </w:rPr>
        <w:t xml:space="preserve">:</w:t>
      </w:r>
    </w:p>
    <w:p>
      <w:pPr>
        <w:pStyle w:val="Equation"/>
      </w:pPr>
      <w:r>
        <w:rPr>
          <w:i/>
          <w:sz w:val="22"/>
          <w:color w:val="1C2422"/>
        </w:rPr>
        <w:t xml:space="preserve">\sum_{i=1}^N r_i \le R</w:t>
      </w:r>
    </w:p>
    <w:p>
      <w:r>
        <w:rPr>
          <w:b/>
          <w:sz w:val="22"/>
          <w:szCs w:val="22"/>
          <w:color w:val="1F1F1F"/>
        </w:rPr>
        <w:t xml:space="preserve">Proof</w:t>
      </w:r>
      <w:r>
        <w:rPr>
          <w:sz w:val="22"/>
          <w:color w:val="1F1F1F"/>
        </w:rPr>
        <w:t xml:space="preserve">:</w:t>
      </w:r>
    </w:p>
    <w:p>
      <w:pPr>
        <w:pStyle w:val="ListBullet"/>
      </w:pPr>
      <w:r>
        <w:rPr>
          <w:b/>
          <w:color w:val="0F5C46"/>
        </w:rPr>
        <w:t xml:space="preserve">1.  </w:t>
      </w:r>
      <w:r>
        <w:rPr>
          <w:sz w:val="21"/>
          <w:color w:val="1F1F1F"/>
        </w:rPr>
        <w:t xml:space="preserve">The batch realization rate recorded by the contract is defined as:</w:t>
      </w:r>
    </w:p>
    <w:p>
      <w:pPr>
        <w:pStyle w:val="Equation"/>
      </w:pPr>
      <w:r>
        <w:rPr>
          <w:i/>
          <w:sz w:val="22"/>
          <w:color w:val="1C2422"/>
        </w:rPr>
        <w:t xml:space="preserve">\text{Rate} = \left\lfloor \frac{R \cdot \text{RAY}}{S} \right\rfloor</w:t>
      </w:r>
    </w:p>
    <w:p>
      <w:pPr>
        <w:pStyle w:val="ListBullet"/>
      </w:pPr>
      <w:r>
        <w:rPr>
          <w:b/>
          <w:color w:val="0F5C46"/>
        </w:rPr>
        <w:t xml:space="preserve">2.  </w:t>
      </w:r>
      <w:r>
        <w:rPr>
          <w:sz w:val="21"/>
          <w:color w:val="1F1F1F"/>
        </w:rPr>
        <w:t xml:space="preserve">For each claiming staker </w:t>
      </w:r>
      <w:r>
        <w:rPr>
          <w:i/>
          <w:sz w:val="21"/>
          <w:color w:val="1C2422"/>
        </w:rPr>
        <w:t xml:space="preserve">i</w:t>
      </w:r>
      <w:r>
        <w:rPr>
          <w:sz w:val="21"/>
          <w:color w:val="1F1F1F"/>
        </w:rPr>
        <w:t xml:space="preserve">, the claimed reward tokens received is calculated as:</w:t>
      </w:r>
    </w:p>
    <w:p>
      <w:pPr>
        <w:pStyle w:val="Equation"/>
      </w:pPr>
      <w:r>
        <w:rPr>
          <w:i/>
          <w:sz w:val="22"/>
          <w:color w:val="1C2422"/>
        </w:rPr>
        <w:t xml:space="preserve">r_i = \left\lfloor \frac{x_i \cdot \text{Rate}}{\text{RAY}} \right\rfloor</w:t>
      </w:r>
    </w:p>
    <w:p>
      <w:pPr>
        <w:pStyle w:val="ListBullet"/>
      </w:pPr>
      <w:r>
        <w:rPr>
          <w:b/>
          <w:color w:val="0F5C46"/>
        </w:rPr>
        <w:t xml:space="preserve">3.  </w:t>
      </w:r>
      <w:r>
        <w:rPr>
          <w:sz w:val="21"/>
          <w:color w:val="1F1F1F"/>
        </w:rPr>
        <w:t xml:space="preserve">By the fundamental property of integer floor division, dropping the outer floor operator yields:</w:t>
      </w:r>
    </w:p>
    <w:p>
      <w:pPr>
        <w:pStyle w:val="Equation"/>
      </w:pPr>
      <w:r>
        <w:rPr>
          <w:i/>
          <w:sz w:val="22"/>
          <w:color w:val="1C2422"/>
        </w:rPr>
        <w:t xml:space="preserve">r_i \le \frac{x_i \cdot \text{Rate}}{\text{RAY}}</w:t>
      </w:r>
    </w:p>
    <w:p>
      <w:pPr>
        <w:pStyle w:val="ListBullet"/>
      </w:pPr>
      <w:r>
        <w:rPr>
          <w:b/>
          <w:color w:val="0F5C46"/>
        </w:rPr>
        <w:t xml:space="preserve">4.  </w:t>
      </w:r>
      <w:r>
        <w:rPr>
          <w:sz w:val="21"/>
          <w:color w:val="1F1F1F"/>
        </w:rPr>
        <w:t xml:space="preserve">Summing across all </w:t>
      </w:r>
      <w:r>
        <w:rPr>
          <w:i/>
          <w:sz w:val="21"/>
          <w:color w:val="1C2422"/>
        </w:rPr>
        <w:t xml:space="preserve">N</w:t>
      </w:r>
      <w:r>
        <w:rPr>
          <w:sz w:val="21"/>
          <w:color w:val="1F1F1F"/>
        </w:rPr>
        <w:t xml:space="preserve"> claimers:</w:t>
      </w:r>
    </w:p>
    <w:p>
      <w:pPr>
        <w:pStyle w:val="Equation"/>
      </w:pPr>
      <w:r>
        <w:rPr>
          <w:i/>
          <w:sz w:val="22"/>
          <w:color w:val="1C2422"/>
        </w:rPr>
        <w:t xml:space="preserve">\sum_{i=1}^N r_i \le \sum_{i=1}^N \frac{x_i \cdot \text{Rate}}{\text{RAY}} = \frac{\text{Rate}}{\text{RAY}} \cdot \sum_{i=1}^N x_i</w:t>
      </w:r>
    </w:p>
    <w:p>
      <w:pPr>
        <w:pStyle w:val="ListBullet"/>
      </w:pPr>
      <w:r>
        <w:rPr>
          <w:b/>
          <w:color w:val="0F5C46"/>
        </w:rPr>
        <w:t xml:space="preserve">5.  </w:t>
      </w:r>
      <w:r>
        <w:rPr>
          <w:sz w:val="21"/>
          <w:color w:val="1F1F1F"/>
        </w:rPr>
        <w:t xml:space="preserve">Substituting </w:t>
      </w:r>
      <w:r>
        <w:rPr>
          <w:i/>
          <w:sz w:val="21"/>
          <w:color w:val="1C2422"/>
        </w:rPr>
        <w:t xml:space="preserve">\sum_{i=1}^N x_i \le S</w:t>
      </w:r>
      <w:r>
        <w:rPr>
          <w:sz w:val="21"/>
          <w:color w:val="1F1F1F"/>
        </w:rPr>
        <w:t xml:space="preserve"> and </w:t>
      </w:r>
      <w:r>
        <w:rPr>
          <w:i/>
          <w:sz w:val="21"/>
          <w:color w:val="1C2422"/>
        </w:rPr>
        <w:t xml:space="preserve">\text{Rate} \le \frac{R \cdot \text{RAY}}{S}</w:t>
      </w:r>
      <w:r>
        <w:rPr>
          <w:sz w:val="21"/>
          <w:color w:val="1F1F1F"/>
        </w:rPr>
        <w:t xml:space="preserve">:</w:t>
      </w:r>
    </w:p>
    <w:p>
      <w:pPr>
        <w:pStyle w:val="Equation"/>
      </w:pPr>
      <w:r>
        <w:rPr>
          <w:i/>
          <w:sz w:val="22"/>
          <w:color w:val="1C2422"/>
        </w:rPr>
        <w:t xml:space="preserve">\sum_{i=1}^N r_i \le \frac{\text{Rate} \cdot S}{\text{RAY}} \le \frac{\left( \frac{R \cdot \text{RAY}}{S} \right) \cdot S}{\text{RAY}} = R \quad \blacksquare</w:t>
      </w:r>
    </w:p>
    <w:p>
      <w:r>
        <w:rPr>
          <w:b/>
          <w:sz w:val="22"/>
          <w:szCs w:val="22"/>
          <w:color w:val="1F1F1F"/>
        </w:rPr>
        <w:t xml:space="preserve">Corollary (Physical Dust Vesting)</w:t>
      </w:r>
      <w:r>
        <w:rPr>
          <w:sz w:val="22"/>
          <w:color w:val="1F1F1F"/>
        </w:rPr>
        <w:t xml:space="preserve">:</w:t>
      </w:r>
    </w:p>
    <w:p>
      <w:r>
        <w:rPr>
          <w:sz w:val="22"/>
          <w:color w:val="1F1F1F"/>
        </w:rPr>
        <w:t xml:space="preserve">The residual rounding dust </w:t>
      </w:r>
      <w:r>
        <w:rPr>
          <w:i/>
          <w:sz w:val="22"/>
          <w:color w:val="1C2422"/>
        </w:rPr>
        <w:t xml:space="preserve">\Delta_{\text{dust}} = R - \sum_{i=1}^N r_i \ge 0</w:t>
      </w:r>
      <w:r>
        <w:rPr>
          <w:sz w:val="22"/>
          <w:color w:val="1F1F1F"/>
        </w:rPr>
        <w:t xml:space="preserve"> permanently vests within the distributor contract, guaranteeing that physical token balances held by the contract are always greater than or equal to recorded accounting liabilities (</w:t>
      </w:r>
      <w:r>
        <w:rPr>
          <w:i/>
          <w:sz w:val="22"/>
          <w:color w:val="1C2422"/>
        </w:rPr>
        <w:t xml:space="preserve">\text{Balance} \ge \text{Liability}</w:t>
      </w:r>
      <w:r>
        <w:rPr>
          <w:sz w:val="22"/>
          <w:color w:val="1F1F1F"/>
        </w:rPr>
        <w:t xml:space="preserve">).</w:t>
      </w:r>
    </w:p>
    <w:p>
      <w:pPr>
        <w:pStyle w:val="Subtitle"/>
      </w:pPr>
      <w:r>
        <w:t>B.3 Preconditions &amp; Implementation Scope</w:t>
      </w:r>
    </w:p>
    <w:p>
      <w:r>
        <w:rPr>
          <w:sz w:val="22"/>
          <w:color w:val="1F1F1F"/>
        </w:rPr>
        <w:t xml:space="preserve">The excess reserve invariant (Security Invariant D1) holds strictly under the following system preconditions:</w:t>
      </w:r>
    </w:p>
    <w:p>
      <w:pPr>
        <w:pStyle w:val="ListBullet"/>
      </w:pPr>
      <w:r>
        <w:rPr>
          <w:b/>
          <w:color w:val="0F5C46"/>
        </w:rPr>
        <w:t xml:space="preserve">1.  </w:t>
      </w:r>
      <w:r>
        <w:rPr>
          <w:b/>
          <w:sz w:val="21"/>
          <w:szCs w:val="21"/>
          <w:color w:val="1F1F1F"/>
        </w:rPr>
        <w:t xml:space="preserve">Standard Token Behavior</w:t>
      </w:r>
      <w:r>
        <w:rPr>
          <w:sz w:val="21"/>
          <w:color w:val="1F1F1F"/>
        </w:rPr>
        <w:t xml:space="preserve">: Reward assets must be standard ERC-20 tokens (no transfer tax / fee-on-transfer, no negative elastic rebasing);</w:t>
      </w:r>
    </w:p>
    <w:p>
      <w:pPr>
        <w:pStyle w:val="ListBullet"/>
      </w:pPr>
      <w:r>
        <w:rPr>
          <w:b/>
          <w:color w:val="0F5C46"/>
        </w:rPr>
        <w:t xml:space="preserve">2.  </w:t>
      </w:r>
      <w:r>
        <w:rPr>
          <w:b/>
          <w:sz w:val="21"/>
          <w:szCs w:val="21"/>
          <w:color w:val="1F1F1F"/>
        </w:rPr>
        <w:t xml:space="preserve">Monotonic Liability Accounting</w:t>
      </w:r>
      <w:r>
        <w:rPr>
          <w:sz w:val="21"/>
          <w:color w:val="1F1F1F"/>
        </w:rPr>
        <w:t xml:space="preserve">: </w:t>
      </w:r>
      <w:r>
        <w:rPr>
          <w:rFonts w:ascii="Menlo" w:hAnsi="Menlo"/>
          <w:sz w:val="19"/>
          <w:color w:val="1C2422"/>
          <w:shd w:val="clear" w:color="auto" w:fill="F3F4F6"/>
        </w:rPr>
        <w:t xml:space="preserve">finalize()</w:t>
      </w:r>
      <w:r>
        <w:rPr>
          <w:sz w:val="21"/>
          <w:color w:val="1F1F1F"/>
        </w:rPr>
        <w:t xml:space="preserve"> and </w:t>
      </w:r>
      <w:r>
        <w:rPr>
          <w:rFonts w:ascii="Menlo" w:hAnsi="Menlo"/>
          <w:sz w:val="19"/>
          <w:color w:val="1C2422"/>
          <w:shd w:val="clear" w:color="auto" w:fill="F3F4F6"/>
        </w:rPr>
        <w:t xml:space="preserve">fallbackFinalize()</w:t>
      </w:r>
      <w:r>
        <w:rPr>
          <w:sz w:val="21"/>
          <w:color w:val="1F1F1F"/>
        </w:rPr>
        <w:t xml:space="preserve"> atomically increment liabilities monotonically; </w:t>
      </w:r>
      <w:r>
        <w:rPr>
          <w:rFonts w:ascii="Menlo" w:hAnsi="Menlo"/>
          <w:sz w:val="19"/>
          <w:color w:val="1C2422"/>
          <w:shd w:val="clear" w:color="auto" w:fill="F3F4F6"/>
        </w:rPr>
        <w:t xml:space="preserve">claim()</w:t>
      </w:r>
      <w:r>
        <w:rPr>
          <w:sz w:val="21"/>
          <w:color w:val="1F1F1F"/>
        </w:rPr>
        <w:t xml:space="preserve"> atomically decrements liabilities upon external transfer;</w:t>
      </w:r>
    </w:p>
    <w:p>
      <w:pPr>
        <w:pStyle w:val="ListBullet"/>
      </w:pPr>
      <w:r>
        <w:rPr>
          <w:b/>
          <w:color w:val="0F5C46"/>
        </w:rPr>
        <w:t xml:space="preserve">3.  </w:t>
      </w:r>
      <w:r>
        <w:rPr>
          <w:b/>
          <w:sz w:val="21"/>
          <w:szCs w:val="21"/>
          <w:color w:val="1F1F1F"/>
        </w:rPr>
        <w:t xml:space="preserve">Unprivileged Custody</w:t>
      </w:r>
      <w:r>
        <w:rPr>
          <w:sz w:val="21"/>
          <w:color w:val="1F1F1F"/>
        </w:rPr>
        <w:t xml:space="preserve">: The distributor contract has no owner, no sweep function, and no administrative withdrawal hook, preventing external extraction of vested dust.</w:t>
      </w:r>
    </w:p>
    <w:p>
      <w:pPr>
        <w:pBdr>
          <w:bottom w:val="single" w:sz="6" w:space="8" w:color="E5E7EB"/>
        </w:pBdr>
        <w:spacing w:before="200" w:after="200"/>
      </w:pPr>
    </w:p>
    <w:p>
      <w:pPr>
        <w:pStyle w:val="Heading1"/>
      </w:pPr>
      <w:r>
        <w:t>Appendix C: On-Chain Gas Profiling Benchmark</w:t>
      </w:r>
    </w:p>
    <w:p>
      <w:r>
        <w:rPr>
          <w:sz w:val="22"/>
          <w:color w:val="1F1F1F"/>
        </w:rPr>
        <w:t xml:space="preserve">Under the deterministic Foundry local test profile (</w:t>
      </w:r>
      <w:r>
        <w:rPr>
          <w:rFonts w:ascii="Menlo" w:hAnsi="Menlo"/>
          <w:sz w:val="20"/>
          <w:color w:val="1C2422"/>
          <w:shd w:val="clear" w:color="auto" w:fill="F3F4F6"/>
        </w:rPr>
        <w:t xml:space="preserve">FOUNDRY_PROFILE=local</w:t>
      </w:r>
      <w:r>
        <w:rPr>
          <w:sz w:val="22"/>
          <w:color w:val="1F1F1F"/>
        </w:rPr>
        <w:t xml:space="preserve">), the measured gas consumption of core protocol functions across varying network sizes and batch spans is summarized below:</w:t>
      </w:r>
    </w:p>
    <w:tbl>
      <w:tblPr>
        <w:tblW w:w="0" w:type="auto"/>
        <w:tblBorders>
          <w:top w:val="single" w:sz="6" w:space="0" w:color="D1D5DB"/>
          <w:bottom w:val="single" w:sz="8" w:space="0" w:color="4B5563"/>
          <w:insideH w:val="single" w:sz="4" w:space="0" w:color="E5E7EB"/>
          <w:insideV w:val="none"/>
          <w:left w:val="none"/>
          <w:right w:val="none"/>
        </w:tblBorders>
        <w:tblCellMar>
          <w:top w:w="120" w:type="dxa"/>
          <w:bottom w:w="120" w:type="dxa"/>
          <w:left w:w="160" w:type="dxa"/>
          <w:right w:w="160" w:type="dxa"/>
        </w:tblCellMar>
      </w:tblPr>
      <w:tr>
        <w:tc>
          <w:tcPr>
            <w:shd w:val="clear" w:color="auto" w:fill="F9FAFB"/>
          </w:tcPr>
          <w:p>
            <w:pPr>
              <w:spacing w:before="60" w:after="60"/>
            </w:pPr>
            <w:r>
              <w:rPr>
                <w:b/>
              </w:rPr>
            </w:r>
            <w:r>
              <w:rPr>
                <w:sz w:val="20"/>
                <w:color w:val="0D1117"/>
              </w:rPr>
              <w:t xml:space="preserve">Core Function / Operation</w:t>
            </w:r>
          </w:p>
        </w:tc>
        <w:tc>
          <w:tcPr>
            <w:shd w:val="clear" w:color="auto" w:fill="F9FAFB"/>
          </w:tcPr>
          <w:p>
            <w:pPr>
              <w:spacing w:before="60" w:after="60"/>
            </w:pPr>
            <w:r>
              <w:rPr>
                <w:b/>
              </w:rPr>
            </w:r>
            <w:r>
              <w:rPr>
                <w:sz w:val="20"/>
                <w:color w:val="0D1117"/>
              </w:rPr>
              <w:t xml:space="preserve">Typical Caller</w:t>
            </w:r>
          </w:p>
        </w:tc>
        <w:tc>
          <w:tcPr>
            <w:shd w:val="clear" w:color="auto" w:fill="F9FAFB"/>
          </w:tcPr>
          <w:p>
            <w:pPr>
              <w:spacing w:before="60" w:after="60"/>
            </w:pPr>
            <w:r>
              <w:rPr>
                <w:b/>
              </w:rPr>
            </w:r>
            <w:r>
              <w:rPr>
                <w:sz w:val="20"/>
                <w:color w:val="0D1117"/>
              </w:rPr>
              <w:t xml:space="preserve">Theoretical Complexity</w:t>
            </w:r>
          </w:p>
        </w:tc>
        <w:tc>
          <w:tcPr>
            <w:shd w:val="clear" w:color="auto" w:fill="F9FAFB"/>
          </w:tcPr>
          <w:p>
            <w:pPr>
              <w:spacing w:before="60" w:after="60"/>
            </w:pPr>
            <w:r>
              <w:rPr>
                <w:b/>
              </w:rPr>
            </w:r>
            <w:r>
              <w:rPr>
                <w:sz w:val="20"/>
                <w:color w:val="0D1117"/>
              </w:rPr>
              <w:t xml:space="preserve">Measured Gas (Units)</w:t>
            </w:r>
          </w:p>
        </w:tc>
        <w:tc>
          <w:tcPr>
            <w:shd w:val="clear" w:color="auto" w:fill="F9FAFB"/>
          </w:tcPr>
          <w:p>
            <w:pPr>
              <w:spacing w:before="60" w:after="60"/>
            </w:pPr>
            <w:r>
              <w:rPr>
                <w:b/>
              </w:rPr>
            </w:r>
            <w:r>
              <w:rPr>
                <w:sz w:val="20"/>
                <w:color w:val="0D1117"/>
              </w:rPr>
              <w:t xml:space="preserve">Engineering Context &amp; Notes</w:t>
            </w:r>
          </w:p>
        </w:tc>
      </w:tr>
      <w:tr>
        <w:tc>
          <w:p>
            <w:pPr>
              <w:spacing w:before="40" w:after="40"/>
            </w:pPr>
            <w:r>
              <w:rPr>
                <w:rFonts w:ascii="Menlo" w:hAnsi="Menlo"/>
                <w:sz w:val="17"/>
                <w:color w:val="1C2422"/>
                <w:shd w:val="clear" w:color="auto" w:fill="F3F4F6"/>
              </w:rPr>
              <w:t xml:space="preserve">StakingVault.stake()</w:t>
            </w:r>
            <w:r>
              <w:rPr>
                <w:sz w:val="19"/>
                <w:color w:val="1F1F1F"/>
              </w:rPr>
              <w:t xml:space="preserve"> (New Position)</w:t>
            </w:r>
          </w:p>
        </w:tc>
        <w:tc>
          <w:p>
            <w:pPr>
              <w:spacing w:before="40" w:after="40"/>
            </w:pPr>
            <w:r>
              <w:rPr>
                <w:sz w:val="19"/>
                <w:color w:val="1F1F1F"/>
              </w:rPr>
              <w:t xml:space="preserve">User</w:t>
            </w:r>
          </w:p>
        </w:tc>
        <w:tc>
          <w:p>
            <w:pPr>
              <w:spacing w:before="40" w:after="40"/>
            </w:pPr>
            <w:r>
              <w:rPr>
                <w:sz w:val="19"/>
                <w:color w:val="1F1F1F"/>
              </w:rPr>
              <w:t xml:space="preserve"/>
            </w:r>
            <w:r>
              <w:rPr>
                <w:i/>
                <w:sz w:val="19"/>
                <w:color w:val="1C2422"/>
              </w:rPr>
              <w:t xml:space="preserve">O(1)</w:t>
            </w:r>
            <w:r>
              <w:rPr>
                <w:sz w:val="19"/>
                <w:color w:val="1F1F1F"/>
              </w:rPr>
              <w:t xml:space="preserve"/>
            </w:r>
          </w:p>
        </w:tc>
        <w:tc>
          <w:p>
            <w:pPr>
              <w:spacing w:before="40" w:after="40"/>
            </w:pPr>
            <w:r>
              <w:rPr>
                <w:sz w:val="19"/>
                <w:color w:val="1F1F1F"/>
              </w:rPr>
              <w:t xml:space="preserve">~142,500</w:t>
            </w:r>
          </w:p>
        </w:tc>
        <w:tc>
          <w:p>
            <w:pPr>
              <w:spacing w:before="40" w:after="40"/>
            </w:pPr>
            <w:r>
              <w:rPr>
                <w:sz w:val="19"/>
                <w:color w:val="1F1F1F"/>
              </w:rPr>
              <w:t xml:space="preserve">Includes initial ERC-20 transfer, position struct recording, and circular ring slot init</w:t>
            </w:r>
          </w:p>
        </w:tc>
      </w:tr>
      <w:tr>
        <w:tc>
          <w:p>
            <w:pPr>
              <w:spacing w:before="40" w:after="40"/>
            </w:pPr>
            <w:r>
              <w:rPr>
                <w:rFonts w:ascii="Menlo" w:hAnsi="Menlo"/>
                <w:sz w:val="17"/>
                <w:color w:val="1C2422"/>
                <w:shd w:val="clear" w:color="auto" w:fill="F3F4F6"/>
              </w:rPr>
              <w:t xml:space="preserve">StakingVault.stakeWithCertificate()</w:t>
            </w:r>
          </w:p>
        </w:tc>
        <w:tc>
          <w:p>
            <w:pPr>
              <w:spacing w:before="40" w:after="40"/>
            </w:pPr>
            <w:r>
              <w:rPr>
                <w:sz w:val="19"/>
                <w:color w:val="1F1F1F"/>
              </w:rPr>
              <w:t xml:space="preserve">Holder</w:t>
            </w:r>
          </w:p>
        </w:tc>
        <w:tc>
          <w:p>
            <w:pPr>
              <w:spacing w:before="40" w:after="40"/>
            </w:pPr>
            <w:r>
              <w:rPr>
                <w:sz w:val="19"/>
                <w:color w:val="1F1F1F"/>
              </w:rPr>
              <w:t xml:space="preserve"/>
            </w:r>
            <w:r>
              <w:rPr>
                <w:i/>
                <w:sz w:val="19"/>
                <w:color w:val="1C2422"/>
              </w:rPr>
              <w:t xml:space="preserve">O(1)</w:t>
            </w:r>
            <w:r>
              <w:rPr>
                <w:sz w:val="19"/>
                <w:color w:val="1F1F1F"/>
              </w:rPr>
              <w:t xml:space="preserve"/>
            </w:r>
          </w:p>
        </w:tc>
        <w:tc>
          <w:p>
            <w:pPr>
              <w:spacing w:before="40" w:after="40"/>
            </w:pPr>
            <w:r>
              <w:rPr>
                <w:sz w:val="19"/>
                <w:color w:val="1F1F1F"/>
              </w:rPr>
              <w:t xml:space="preserve">~168,000</w:t>
            </w:r>
          </w:p>
        </w:tc>
        <w:tc>
          <w:p>
            <w:pPr>
              <w:spacing w:before="40" w:after="40"/>
            </w:pPr>
            <w:r>
              <w:rPr>
                <w:sz w:val="19"/>
                <w:color w:val="1F1F1F"/>
              </w:rPr>
              <w:t xml:space="preserve">Locks certificate and introduces starting multiplier; exempt from </w:t>
            </w:r>
            <w:r>
              <w:rPr>
                <w:rFonts w:ascii="Menlo" w:hAnsi="Menlo"/>
                <w:sz w:val="17"/>
                <w:color w:val="1C2422"/>
                <w:shd w:val="clear" w:color="auto" w:fill="F3F4F6"/>
              </w:rPr>
              <w:t xml:space="preserve">minStake</w:t>
            </w:r>
            <w:r>
              <w:rPr>
                <w:sz w:val="19"/>
                <w:color w:val="1F1F1F"/>
              </w:rPr>
              <w:t xml:space="preserve"> floor</w:t>
            </w:r>
          </w:p>
        </w:tc>
      </w:tr>
      <w:tr>
        <w:tc>
          <w:p>
            <w:pPr>
              <w:spacing w:before="40" w:after="40"/>
            </w:pPr>
            <w:r>
              <w:rPr>
                <w:rFonts w:ascii="Menlo" w:hAnsi="Menlo"/>
                <w:sz w:val="17"/>
                <w:color w:val="1C2422"/>
                <w:shd w:val="clear" w:color="auto" w:fill="F3F4F6"/>
              </w:rPr>
              <w:t xml:space="preserve">StakingVault.stake()</w:t>
            </w:r>
            <w:r>
              <w:rPr>
                <w:sz w:val="19"/>
                <w:color w:val="1F1F1F"/>
              </w:rPr>
              <w:t xml:space="preserve"> (Add Principal)</w:t>
            </w:r>
          </w:p>
        </w:tc>
        <w:tc>
          <w:p>
            <w:pPr>
              <w:spacing w:before="40" w:after="40"/>
            </w:pPr>
            <w:r>
              <w:rPr>
                <w:sz w:val="19"/>
                <w:color w:val="1F1F1F"/>
              </w:rPr>
              <w:t xml:space="preserve">User</w:t>
            </w:r>
          </w:p>
        </w:tc>
        <w:tc>
          <w:p>
            <w:pPr>
              <w:spacing w:before="40" w:after="40"/>
            </w:pPr>
            <w:r>
              <w:rPr>
                <w:sz w:val="19"/>
                <w:color w:val="1F1F1F"/>
              </w:rPr>
              <w:t xml:space="preserve"/>
            </w:r>
            <w:r>
              <w:rPr>
                <w:i/>
                <w:sz w:val="19"/>
                <w:color w:val="1C2422"/>
              </w:rPr>
              <w:t xml:space="preserve">O(1)</w:t>
            </w:r>
            <w:r>
              <w:rPr>
                <w:sz w:val="19"/>
                <w:color w:val="1F1F1F"/>
              </w:rPr>
              <w:t xml:space="preserve"/>
            </w:r>
          </w:p>
        </w:tc>
        <w:tc>
          <w:p>
            <w:pPr>
              <w:spacing w:before="40" w:after="40"/>
            </w:pPr>
            <w:r>
              <w:rPr>
                <w:sz w:val="19"/>
                <w:color w:val="1F1F1F"/>
              </w:rPr>
              <w:t xml:space="preserve">~98,200</w:t>
            </w:r>
          </w:p>
        </w:tc>
        <w:tc>
          <w:p>
            <w:pPr>
              <w:spacing w:before="40" w:after="40"/>
            </w:pPr>
            <w:r>
              <w:rPr>
                <w:sz w:val="19"/>
                <w:color w:val="1F1F1F"/>
              </w:rPr>
              <w:t xml:space="preserve">Incremental deposit to existing position; updates scalar accumulators</w:t>
            </w:r>
          </w:p>
        </w:tc>
      </w:tr>
      <w:tr>
        <w:tc>
          <w:p>
            <w:pPr>
              <w:spacing w:before="40" w:after="40"/>
            </w:pPr>
            <w:r>
              <w:rPr>
                <w:rFonts w:ascii="Menlo" w:hAnsi="Menlo"/>
                <w:sz w:val="17"/>
                <w:color w:val="1C2422"/>
                <w:shd w:val="clear" w:color="auto" w:fill="F3F4F6"/>
              </w:rPr>
              <w:t xml:space="preserve">StakingVault.redeem()</w:t>
            </w:r>
            <w:r>
              <w:rPr>
                <w:sz w:val="19"/>
                <w:color w:val="1F1F1F"/>
              </w:rPr>
              <w:t xml:space="preserve"> (Unstake)</w:t>
            </w:r>
          </w:p>
        </w:tc>
        <w:tc>
          <w:p>
            <w:pPr>
              <w:spacing w:before="40" w:after="40"/>
            </w:pPr>
            <w:r>
              <w:rPr>
                <w:sz w:val="19"/>
                <w:color w:val="1F1F1F"/>
              </w:rPr>
              <w:t xml:space="preserve">User</w:t>
            </w:r>
          </w:p>
        </w:tc>
        <w:tc>
          <w:p>
            <w:pPr>
              <w:spacing w:before="40" w:after="40"/>
            </w:pPr>
            <w:r>
              <w:rPr>
                <w:sz w:val="19"/>
                <w:color w:val="1F1F1F"/>
              </w:rPr>
              <w:t xml:space="preserve"/>
            </w:r>
            <w:r>
              <w:rPr>
                <w:i/>
                <w:sz w:val="19"/>
                <w:color w:val="1C2422"/>
              </w:rPr>
              <w:t xml:space="preserve">O(1)</w:t>
            </w:r>
            <w:r>
              <w:rPr>
                <w:sz w:val="19"/>
                <w:color w:val="1F1F1F"/>
              </w:rPr>
              <w:t xml:space="preserve"/>
            </w:r>
          </w:p>
        </w:tc>
        <w:tc>
          <w:p>
            <w:pPr>
              <w:spacing w:before="40" w:after="40"/>
            </w:pPr>
            <w:r>
              <w:rPr>
                <w:sz w:val="19"/>
                <w:color w:val="1F1F1F"/>
              </w:rPr>
              <w:t xml:space="preserve">~125,600</w:t>
            </w:r>
          </w:p>
        </w:tc>
        <w:tc>
          <w:p>
            <w:pPr>
              <w:spacing w:before="40" w:after="40"/>
            </w:pPr>
            <w:r>
              <w:rPr>
                <w:sz w:val="19"/>
                <w:color w:val="1F1F1F"/>
              </w:rPr>
              <w:t xml:space="preserve">100% principal return; logs mid-interval exit and zeroes active seniority weight</w:t>
            </w:r>
          </w:p>
        </w:tc>
      </w:tr>
      <w:tr>
        <w:tc>
          <w:p>
            <w:pPr>
              <w:spacing w:before="40" w:after="40"/>
            </w:pPr>
            <w:r>
              <w:rPr>
                <w:rFonts w:ascii="Menlo" w:hAnsi="Menlo"/>
                <w:sz w:val="17"/>
                <w:color w:val="1C2422"/>
                <w:shd w:val="clear" w:color="auto" w:fill="F3F4F6"/>
              </w:rPr>
              <w:t xml:space="preserve">StakingVault.redeemAndIssueCertificate()</w:t>
            </w:r>
          </w:p>
        </w:tc>
        <w:tc>
          <w:p>
            <w:pPr>
              <w:spacing w:before="40" w:after="40"/>
            </w:pPr>
            <w:r>
              <w:rPr>
                <w:sz w:val="19"/>
                <w:color w:val="1F1F1F"/>
              </w:rPr>
              <w:t xml:space="preserve">User</w:t>
            </w:r>
          </w:p>
        </w:tc>
        <w:tc>
          <w:p>
            <w:pPr>
              <w:spacing w:before="40" w:after="40"/>
            </w:pPr>
            <w:r>
              <w:rPr>
                <w:sz w:val="19"/>
                <w:color w:val="1F1F1F"/>
              </w:rPr>
              <w:t xml:space="preserve"/>
            </w:r>
            <w:r>
              <w:rPr>
                <w:i/>
                <w:sz w:val="19"/>
                <w:color w:val="1C2422"/>
              </w:rPr>
              <w:t xml:space="preserve">O(1)</w:t>
            </w:r>
            <w:r>
              <w:rPr>
                <w:sz w:val="19"/>
                <w:color w:val="1F1F1F"/>
              </w:rPr>
              <w:t xml:space="preserve"/>
            </w:r>
          </w:p>
        </w:tc>
        <w:tc>
          <w:p>
            <w:pPr>
              <w:spacing w:before="40" w:after="40"/>
            </w:pPr>
            <w:r>
              <w:rPr>
                <w:sz w:val="19"/>
                <w:color w:val="1F1F1F"/>
              </w:rPr>
              <w:t xml:space="preserve">~189,000</w:t>
            </w:r>
          </w:p>
        </w:tc>
        <w:tc>
          <w:p>
            <w:pPr>
              <w:spacing w:before="40" w:after="40"/>
            </w:pPr>
            <w:r>
              <w:rPr>
                <w:sz w:val="19"/>
                <w:color w:val="1F1F1F"/>
              </w:rPr>
              <w:t xml:space="preserve">Returns principal, transfers 100k FATCAT to DEAD address, mints on-chain ERC-721 credential</w:t>
            </w:r>
          </w:p>
        </w:tc>
      </w:tr>
      <w:tr>
        <w:tc>
          <w:p>
            <w:pPr>
              <w:spacing w:before="40" w:after="40"/>
            </w:pPr>
            <w:r>
              <w:rPr>
                <w:rFonts w:ascii="Menlo" w:hAnsi="Menlo"/>
                <w:sz w:val="17"/>
                <w:color w:val="1C2422"/>
                <w:shd w:val="clear" w:color="auto" w:fill="F3F4F6"/>
              </w:rPr>
              <w:t xml:space="preserve">StakingVault.setDiet()</w:t>
            </w:r>
          </w:p>
        </w:tc>
        <w:tc>
          <w:p>
            <w:pPr>
              <w:spacing w:before="40" w:after="40"/>
            </w:pPr>
            <w:r>
              <w:rPr>
                <w:sz w:val="19"/>
                <w:color w:val="1F1F1F"/>
              </w:rPr>
              <w:t xml:space="preserve">User</w:t>
            </w:r>
          </w:p>
        </w:tc>
        <w:tc>
          <w:p>
            <w:pPr>
              <w:spacing w:before="40" w:after="40"/>
            </w:pPr>
            <w:r>
              <w:rPr>
                <w:sz w:val="19"/>
                <w:color w:val="1F1F1F"/>
              </w:rPr>
              <w:t xml:space="preserve"/>
            </w:r>
            <w:r>
              <w:rPr>
                <w:i/>
                <w:sz w:val="19"/>
                <w:color w:val="1C2422"/>
              </w:rPr>
              <w:t xml:space="preserve">O(1)</w:t>
            </w:r>
            <w:r>
              <w:rPr>
                <w:sz w:val="19"/>
                <w:color w:val="1F1F1F"/>
              </w:rPr>
              <w:t xml:space="preserve"/>
            </w:r>
          </w:p>
        </w:tc>
        <w:tc>
          <w:p>
            <w:pPr>
              <w:spacing w:before="40" w:after="40"/>
            </w:pPr>
            <w:r>
              <w:rPr>
                <w:sz w:val="19"/>
                <w:color w:val="1F1F1F"/>
              </w:rPr>
              <w:t xml:space="preserve">~68,400</w:t>
            </w:r>
          </w:p>
        </w:tc>
        <w:tc>
          <w:p>
            <w:pPr>
              <w:spacing w:before="40" w:after="40"/>
            </w:pPr>
            <w:r>
              <w:rPr>
                <w:sz w:val="19"/>
                <w:color w:val="1F1F1F"/>
              </w:rPr>
              <w:t xml:space="preserve">Updates next-interval DIET pointer and slot mapping; invariant to pool size</w:t>
            </w:r>
          </w:p>
        </w:tc>
      </w:tr>
      <w:tr>
        <w:tc>
          <w:p>
            <w:pPr>
              <w:spacing w:before="40" w:after="40"/>
            </w:pPr>
            <w:r>
              <w:rPr>
                <w:rFonts w:ascii="Menlo" w:hAnsi="Menlo"/>
                <w:sz w:val="17"/>
                <w:color w:val="1C2422"/>
                <w:shd w:val="clear" w:color="auto" w:fill="F3F4F6"/>
              </w:rPr>
              <w:t xml:space="preserve">IntervalController.advance()</w:t>
            </w:r>
          </w:p>
        </w:tc>
        <w:tc>
          <w:p>
            <w:pPr>
              <w:spacing w:before="40" w:after="40"/>
            </w:pPr>
            <w:r>
              <w:rPr>
                <w:sz w:val="19"/>
                <w:color w:val="1F1F1F"/>
              </w:rPr>
              <w:t xml:space="preserve">Anyone / Keeper</w:t>
            </w:r>
          </w:p>
        </w:tc>
        <w:tc>
          <w:p>
            <w:pPr>
              <w:spacing w:before="40" w:after="40"/>
            </w:pPr>
            <w:r>
              <w:rPr>
                <w:sz w:val="19"/>
                <w:color w:val="1F1F1F"/>
              </w:rPr>
              <w:t xml:space="preserve"/>
            </w:r>
            <w:r>
              <w:rPr>
                <w:i/>
                <w:sz w:val="19"/>
                <w:color w:val="1C2422"/>
              </w:rPr>
              <w:t xml:space="preserve">O(M_{\text{assets}})</w:t>
            </w:r>
            <w:r>
              <w:rPr>
                <w:sz w:val="19"/>
                <w:color w:val="1F1F1F"/>
              </w:rPr>
              <w:t xml:space="preserve"/>
            </w:r>
          </w:p>
        </w:tc>
        <w:tc>
          <w:p>
            <w:pPr>
              <w:spacing w:before="40" w:after="40"/>
            </w:pPr>
            <w:r>
              <w:rPr>
                <w:sz w:val="19"/>
                <w:color w:val="1F1F1F"/>
              </w:rPr>
              <w:t xml:space="preserve">~185,000 (Baseline 5 assets)</w:t>
            </w:r>
          </w:p>
        </w:tc>
        <w:tc>
          <w:p>
            <w:pPr>
              <w:spacing w:before="40" w:after="40"/>
            </w:pPr>
            <w:r>
              <w:rPr>
                <w:sz w:val="19"/>
                <w:color w:val="1F1F1F"/>
              </w:rPr>
              <w:t xml:space="preserve">Advances clock and rotates circular graduation buffer; </w:t>
            </w:r>
            <w:r>
              <w:rPr>
                <w:b/>
                <w:sz w:val="19"/>
                <w:szCs w:val="19"/>
                <w:color w:val="1F1F1F"/>
              </w:rPr>
              <w:t xml:space="preserve">strictly independent of total stakers $N$</w:t>
            </w:r>
          </w:p>
        </w:tc>
      </w:tr>
      <w:tr>
        <w:tc>
          <w:p>
            <w:pPr>
              <w:spacing w:before="40" w:after="40"/>
            </w:pPr>
            <w:r>
              <w:rPr>
                <w:rFonts w:ascii="Menlo" w:hAnsi="Menlo"/>
                <w:sz w:val="17"/>
                <w:color w:val="1C2422"/>
                <w:shd w:val="clear" w:color="auto" w:fill="F3F4F6"/>
              </w:rPr>
              <w:t xml:space="preserve">RewardDistributor.claim()</w:t>
            </w:r>
            <w:r>
              <w:rPr>
                <w:sz w:val="19"/>
                <w:color w:val="1F1F1F"/>
              </w:rPr>
              <w:t xml:space="preserve"> (Single Batch)</w:t>
            </w:r>
          </w:p>
        </w:tc>
        <w:tc>
          <w:p>
            <w:pPr>
              <w:spacing w:before="40" w:after="40"/>
            </w:pPr>
            <w:r>
              <w:rPr>
                <w:sz w:val="19"/>
                <w:color w:val="1F1F1F"/>
              </w:rPr>
              <w:t xml:space="preserve">User</w:t>
            </w:r>
          </w:p>
        </w:tc>
        <w:tc>
          <w:p>
            <w:pPr>
              <w:spacing w:before="40" w:after="40"/>
            </w:pPr>
            <w:r>
              <w:rPr>
                <w:sz w:val="19"/>
                <w:color w:val="1F1F1F"/>
              </w:rPr>
              <w:t xml:space="preserve"/>
            </w:r>
            <w:r>
              <w:rPr>
                <w:i/>
                <w:sz w:val="19"/>
                <w:color w:val="1C2422"/>
              </w:rPr>
              <w:t xml:space="preserve">O(1)</w:t>
            </w:r>
            <w:r>
              <w:rPr>
                <w:sz w:val="19"/>
                <w:color w:val="1F1F1F"/>
              </w:rPr>
              <w:t xml:space="preserve"/>
            </w:r>
          </w:p>
        </w:tc>
        <w:tc>
          <w:p>
            <w:pPr>
              <w:spacing w:before="40" w:after="40"/>
            </w:pPr>
            <w:r>
              <w:rPr>
                <w:sz w:val="19"/>
                <w:color w:val="1F1F1F"/>
              </w:rPr>
              <w:t xml:space="preserve">~88,300</w:t>
            </w:r>
          </w:p>
        </w:tc>
        <w:tc>
          <w:p>
            <w:pPr>
              <w:spacing w:before="40" w:after="40"/>
            </w:pPr>
            <w:r>
              <w:rPr>
                <w:sz w:val="19"/>
                <w:color w:val="1F1F1F"/>
              </w:rPr>
              <w:t xml:space="preserve">Claims token reward for a single finalized batch and updates liability record</w:t>
            </w:r>
          </w:p>
        </w:tc>
      </w:tr>
      <w:tr>
        <w:tc>
          <w:p>
            <w:pPr>
              <w:spacing w:before="40" w:after="40"/>
            </w:pPr>
            <w:r>
              <w:rPr>
                <w:rFonts w:ascii="Menlo" w:hAnsi="Menlo"/>
                <w:sz w:val="17"/>
                <w:color w:val="1C2422"/>
                <w:shd w:val="clear" w:color="auto" w:fill="F3F4F6"/>
              </w:rPr>
              <w:t xml:space="preserve">RewardDistributor.claim()</w:t>
            </w:r>
            <w:r>
              <w:rPr>
                <w:sz w:val="19"/>
                <w:color w:val="1F1F1F"/>
              </w:rPr>
              <w:t xml:space="preserve"> (10 Batches)</w:t>
            </w:r>
          </w:p>
        </w:tc>
        <w:tc>
          <w:p>
            <w:pPr>
              <w:spacing w:before="40" w:after="40"/>
            </w:pPr>
            <w:r>
              <w:rPr>
                <w:sz w:val="19"/>
                <w:color w:val="1F1F1F"/>
              </w:rPr>
              <w:t xml:space="preserve">User</w:t>
            </w:r>
          </w:p>
        </w:tc>
        <w:tc>
          <w:p>
            <w:pPr>
              <w:spacing w:before="40" w:after="40"/>
            </w:pPr>
            <w:r>
              <w:rPr>
                <w:sz w:val="19"/>
                <w:color w:val="1F1F1F"/>
              </w:rPr>
              <w:t xml:space="preserve"/>
            </w:r>
            <w:r>
              <w:rPr>
                <w:i/>
                <w:sz w:val="19"/>
                <w:color w:val="1C2422"/>
              </w:rPr>
              <w:t xml:space="preserve">O(K)</w:t>
            </w:r>
            <w:r>
              <w:rPr>
                <w:sz w:val="19"/>
                <w:color w:val="1F1F1F"/>
              </w:rPr>
              <w:t xml:space="preserve"/>
            </w:r>
          </w:p>
        </w:tc>
        <w:tc>
          <w:p>
            <w:pPr>
              <w:spacing w:before="40" w:after="40"/>
            </w:pPr>
            <w:r>
              <w:rPr>
                <w:sz w:val="19"/>
                <w:color w:val="1F1F1F"/>
              </w:rPr>
              <w:t xml:space="preserve">~164,800</w:t>
            </w:r>
          </w:p>
        </w:tc>
        <w:tc>
          <w:p>
            <w:pPr>
              <w:spacing w:before="40" w:after="40"/>
            </w:pPr>
            <w:r>
              <w:rPr>
                <w:sz w:val="19"/>
                <w:color w:val="1F1F1F"/>
              </w:rPr>
              <w:t xml:space="preserve">Multi-batch accumulation; prefix calculation is constant, loop overhead scales with batch count </w:t>
            </w:r>
            <w:r>
              <w:rPr>
                <w:i/>
                <w:sz w:val="19"/>
                <w:color w:val="1C2422"/>
              </w:rPr>
              <w:t xml:space="preserve">K</w:t>
            </w:r>
            <w:r>
              <w:rPr>
                <w:sz w:val="19"/>
                <w:color w:val="1F1F1F"/>
              </w:rPr>
              <w:t xml:space="preserve"/>
            </w:r>
          </w:p>
        </w:tc>
      </w:tr>
      <w:tr>
        <w:tc>
          <w:p>
            <w:pPr>
              <w:spacing w:before="40" w:after="40"/>
            </w:pPr>
            <w:r>
              <w:rPr>
                <w:rFonts w:ascii="Menlo" w:hAnsi="Menlo"/>
                <w:sz w:val="17"/>
                <w:color w:val="1C2422"/>
                <w:shd w:val="clear" w:color="auto" w:fill="F3F4F6"/>
              </w:rPr>
              <w:t xml:space="preserve">RewardDistributor.claimThrough()</w:t>
            </w:r>
          </w:p>
        </w:tc>
        <w:tc>
          <w:p>
            <w:pPr>
              <w:spacing w:before="40" w:after="40"/>
            </w:pPr>
            <w:r>
              <w:rPr>
                <w:sz w:val="19"/>
                <w:color w:val="1F1F1F"/>
              </w:rPr>
              <w:t xml:space="preserve">User</w:t>
            </w:r>
          </w:p>
        </w:tc>
        <w:tc>
          <w:p>
            <w:pPr>
              <w:spacing w:before="40" w:after="40"/>
            </w:pPr>
            <w:r>
              <w:rPr>
                <w:sz w:val="19"/>
                <w:color w:val="1F1F1F"/>
              </w:rPr>
              <w:t xml:space="preserve"/>
            </w:r>
            <w:r>
              <w:rPr>
                <w:i/>
                <w:sz w:val="19"/>
                <w:color w:val="1C2422"/>
              </w:rPr>
              <w:t xml:space="preserve">O(K_{\text{bounded}})</w:t>
            </w:r>
            <w:r>
              <w:rPr>
                <w:sz w:val="19"/>
                <w:color w:val="1F1F1F"/>
              </w:rPr>
              <w:t xml:space="preserve"/>
            </w:r>
          </w:p>
        </w:tc>
        <w:tc>
          <w:p>
            <w:pPr>
              <w:spacing w:before="40" w:after="40"/>
            </w:pPr>
            <w:r>
              <w:rPr>
                <w:sz w:val="19"/>
                <w:color w:val="1F1F1F"/>
              </w:rPr>
              <w:t xml:space="preserve">~195,000 (Bounded cap)</w:t>
            </w:r>
          </w:p>
        </w:tc>
        <w:tc>
          <w:p>
            <w:pPr>
              <w:spacing w:before="40" w:after="40"/>
            </w:pPr>
            <w:r>
              <w:rPr>
                <w:sz w:val="19"/>
                <w:color w:val="1F1F1F"/>
              </w:rPr>
              <w:t xml:space="preserve">Safe chunked claim for long backlogs, eliminating transaction block gas exhaustion</w:t>
            </w:r>
          </w:p>
        </w:tc>
      </w:tr>
      <w:tr>
        <w:tc>
          <w:p>
            <w:pPr>
              <w:spacing w:before="40" w:after="40"/>
            </w:pPr>
            <w:r>
              <w:rPr>
                <w:rFonts w:ascii="Menlo" w:hAnsi="Menlo"/>
                <w:sz w:val="17"/>
                <w:color w:val="1C2422"/>
                <w:shd w:val="clear" w:color="auto" w:fill="F3F4F6"/>
              </w:rPr>
              <w:t xml:space="preserve">RewardDistributor.claimNative()</w:t>
            </w:r>
          </w:p>
        </w:tc>
        <w:tc>
          <w:p>
            <w:pPr>
              <w:spacing w:before="40" w:after="40"/>
            </w:pPr>
            <w:r>
              <w:rPr>
                <w:sz w:val="19"/>
                <w:color w:val="1F1F1F"/>
              </w:rPr>
              <w:t xml:space="preserve">User</w:t>
            </w:r>
          </w:p>
        </w:tc>
        <w:tc>
          <w:p>
            <w:pPr>
              <w:spacing w:before="40" w:after="40"/>
            </w:pPr>
            <w:r>
              <w:rPr>
                <w:sz w:val="19"/>
                <w:color w:val="1F1F1F"/>
              </w:rPr>
              <w:t xml:space="preserve"/>
            </w:r>
            <w:r>
              <w:rPr>
                <w:i/>
                <w:sz w:val="19"/>
                <w:color w:val="1C2422"/>
              </w:rPr>
              <w:t xml:space="preserve">O(K) + \text{Unwrap}</w:t>
            </w:r>
            <w:r>
              <w:rPr>
                <w:sz w:val="19"/>
                <w:color w:val="1F1F1F"/>
              </w:rPr>
              <w:t xml:space="preserve"/>
            </w:r>
          </w:p>
        </w:tc>
        <w:tc>
          <w:p>
            <w:pPr>
              <w:spacing w:before="40" w:after="40"/>
            </w:pPr>
            <w:r>
              <w:rPr>
                <w:sz w:val="19"/>
                <w:color w:val="1F1F1F"/>
              </w:rPr>
              <w:t xml:space="preserve">~112,000 (Single Batch)</w:t>
            </w:r>
          </w:p>
        </w:tc>
        <w:tc>
          <w:p>
            <w:pPr>
              <w:spacing w:before="40" w:after="40"/>
            </w:pPr>
            <w:r>
              <w:rPr>
                <w:sz w:val="19"/>
                <w:color w:val="1F1F1F"/>
              </w:rPr>
              <w:t xml:space="preserve">Preserves internal WBNB accounting consistency while delivering unwrapped native BNB</w:t>
            </w:r>
          </w:p>
        </w:tc>
      </w:tr>
    </w:tbl>
    <w:p>
      <w:pPr>
        <w:pBdr>
          <w:bottom w:val="single" w:sz="6" w:space="8" w:color="E5E7EB"/>
        </w:pBdr>
        <w:spacing w:before="200" w:after="200"/>
      </w:pPr>
    </w:p>
    <w:p>
      <w:pPr>
        <w:pStyle w:val="Heading1"/>
      </w:pPr>
      <w:r>
        <w:t>Appendix D: Verified Contracts Schedule</w:t>
      </w:r>
    </w:p>
    <w:p>
      <w:r>
        <w:rPr>
          <w:sz w:val="22"/>
          <w:color w:val="1F1F1F"/>
        </w:rPr>
        <w:t xml:space="preserve">The following matrix documents the target architecture for TheFatCat protocol on BNB Chain. Verified hexadecimal contract addresses and BscScan explorer links will be inserted upon mainnet deployment:</w:t>
      </w:r>
    </w:p>
    <w:tbl>
      <w:tblPr>
        <w:tblW w:w="0" w:type="auto"/>
        <w:tblBorders>
          <w:top w:val="single" w:sz="6" w:space="0" w:color="D1D5DB"/>
          <w:bottom w:val="single" w:sz="8" w:space="0" w:color="4B5563"/>
          <w:insideH w:val="single" w:sz="4" w:space="0" w:color="E5E7EB"/>
          <w:insideV w:val="none"/>
          <w:left w:val="none"/>
          <w:right w:val="none"/>
        </w:tblBorders>
        <w:tblCellMar>
          <w:top w:w="120" w:type="dxa"/>
          <w:bottom w:w="120" w:type="dxa"/>
          <w:left w:w="160" w:type="dxa"/>
          <w:right w:w="160" w:type="dxa"/>
        </w:tblCellMar>
      </w:tblPr>
      <w:tr>
        <w:tc>
          <w:tcPr>
            <w:shd w:val="clear" w:color="auto" w:fill="F9FAFB"/>
          </w:tcPr>
          <w:p>
            <w:pPr>
              <w:spacing w:before="60" w:after="60"/>
            </w:pPr>
            <w:r>
              <w:rPr>
                <w:b/>
              </w:rPr>
            </w:r>
            <w:r>
              <w:rPr>
                <w:sz w:val="20"/>
                <w:color w:val="0D1117"/>
              </w:rPr>
              <w:t xml:space="preserve">Component</w:t>
            </w:r>
          </w:p>
        </w:tc>
        <w:tc>
          <w:tcPr>
            <w:shd w:val="clear" w:color="auto" w:fill="F9FAFB"/>
          </w:tcPr>
          <w:p>
            <w:pPr>
              <w:spacing w:before="60" w:after="60"/>
            </w:pPr>
            <w:r>
              <w:rPr>
                <w:b/>
              </w:rPr>
            </w:r>
            <w:r>
              <w:rPr>
                <w:sz w:val="20"/>
                <w:color w:val="0D1117"/>
              </w:rPr>
              <w:t xml:space="preserve">Network</w:t>
            </w:r>
          </w:p>
        </w:tc>
        <w:tc>
          <w:tcPr>
            <w:shd w:val="clear" w:color="auto" w:fill="F9FAFB"/>
          </w:tcPr>
          <w:p>
            <w:pPr>
              <w:spacing w:before="60" w:after="60"/>
            </w:pPr>
            <w:r>
              <w:rPr>
                <w:b/>
              </w:rPr>
            </w:r>
            <w:r>
              <w:rPr>
                <w:sz w:val="20"/>
                <w:color w:val="0D1117"/>
              </w:rPr>
              <w:t xml:space="preserve">Contract Address</w:t>
            </w:r>
          </w:p>
        </w:tc>
        <w:tc>
          <w:tcPr>
            <w:shd w:val="clear" w:color="auto" w:fill="F9FAFB"/>
          </w:tcPr>
          <w:p>
            <w:pPr>
              <w:spacing w:before="60" w:after="60"/>
            </w:pPr>
            <w:r>
              <w:rPr>
                <w:b/>
              </w:rPr>
            </w:r>
            <w:r>
              <w:rPr>
                <w:sz w:val="20"/>
                <w:color w:val="0D1117"/>
              </w:rPr>
              <w:t xml:space="preserve">Verification &amp; Architectural Role</w:t>
            </w:r>
          </w:p>
        </w:tc>
      </w:tr>
      <w:tr>
        <w:tc>
          <w:p>
            <w:pPr>
              <w:spacing w:before="40" w:after="40"/>
            </w:pPr>
            <w:r>
              <w:rPr>
                <w:b/>
                <w:sz w:val="19"/>
                <w:szCs w:val="19"/>
                <w:color w:val="1F1F1F"/>
              </w:rPr>
              <w:t xml:space="preserve">FATCAT Token</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Launch)</w:t>
            </w:r>
          </w:p>
        </w:tc>
        <w:tc>
          <w:p>
            <w:pPr>
              <w:spacing w:before="40" w:after="40"/>
            </w:pPr>
            <w:r>
              <w:rPr>
                <w:sz w:val="19"/>
                <w:color w:val="1F1F1F"/>
              </w:rPr>
              <w:t xml:space="preserve">1,000,000,000 fixed supply, zero presale, immutable BEP-20 implementation</w:t>
            </w:r>
          </w:p>
        </w:tc>
      </w:tr>
      <w:tr>
        <w:tc>
          <w:p>
            <w:pPr>
              <w:spacing w:before="40" w:after="40"/>
            </w:pPr>
            <w:r>
              <w:rPr>
                <w:b/>
                <w:sz w:val="19"/>
                <w:szCs w:val="19"/>
                <w:color w:val="1F1F1F"/>
              </w:rPr>
              <w:t xml:space="preserve">PancakeSwap V2 Pair</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Graduation)</w:t>
            </w:r>
          </w:p>
        </w:tc>
        <w:tc>
          <w:p>
            <w:pPr>
              <w:spacing w:before="40" w:after="40"/>
            </w:pPr>
            <w:r>
              <w:rPr>
                <w:sz w:val="19"/>
                <w:color w:val="1F1F1F"/>
              </w:rPr>
              <w:t xml:space="preserve">Post-graduation liquidity pool (</w:t>
            </w:r>
            <w:r>
              <w:rPr>
                <w:rFonts w:ascii="Menlo" w:hAnsi="Menlo"/>
                <w:sz w:val="17"/>
                <w:color w:val="1C2422"/>
                <w:shd w:val="clear" w:color="auto" w:fill="F3F4F6"/>
              </w:rPr>
              <w:t xml:space="preserve">FATCAT/WBNB</w:t>
            </w:r>
            <w:r>
              <w:rPr>
                <w:sz w:val="19"/>
                <w:color w:val="1F1F1F"/>
              </w:rPr>
              <w:t xml:space="preserve">), cumulative TWAP price accumulator source</w:t>
            </w:r>
          </w:p>
        </w:tc>
      </w:tr>
      <w:tr>
        <w:tc>
          <w:p>
            <w:pPr>
              <w:spacing w:before="40" w:after="40"/>
            </w:pPr>
            <w:r>
              <w:rPr>
                <w:b/>
                <w:sz w:val="19"/>
                <w:szCs w:val="19"/>
                <w:color w:val="1F1F1F"/>
              </w:rPr>
              <w:t xml:space="preserve">FatCatStakingVault</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Flap V3 tax router; delta recognition, wraps to WBNB, splits 5/36 to Ops Safe &amp; 31/36 to Belly</w:t>
            </w:r>
          </w:p>
        </w:tc>
      </w:tr>
      <w:tr>
        <w:tc>
          <w:p>
            <w:pPr>
              <w:spacing w:before="40" w:after="40"/>
            </w:pPr>
            <w:r>
              <w:rPr>
                <w:b/>
                <w:sz w:val="19"/>
                <w:szCs w:val="19"/>
                <w:color w:val="1F1F1F"/>
              </w:rPr>
              <w:t xml:space="preserve">FatCatStakingVaultFactory</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Factory deploying beacon instances for Flap VaultPortal integration</w:t>
            </w:r>
          </w:p>
        </w:tc>
      </w:tr>
      <w:tr>
        <w:tc>
          <w:p>
            <w:pPr>
              <w:spacing w:before="40" w:after="40"/>
            </w:pPr>
            <w:r>
              <w:rPr>
                <w:b/>
                <w:sz w:val="19"/>
                <w:szCs w:val="19"/>
                <w:color w:val="1F1F1F"/>
              </w:rPr>
              <w:t xml:space="preserve">The Belly</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Exponential damping reservoir; window outflow cap </w:t>
            </w:r>
            <w:r>
              <w:rPr>
                <w:i/>
                <w:sz w:val="19"/>
                <w:color w:val="1C2422"/>
              </w:rPr>
              <w:t xml:space="preserve">\le 16/168</w:t>
            </w:r>
            <w:r>
              <w:rPr>
                <w:sz w:val="19"/>
                <w:color w:val="1F1F1F"/>
              </w:rPr>
              <w:t xml:space="preserve">, write-once spender</w:t>
            </w:r>
          </w:p>
        </w:tc>
      </w:tr>
      <w:tr>
        <w:tc>
          <w:p>
            <w:pPr>
              <w:spacing w:before="40" w:after="40"/>
            </w:pPr>
            <w:r>
              <w:rPr>
                <w:b/>
                <w:sz w:val="19"/>
                <w:szCs w:val="19"/>
                <w:color w:val="1F1F1F"/>
              </w:rPr>
              <w:t xml:space="preserve">StakingVault</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Custodies staked principal; unpausable </w:t>
            </w:r>
            <w:r>
              <w:rPr>
                <w:rFonts w:ascii="Menlo" w:hAnsi="Menlo"/>
                <w:sz w:val="17"/>
                <w:color w:val="1C2422"/>
                <w:shd w:val="clear" w:color="auto" w:fill="F3F4F6"/>
              </w:rPr>
              <w:t xml:space="preserve">redeem()</w:t>
            </w:r>
            <w:r>
              <w:rPr>
                <w:sz w:val="19"/>
                <w:color w:val="1F1F1F"/>
              </w:rPr>
              <w:t xml:space="preserve">, 100k floor, certificate linkage</w:t>
            </w:r>
          </w:p>
        </w:tc>
      </w:tr>
      <w:tr>
        <w:tc>
          <w:p>
            <w:pPr>
              <w:spacing w:before="40" w:after="40"/>
            </w:pPr>
            <w:r>
              <w:rPr>
                <w:b/>
                <w:sz w:val="19"/>
                <w:szCs w:val="19"/>
                <w:color w:val="1F1F1F"/>
              </w:rPr>
              <w:t xml:space="preserve">SeniorityLedger</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
            </w:r>
            <w:r>
              <w:rPr>
                <w:i/>
                <w:sz w:val="19"/>
                <w:color w:val="1C2422"/>
              </w:rPr>
              <w:t xml:space="preserve">O(1)</w:t>
            </w:r>
            <w:r>
              <w:rPr>
                <w:sz w:val="19"/>
                <w:color w:val="1F1F1F"/>
              </w:rPr>
              <w:t xml:space="preserve"> closed-form weight aggregation and RAY-scaled dual prefix accumulators</w:t>
            </w:r>
          </w:p>
        </w:tc>
      </w:tr>
      <w:tr>
        <w:tc>
          <w:p>
            <w:pPr>
              <w:spacing w:before="40" w:after="40"/>
            </w:pPr>
            <w:r>
              <w:rPr>
                <w:b/>
                <w:sz w:val="19"/>
                <w:szCs w:val="19"/>
                <w:color w:val="1F1F1F"/>
              </w:rPr>
              <w:t xml:space="preserve">LaunchIntervalController</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Production clock engine (</w:t>
            </w:r>
            <w:r>
              <w:rPr>
                <w:i/>
                <w:sz w:val="19"/>
                <w:color w:val="1C2422"/>
              </w:rPr>
              <w:t xml:space="preserve">\ge 8\text{h}</w:t>
            </w:r>
            <w:r>
              <w:rPr>
                <w:sz w:val="19"/>
                <w:color w:val="1F1F1F"/>
              </w:rPr>
              <w:t xml:space="preserve"> cadence), 7-day wall-clock accumulation period</w:t>
            </w:r>
          </w:p>
        </w:tc>
      </w:tr>
      <w:tr>
        <w:tc>
          <w:p>
            <w:pPr>
              <w:spacing w:before="40" w:after="40"/>
            </w:pPr>
            <w:r>
              <w:rPr>
                <w:b/>
                <w:sz w:val="19"/>
                <w:szCs w:val="19"/>
                <w:color w:val="1F1F1F"/>
              </w:rPr>
              <w:t xml:space="preserve">InitialRewardAssetRegistry</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Production MENU whitelist with signed constructor menu exempt from probation</w:t>
            </w:r>
          </w:p>
        </w:tc>
      </w:tr>
      <w:tr>
        <w:tc>
          <w:p>
            <w:pPr>
              <w:spacing w:before="40" w:after="40"/>
            </w:pPr>
            <w:r>
              <w:rPr>
                <w:b/>
                <w:sz w:val="19"/>
                <w:szCs w:val="19"/>
                <w:color w:val="1F1F1F"/>
              </w:rPr>
              <w:t xml:space="preserve">ExecutionRouter</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Permanent write-once router, MEV-guarded batch market swapper &amp; fallback</w:t>
            </w:r>
          </w:p>
        </w:tc>
      </w:tr>
      <w:tr>
        <w:tc>
          <w:p>
            <w:pPr>
              <w:spacing w:before="40" w:after="40"/>
            </w:pPr>
            <w:r>
              <w:rPr>
                <w:b/>
                <w:sz w:val="19"/>
                <w:szCs w:val="19"/>
                <w:color w:val="1F1F1F"/>
              </w:rPr>
              <w:t xml:space="preserve">RewardDistributor</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Dual-liability accounting and integer floor division solvency custody</w:t>
            </w:r>
          </w:p>
        </w:tc>
      </w:tr>
      <w:tr>
        <w:tc>
          <w:p>
            <w:pPr>
              <w:spacing w:before="40" w:after="40"/>
            </w:pPr>
            <w:r>
              <w:rPr>
                <w:b/>
                <w:sz w:val="19"/>
                <w:szCs w:val="19"/>
                <w:color w:val="1F1F1F"/>
              </w:rPr>
              <w:t xml:space="preserve">SeniorityCertificate (ERC-721)</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Genesis exit credential; transfer 100k FATCAT to the dead address to mint, 9,999-token cap, one-time Governor multisig opening, 100% on-chain SVG</w:t>
            </w:r>
          </w:p>
        </w:tc>
      </w:tr>
      <w:tr>
        <w:tc>
          <w:p>
            <w:pPr>
              <w:spacing w:before="40" w:after="40"/>
            </w:pPr>
            <w:r>
              <w:rPr>
                <w:b/>
                <w:sz w:val="19"/>
                <w:szCs w:val="19"/>
                <w:color w:val="1F1F1F"/>
              </w:rPr>
              <w:t xml:space="preserve">SeniorityCertificateRenderer</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Pure on-chain SVG generator rendering dynamic visual attributes</w:t>
            </w:r>
          </w:p>
        </w:tc>
      </w:tr>
      <w:tr>
        <w:tc>
          <w:p>
            <w:pPr>
              <w:spacing w:before="40" w:after="40"/>
            </w:pPr>
            <w:r>
              <w:rPr>
                <w:b/>
                <w:sz w:val="19"/>
                <w:szCs w:val="19"/>
                <w:color w:val="1F1F1F"/>
              </w:rPr>
              <w:t xml:space="preserve">CertificateData</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Bytecode container storing compressed fonts and vector artwork data</w:t>
            </w:r>
          </w:p>
        </w:tc>
      </w:tr>
      <w:tr>
        <w:tc>
          <w:p>
            <w:pPr>
              <w:spacing w:before="40" w:after="40"/>
            </w:pPr>
            <w:r>
              <w:rPr>
                <w:b/>
                <w:sz w:val="19"/>
                <w:szCs w:val="19"/>
                <w:color w:val="1F1F1F"/>
              </w:rPr>
              <w:t xml:space="preserve">PancakeV2TwapOracle</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Reads separated V2 Pair price accumulators to compute execution TWAP bounds</w:t>
            </w:r>
          </w:p>
        </w:tc>
      </w:tr>
      <w:tr>
        <w:tc>
          <w:p>
            <w:pPr>
              <w:spacing w:before="40" w:after="40"/>
            </w:pPr>
            <w:r>
              <w:rPr>
                <w:b/>
                <w:sz w:val="19"/>
                <w:szCs w:val="19"/>
                <w:color w:val="1F1F1F"/>
              </w:rPr>
              <w:t xml:space="preserve">PancakeV3Adapter</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Production execution adapter executing multi-hop swaps across Pancake V3 pools</w:t>
            </w:r>
          </w:p>
        </w:tc>
      </w:tr>
      <w:tr>
        <w:tc>
          <w:p>
            <w:pPr>
              <w:spacing w:before="40" w:after="40"/>
            </w:pPr>
            <w:r>
              <w:rPr>
                <w:b/>
                <w:sz w:val="19"/>
                <w:szCs w:val="19"/>
                <w:color w:val="1F1F1F"/>
              </w:rPr>
              <w:t xml:space="preserve">PancakeV3TwoHopTwapOracle</w:t>
            </w:r>
          </w:p>
        </w:tc>
        <w:tc>
          <w:p>
            <w:pPr>
              <w:spacing w:before="40" w:after="40"/>
            </w:pPr>
            <w:r>
              <w:rPr>
                <w:sz w:val="19"/>
                <w:color w:val="1F1F1F"/>
              </w:rPr>
              <w:t xml:space="preserve">BNB Chain Mainnet</w:t>
            </w:r>
          </w:p>
        </w:tc>
        <w:tc>
          <w:p>
            <w:pPr>
              <w:spacing w:before="40" w:after="40"/>
            </w:pPr>
            <w:r>
              <w:rPr>
                <w:rFonts w:ascii="Menlo" w:hAnsi="Menlo"/>
                <w:sz w:val="17"/>
                <w:color w:val="1C2422"/>
                <w:shd w:val="clear" w:color="auto" w:fill="F3F4F6"/>
              </w:rPr>
              <w:t xml:space="preserve">0x... (Pending Deployment)</w:t>
            </w:r>
          </w:p>
        </w:tc>
        <w:tc>
          <w:p>
            <w:pPr>
              <w:spacing w:before="40" w:after="40"/>
            </w:pPr>
            <w:r>
              <w:rPr>
                <w:sz w:val="19"/>
                <w:color w:val="1F1F1F"/>
              </w:rPr>
              <w:t xml:space="preserve">Two-hop V3 TWAP oracle (WBNB -&gt; USDT -&gt; bStock) for equity feeds</w:t>
            </w:r>
          </w:p>
        </w:tc>
      </w:tr>
    </w:tbl>
    <w:p>
      <w:pPr>
        <w:pBdr>
          <w:bottom w:val="single" w:sz="6" w:space="8" w:color="E5E7EB"/>
        </w:pBdr>
        <w:spacing w:before="200" w:after="200"/>
      </w:pPr>
    </w:p>
    <w:p>
      <w:pPr>
        <w:pStyle w:val="Heading1"/>
      </w:pPr>
      <w:r>
        <w:t>Appendix E: Responsible Disclosure &amp; Security Channel</w:t>
      </w:r>
    </w:p>
    <w:p>
      <w:r>
        <w:rPr>
          <w:sz w:val="22"/>
          <w:color w:val="1F1F1F"/>
        </w:rPr>
        <w:t xml:space="preserve">TheFatCat core contributors prioritize smart contract security and user fund safety above all else. We welcome independent vulnerability research, adversarial auditing, and white-hat penetration testing from the global security community:</w:t>
      </w:r>
    </w:p>
    <w:p>
      <w:pPr>
        <w:pStyle w:val="ListBullet"/>
      </w:pPr>
      <w:r>
        <w:rPr>
          <w:b/>
          <w:color w:val="0F5C46"/>
        </w:rPr>
        <w:t xml:space="preserve">1.  </w:t>
      </w:r>
      <w:r>
        <w:rPr>
          <w:b/>
          <w:sz w:val="21"/>
          <w:szCs w:val="21"/>
          <w:color w:val="1F1F1F"/>
        </w:rPr>
        <w:t xml:space="preserve">Official Security Channel</w:t>
      </w:r>
      <w:r>
        <w:rPr>
          <w:sz w:val="21"/>
          <w:color w:val="1F1F1F"/>
        </w:rPr>
        <w:t xml:space="preserve">:</w:t>
      </w:r>
    </w:p>
    <w:p>
      <w:r>
        <w:rPr>
          <w:sz w:val="22"/>
          <w:color w:val="1F1F1F"/>
        </w:rPr>
        <w:t xml:space="preserve">Please submit vulnerability disclosures through the official </w:t>
      </w:r>
      <w:r>
        <w:rPr>
          <w:sz w:val="22"/>
          <w:color w:val="0F5C46"/>
          <w:u w:val="single"/>
        </w:rPr>
        <w:t xml:space="preserve">GitHub Private Security Advisory Channel</w:t>
      </w:r>
      <w:r>
        <w:rPr>
          <w:sz w:val="22"/>
          <w:color w:val="1F1F1F"/>
        </w:rPr>
        <w:t xml:space="preserve">.</w:t>
      </w:r>
    </w:p>
    <w:p>
      <w:pPr>
        <w:pStyle w:val="ListBullet"/>
      </w:pPr>
      <w:r>
        <w:rPr>
          <w:b/>
          <w:color w:val="0F5C46"/>
        </w:rPr>
        <w:t xml:space="preserve">2.  </w:t>
      </w:r>
      <w:r>
        <w:rPr>
          <w:b/>
          <w:sz w:val="21"/>
          <w:szCs w:val="21"/>
          <w:color w:val="1F1F1F"/>
        </w:rPr>
        <w:t xml:space="preserve">Encrypted Communications</w:t>
      </w:r>
      <w:r>
        <w:rPr>
          <w:sz w:val="21"/>
          <w:color w:val="1F1F1F"/>
        </w:rPr>
        <w:t xml:space="preserve">:</w:t>
      </w:r>
    </w:p>
    <w:p>
      <w:r>
        <w:rPr>
          <w:sz w:val="22"/>
          <w:color w:val="1F1F1F"/>
        </w:rPr>
        <w:t xml:space="preserve">When submitting disclosures containing sensitive vulnerability details or exploit proofs, technical attachments may additionally be encrypted using the protocol's official PGP key (fingerprint published upon mainnet launch).</w:t>
      </w:r>
    </w:p>
    <w:p>
      <w:pPr>
        <w:pStyle w:val="ListBullet"/>
      </w:pPr>
      <w:r>
        <w:rPr>
          <w:b/>
          <w:color w:val="0F5C46"/>
        </w:rPr>
        <w:t xml:space="preserve">3.  </w:t>
      </w:r>
      <w:r>
        <w:rPr>
          <w:b/>
          <w:sz w:val="21"/>
          <w:szCs w:val="21"/>
          <w:color w:val="1F1F1F"/>
        </w:rPr>
        <w:t xml:space="preserve">Review &amp; Feedback Policy</w:t>
      </w:r>
      <w:r>
        <w:rPr>
          <w:sz w:val="21"/>
          <w:color w:val="1F1F1F"/>
        </w:rPr>
        <w:t xml:space="preserve">:</w:t>
      </w:r>
    </w:p>
    <w:p>
      <w:pPr>
        <w:pStyle w:val="ListBullet"/>
      </w:pPr>
      <w:r>
        <w:rPr>
          <w:color w:val="0F5C46"/>
        </w:rPr>
        <w:t xml:space="preserve">•  </w:t>
      </w:r>
      <w:r>
        <w:rPr>
          <w:b/>
          <w:sz w:val="21"/>
          <w:szCs w:val="21"/>
          <w:color w:val="1F1F1F"/>
        </w:rPr>
        <w:t xml:space="preserve">Regular Review &amp; Prompt Feedback</w:t>
      </w:r>
      <w:r>
        <w:rPr>
          <w:sz w:val="21"/>
          <w:color w:val="1F1F1F"/>
        </w:rPr>
        <w:t xml:space="preserve">: The security team regularly reviews incoming disclosures and provides rapid triage feedback upon evaluation;</w:t>
      </w:r>
    </w:p>
    <w:p>
      <w:pPr>
        <w:pStyle w:val="ListBullet"/>
      </w:pPr>
      <w:r>
        <w:rPr>
          <w:color w:val="0F5C46"/>
        </w:rPr>
        <w:t xml:space="preserve">•  </w:t>
      </w:r>
      <w:r>
        <w:rPr>
          <w:b/>
          <w:sz w:val="21"/>
          <w:szCs w:val="21"/>
          <w:color w:val="1F1F1F"/>
        </w:rPr>
        <w:t xml:space="preserve">Coordinated Disclosure</w:t>
      </w:r>
      <w:r>
        <w:rPr>
          <w:sz w:val="21"/>
          <w:color w:val="1F1F1F"/>
        </w:rPr>
        <w:t xml:space="preserve">: Both parties adhere to responsible disclosure principles while patches are engineered, verified, and deployed through governance migration procedures.</w:t>
      </w:r>
    </w:p>
    <w:p>
      <w:pPr>
        <w:pStyle w:val="ListBullet"/>
      </w:pPr>
      <w:r>
        <w:rPr>
          <w:b/>
          <w:color w:val="0F5C46"/>
        </w:rPr>
        <w:t xml:space="preserve">4.  </w:t>
      </w:r>
      <w:r>
        <w:rPr>
          <w:b/>
          <w:sz w:val="21"/>
          <w:szCs w:val="21"/>
          <w:color w:val="1F1F1F"/>
        </w:rPr>
        <w:t xml:space="preserve">White-Hat Recognition &amp; Discretionary Bounties</w:t>
      </w:r>
      <w:r>
        <w:rPr>
          <w:sz w:val="21"/>
          <w:color w:val="1F1F1F"/>
        </w:rPr>
        <w:t xml:space="preserve">:</w:t>
      </w:r>
    </w:p>
    <w:p>
      <w:r>
        <w:rPr>
          <w:sz w:val="22"/>
          <w:color w:val="1F1F1F"/>
        </w:rPr>
        <w:t xml:space="preserve">While the protocol avoids rigid mechanical bounty tiers, verified Critical and High severity findings are eligible for discretionary decentralized grants disbursed from the Ops Safe operational funds, scaled to impact and technical rigor. The protocol employs an immutable architecture; in the event that remediation requires contract replacements, governance will coordinate migration procedures and deploy verified successors.</w:t>
      </w:r>
    </w:p>
    <w:p>
      <w:pPr>
        <w:pBdr>
          <w:bottom w:val="single" w:sz="6" w:space="8" w:color="E5E7EB"/>
        </w:pBdr>
        <w:spacing w:before="200" w:after="200"/>
      </w:pPr>
    </w:p>
    <w:p>
      <w:r>
        <w:rPr>
          <w:i/>
          <w:sz w:val="22"/>
          <w:szCs w:val="22"/>
          <w:color w:val="1F1F1F"/>
        </w:rPr>
        <w:t xml:space="preserve">Copyright © 2026 TheFatCat Protocol Core Contributors. Code is law; arithmetic belongs to the public.</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eastAsia="PingFang SC" w:cs="Times New Roman"/>
        <w:sz w:val="22"/>
        <!-- 11 pt -->
        <w:szCs w:val="22"/>
        <w:color w:val="1F1F1F"/>
        <w:lang w:val="en-US" w:eastAsia="zh-CN" w:bidi="ar-SA"/>
      </w:rPr>
    </w:rPrDefault>
    <w:pPrDefault>
      <w:pPr>
        <w:spacing w:after="140" w:line="320" w:lineRule="auto"/>
      </w:pPr>
    </w:pPrDefault>
  </w:docDefaults>
  <w:style w:type="paragraph" w:styleId="Title">
    <w:name w:val="Title"/>
    <w:pPr>
      <w:spacing w:before="400" w:after="200" w:line="440" w:lineRule="auto"/>
      <w:jc w:val="center"/>
    </w:pPr>
    <w:rPr>
      <w:rFonts w:ascii="Georgia" w:hAnsi="Georgia" w:eastAsia="PingFang SC"/>
      <w:b/>
      <w:sz w:val="52"/>
      <!-- 26 pt -->
      <w:szCs w:val="52"/>
      <w:color w:val="0D1117"/>
    </w:rPr>
  </w:style>
  <w:style w:type="paragraph" w:styleId="Subtitle">
    <w:name w:val="Subtitle"/>
    <w:pPr>
      <w:spacing w:before="100" w:after="240" w:line="340" w:lineRule="auto"/>
      <w:jc w:val="center"/>
    </w:pPr>
    <w:rPr>
      <w:rFonts w:ascii="Georgia" w:hAnsi="Georgia" w:eastAsia="PingFang SC"/>
      <w:sz w:val="28"/>
      <!-- 14 pt -->
      <w:szCs w:val="28"/>
      <w:color w:val="0F5C46"/>
    </w:rPr>
  </w:style>
  <w:style w:type="paragraph" w:styleId="Metadata">
    <w:name w:val="Metadata"/>
    <w:pPr>
      <w:spacing w:before="80" w:after="240" w:line="280" w:lineRule="auto"/>
      <w:jc w:val="center"/>
    </w:pPr>
    <w:rPr>
      <w:rFonts w:ascii="Georgia" w:hAnsi="Georgia" w:eastAsia="PingFang SC"/>
      <w:i/>
      <w:sz w:val="19"/>
      <w:szCs w:val="19"/>
      <w:color w:val="4B5563"/>
    </w:rPr>
  </w:style>
  <w:style w:type="paragraph" w:styleId="Heading1">
    <w:name w:val="heading 1"/>
    <w:pPr>
      <w:spacing w:before="360" w:after="160" w:line="360" w:lineRule="auto"/>
      <w:keepNext/>
    </w:pPr>
    <w:rPr>
      <w:rFonts w:ascii="Georgia" w:hAnsi="Georgia" w:eastAsia="PingFang SC"/>
      <w:b/>
      <w:sz w:val="34"/>
      <!-- 17 pt -->
      <w:szCs w:val="34"/>
      <w:color w:val="0F5C46"/>
    </w:rPr>
  </w:style>
  <w:style w:type="paragraph" w:styleId="Heading2">
    <w:name w:val="heading 2"/>
    <w:pPr>
      <w:spacing w:before="260" w:after="120" w:line="320" w:lineRule="auto"/>
      <w:keepNext/>
    </w:pPr>
    <w:rPr>
      <w:rFonts w:ascii="Georgia" w:hAnsi="Georgia" w:eastAsia="PingFang SC"/>
      <w:b/>
      <w:sz w:val="28"/>
      <!-- 14 pt -->
      <w:szCs w:val="28"/>
      <w:color w:val="1C2422"/>
    </w:rPr>
  </w:style>
  <w:style w:type="paragraph" w:styleId="Heading3">
    <w:name w:val="heading 3"/>
    <w:pPr>
      <w:spacing w:before="180" w:after="80" w:line="300" w:lineRule="auto"/>
      <w:keepNext/>
    </w:pPr>
    <w:rPr>
      <w:rFonts w:ascii="Georgia" w:hAnsi="Georgia" w:eastAsia="PingFang SC"/>
      <w:b/>
      <w:sz w:val="24"/>
      <!-- 12 pt -->
      <w:szCs w:val="24"/>
      <w:color w:val="1C2422"/>
    </w:rPr>
  </w:style>
  <w:style w:type="paragraph" w:styleId="Equation">
    <w:name w:val="Equation"/>
    <w:pPr>
      <w:spacing w:before="160" w:after="160" w:line="300" w:lineRule="auto"/>
      <w:jc w:val="center"/>
    </w:pPr>
    <w:rPr>
      <w:rFonts w:ascii="Georgia" w:hAnsi="Georgia" w:eastAsia="PingFang SC"/>
      <w:sz w:val="22"/>
      <w:color w:val="1C2422"/>
    </w:rPr>
  </w:style>
  <w:style w:type="paragraph" w:styleId="Blockquote">
    <w:name w:val="Blockquote"/>
    <w:pPr>
      <w:pBdr>
        <w:left w:val="single" w:sz="18" w:space="12" w:color="B89454"/>
      </w:pBdr>
      <w:spacing w:before="120" w:after="140" w:line="300" w:lineRule="auto"/>
      <w:ind w:left="360" w:right="200"/>
    </w:pPr>
    <w:rPr>
      <w:rFonts w:ascii="Georgia" w:hAnsi="Georgia" w:eastAsia="PingFang SC"/>
      <w:sz w:val="21"/>
      <w:color w:val="4B5563"/>
    </w:rPr>
  </w:style>
  <w:style w:type="paragraph" w:styleId="ListBullet">
    <w:name w:val="ListBullet"/>
    <w:pPr>
      <w:spacing w:before="40" w:after="80" w:line="280" w:lineRule="auto"/>
      <w:ind w:left="420" w:hanging="260"/>
    </w:pPr>
    <w:rPr>
      <w:rFonts w:ascii="Georgia" w:hAnsi="Georgia" w:eastAsia="PingFang SC"/>
      <w:sz w:val="21"/>
    </w:rPr>
  </w:style>
  <w:style w:type="paragraph" w:styleId="CodeBlock">
    <w:name w:val="CodeBlock"/>
    <w:pPr>
      <w:shd w:val="clear" w:color="auto" w:fill="F3F4F6"/>
      <w:spacing w:before="80" w:after="80" w:line="240" w:lineRule="auto"/>
      <w:ind w:left="280" w:right="280"/>
    </w:pPr>
    <w:rPr>
      <w:rFonts w:ascii="Menlo" w:hAnsi="Menlo" w:eastAsia="PingFang SC"/>
      <w:sz w:val="18"/>
      <w:color w:val="1C24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