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70-ticker diversified-equity test universe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The annotated list below is the working set of references that anchor the dissertation. Each entry follows a uniform structure — what the paper did, why they did it, what it does well, where it falls short, and how the gap is fixed in the literature — so the comparative differentiation Dr Nguyen asked for is visible at a glance. The dissertation's full bibliography in Chapter 2 of Main_Dissertation_Draft.docx is the canonical version; the list below is the compact working set for this interim review.</w:t>
      </w:r>
    </w:p>
    <w:p>
      <w:r>
        <w:rPr>
          <w:b w:val="0"/>
          <w:i w:val="0"/>
        </w:rPr>
        <w:t>Why the families differ at a glance. The risk-measure literature is not a ranking of competing answers to one question; it is a sequence of answers to different questions, each developed in response to a specific limitation of the family that came before:</w:t>
      </w:r>
    </w:p>
    <w:p>
      <w:pPr>
        <w:pStyle w:val="ListBullet"/>
      </w:pPr>
      <w:r>
        <w:t>Markowitz (1952) — "What is the smoothest portfolio I can build given my return target?" Single-period; symmetric penalty on wiggles.</w:t>
      </w:r>
    </w:p>
    <w:p>
      <w:pPr>
        <w:pStyle w:val="ListBullet"/>
      </w:pPr>
      <w:r>
        <w:t>Rockafellar and Uryasev (2000) — "What is the portfolio with the smallest expected loss in the worst 5 % of single-period outcomes?" Single-period; coherent tail measure. Differs from Markowitz in shifting from average wiggle to tail loss.</w:t>
      </w:r>
    </w:p>
    <w:p>
      <w:pPr>
        <w:pStyle w:val="ListBullet"/>
      </w:pPr>
      <w:r>
        <w:t>Magdon-Ismail and Atiya (2004) / Young (1991) / Chekhlov, Uryasev and Zabarankin (2005) — "What is the worst loss-from-peak this strategy can be expected to experience over its lifetime?" Path-dependent. Differs from VaR/ES in shifting from a single bad day to the worst peak-to-trough excursion of the equity curve.</w:t>
      </w:r>
    </w:p>
    <w:p>
      <w:pPr>
        <w:pStyle w:val="ListBullet"/>
      </w:pPr>
      <w:r>
        <w:t>Sortino and Price (1994) — "How much per-period downside deviation does this strategy accept to earn its return?" Same per-period grain as Markowitz but with the symmetric penalty replaced by an asymmetric one. Differs from Markowitz in its treatment of upside.</w:t>
      </w:r>
    </w:p>
    <w:p>
      <w:pPr>
        <w:pStyle w:val="ListBullet"/>
      </w:pPr>
      <w:r>
        <w:t>Jiang/Yang/Liu DRL-finance papers — "Can a deep RL policy outperform static rules on equities and crypto with return-only reward?" Sequential decision but uncertainty-blind. Differs from the risk-measure tradition in treating risk as something measured after the fact rather than constrained explicitly.</w:t>
      </w:r>
    </w:p>
    <w:p>
      <w:r>
        <w:rPr>
          <w:b/>
          <w:i w:val="0"/>
        </w:rPr>
        <w:t>Drawdown literature (the closest antecedents).</w:t>
      </w:r>
    </w:p>
    <w:p>
      <w:r>
        <w:rPr>
          <w:b/>
          <w:i w:val="0"/>
        </w:rPr>
        <w:t>Magdon-Ismail and Atiya (2004) — "Maximum Drawdown." Risk Magazine, 17(10), 99–102.</w:t>
      </w:r>
    </w:p>
    <w:p>
      <w:r>
        <w:rPr>
          <w:b w:val="0"/>
          <w:i w:val="0"/>
        </w:rPr>
        <w:t>What and why: derived a closed-form expectation for the maximum drawdown of a geometric Brownian motion with drift, motivated by practitioner demand for an analytical baseline against which observed MDD figures could be calibrated. Advantages: closed-form, operationally meaningful, tied directly to (mu, sigma, T). Disadvantages: requires Brownian motion with constant drift and volatility — empirically wrong for financial returns, which exhibit volatility clustering and fat tails. Fix: extends to GARCH and regime-switching baselines, or — operationally — to the CDaR programme of Chekhlov, Uryasev and Zabarankin (2005). Position in this dissertation: defines the maximum drawdown statistic used throughout Section 5–Section 6 and motivates the analytical context for the test-window MDD numbers.</w:t>
      </w:r>
    </w:p>
    <w:p>
      <w:r>
        <w:rPr>
          <w:b/>
          <w:i w:val="0"/>
        </w:rPr>
        <w:t>Young (1991) — "Calmar Ratio: A Smoother Tool." Futures, 20(1), 40.</w:t>
      </w:r>
    </w:p>
    <w:p>
      <w:r>
        <w:rPr>
          <w:b w:val="0"/>
          <w:i w:val="0"/>
        </w:rPr>
        <w:t>What and why: introduced the Calmar ratio (annualised return / maximum drawdown) as a return-per-unit-pain measure intuitive to institutional investors with explicit drawdown limits. Advantages: no parametric assumption on returns; speaks the language of the institutional mandate; widely understood. Disadvantages: extreme single-event sensitivity — one bad week can permanently impair a strategy's Calmar; rewards strategies whose worst loss is still ahead of them. Fix: Sterling and Burke ratios use averages of the worst N drawdowns; the CDaR programme of Chekhlov, Uryasev and Zabarankin (2005) uses a tail expectation over the full drawdown distribution and removes the single-event problem. Position in this dissertation: reported as a diagnostic alongside Sharpe in Section 5.5; its limitations are exactly what motivated the move to the constrained CDaR-style objective in Section 3.1.5.</w:t>
      </w:r>
    </w:p>
    <w:p>
      <w:r>
        <w:rPr>
          <w:b/>
          <w:i w:val="0"/>
        </w:rPr>
        <w:t>Chekhlov, Uryasev and Zabarankin (2005) — "Drawdown Measure in Portfolio Optimization." International Journal of Theoretical and Applied Finance, 8(1), 13–58.</w:t>
      </w:r>
    </w:p>
    <w:p>
      <w:r>
        <w:rPr>
          <w:b w:val="0"/>
          <w:i w:val="0"/>
        </w:rPr>
        <w:t>What and why: extended the CVaR construction of Rockafellar and Uryasev (2000) from the loss distribution to the path-dependent drawdown distribution, defining the conditional drawdown-at-risk (CDaR_alpha) and showing that drawdown-constrained portfolio optimisation reduces to a linear programme under empirical scenarios. Motivated by institutional allocators (endowments, sovereign wealth funds) who already demanded CDaR diagnostics but had no tractable optimisation routine for them. Advantages: coherent generalisation of MDD/Calmar to a tail expectation over the drawdown distribution; LP-tractable; matches institutional mandates. Disadvantages: computational cost grows with horizon T; remains a one-shot static optimisation that does not naturally accommodate a sequential decision policy. Fix: multi-stage stochastic programming (Bertsimas, Lauprete and Samarov, 2004) extends to multiple periods; reinforcement learning extends further to a state-conditional policy that learns when to reduce exposure rather than only how to allocate it. Position in this dissertation: the closest classical antecedent to the constrained problem in Section 3.1.5. The dissertation's contribution can be stated as enforcing the CDaR-style constraint inside a sequential PPO policy rather than at portfolio-construction time.</w:t>
      </w:r>
    </w:p>
    <w:p>
      <w:r>
        <w:rPr>
          <w:b/>
          <w:i w:val="0"/>
        </w:rPr>
        <w:t>Sortino and Price (1994) — "Performance Measurement in a Downside Risk Framework." Journal of Investing, 3(3), 59–64.</w:t>
      </w:r>
    </w:p>
    <w:p>
      <w:r>
        <w:rPr>
          <w:b w:val="0"/>
          <w:i w:val="0"/>
        </w:rPr>
        <w:t>What and why: replaced the standard deviation in the Sharpe-ratio denominator with the downside deviation against a target return tau, motivated by Sortino's long-running argument that Sharpe penalises long-only mandates twice over (once for negative returns, once for above-average positive returns). Advantages: asymmetric penalty matches asymmetric utility of long-only investors; same data requirement as Sharpe; widely understood in CTA and hedge-fund evaluation. Disadvantages: tau is a modelling decision rather than a derived quantity, so the same strategy can have very different Sortino ratios under different rate environments; unstable when there are few sub-tau returns; remains single-period and silent on the path of the equity curve. Fix: report at multiple tau; pair with a path-dependent measure such as MDD or Calmar; lower-partial-moment family (Bawa, 1975; Fishburn, 1977) generalises the squared deviation. Position in this dissertation: reported in the Section 3.7 metric table; the asymmetric-penalty intuition behind Sortino is the same intuition behind the choice of drawdown rather than variance as the binding measure.</w:t>
      </w:r>
    </w:p>
    <w:p>
      <w:r>
        <w:rPr>
          <w:b/>
          <w:i w:val="0"/>
        </w:rPr>
        <w:t>Classical risk-measure literature (single-period baselines).</w:t>
      </w:r>
    </w:p>
    <w:p>
      <w:r>
        <w:rPr>
          <w:b/>
          <w:i w:val="0"/>
        </w:rPr>
        <w:t>Markowitz (1952) — "Portfolio Selection." Journal of Finance, 7(1), 77–91.</w:t>
      </w:r>
    </w:p>
    <w:p>
      <w:r>
        <w:rPr>
          <w:b w:val="0"/>
          <w:i w:val="0"/>
        </w:rPr>
        <w:t>What and why: turned portfolio choice into a quadratic optimisation in mean and variance, motivated by the absence of any quantitative framework for diversification before 1952. Advantages: convex QP solvable in milliseconds; closed-form efficient frontier in the unconstrained case; foundation of every later extension. Disadvantages: requires stationary mu and Sigma; weights are highly sensitive to estimation error (Michaud, 1989, "error-maximising"); penalises upside and downside symmetrically; single-period and ignores path properties. Fix: Black-Litterman shrinkage; Ledoit-Wolf covariance shrinkage; replace symmetric variance with downside deviation (Sortino) or tail loss (CVaR) or drawdown (CDaR). Position here: the classical static baseline that the sequential, uncertainty-aware policy is positioned against.</w:t>
      </w:r>
    </w:p>
    <w:p>
      <w:r>
        <w:rPr>
          <w:b/>
          <w:i w:val="0"/>
        </w:rPr>
        <w:t>Rockafellar and Uryasev (2000) — "Optimization of Conditional Value-at-Risk." Journal of Risk, 2(3), 21–42.</w:t>
      </w:r>
    </w:p>
    <w:p>
      <w:r>
        <w:rPr>
          <w:b w:val="0"/>
          <w:i w:val="0"/>
        </w:rPr>
        <w:t>What and why: wrote down a convex programme whose minimiser is the CVaR of the portfolio's loss distribution, motivated by the post-Artzner et al. (1999) recognition that VaR is not coherent and the practitioner need for a tractable, optimisable alternative. Advantages: coherent (sub-additive); convex in the weights; reduces to an LP under empirical scenarios. Disadvantages: single-period, so silent on the path of the equity curve; tail-data-hungry. Fix: extreme-value-theory parametric fits for the tail (McNeil and Frey, 2000); path-dependent generalisation in CDaR (Chekhlov et al., 2005). Position here: motivates the tail-loss arm of Section 2.1 and the VaR-95 violation-rate metric reported in Section 3.7.</w:t>
      </w:r>
    </w:p>
    <w:p>
      <w:r>
        <w:rPr>
          <w:b/>
          <w:i w:val="0"/>
        </w:rPr>
        <w:t>Reinforcement learning, policy gradient and DRL-for-finance.</w:t>
      </w:r>
    </w:p>
    <w:p>
      <w:r>
        <w:rPr>
          <w:b/>
          <w:i w:val="0"/>
        </w:rPr>
        <w:t>Sutton and Barto (2018) — Reinforcement Learning: an Introduction, 2nd ed., MIT Press.</w:t>
      </w:r>
    </w:p>
    <w:p>
      <w:r>
        <w:rPr>
          <w:b w:val="0"/>
          <w:i w:val="0"/>
        </w:rPr>
        <w:t>What and why: the canonical textbook treatment of MDPs and policy-gradient methods, motivated by twenty years of fragmented research that needed a single integrated reference. Advantages: standardises notation and conceptual scaffolding for the entire field; covers tabular and function-approximation methods uniformly. Disadvantages: predates the deep-RL revolution in its proportions, so coverage of large-scale function approximation is comparatively light. Fix: pair with Schulman et al. (2017) for modern policy-gradient practice. Position here: the reference relied on for the MDP formulation and the policy-gradient derivations in Section 3.5.</w:t>
      </w:r>
    </w:p>
    <w:p>
      <w:r>
        <w:rPr>
          <w:b/>
          <w:i w:val="0"/>
        </w:rPr>
        <w:t>Schulman, Wolski, Dhariwal, Radford and Klimov (2017) — "Proximal Policy Optimization Algorithms." arXiv:1707.06347.</w:t>
      </w:r>
    </w:p>
    <w:p>
      <w:r>
        <w:rPr>
          <w:b w:val="0"/>
          <w:i w:val="0"/>
        </w:rPr>
        <w:t>What and why: introduced a clipped surrogate objective that approximates a trust-region constraint without the conjugate-gradient machinery of TRPO, motivated by the need for an algorithm with TRPO-like performance and SGD-like operational simplicity. Advantages: forgiving with respect to hyper-parameters; first-order optimisation only; mature open-source implementations (Stable-Baselines3). Disadvantages: clipping is a heuristic with no formal trust-region guarantee; sensitive to advantage-estimation method; ratio variable can be numerically unstable on long horizons. Fix: PPO-EWMA (Hilton et al., 2022); trust-region-aware clipping. Position here: PPO is the policy-gradient algorithm used for both the baseline and the uncertainty-aware variant. The clipped surrogate is the reason PPO was picked over vanilla policy gradient or TRPO: the operational simplicity matters on a single-asset environment with limited training budget.</w:t>
      </w:r>
    </w:p>
    <w:p>
      <w:r>
        <w:rPr>
          <w:b/>
          <w:i w:val="0"/>
        </w:rPr>
        <w:t>Jiang, Xu and Liang (2017) — "A Deep Reinforcement Learning Framework for the Financial Portfolio Management Problem." arXiv:1706.10059.</w:t>
      </w:r>
    </w:p>
    <w:p>
      <w:r>
        <w:rPr>
          <w:b w:val="0"/>
          <w:i w:val="0"/>
        </w:rPr>
        <w:t>What and why: treated portfolio management as an end-to-end DRL problem on cryptocurrency, motivated by the inadequacy of static rules on a non-stationary high-frequency market. Advantages: genuinely end-to-end (raw price tensor → portfolio weights); validated on a market where mean-variance baselines fail; established the template later adopted by FinRL. Disadvantages: return-only reward; cryptocurrency-specific; uncertainty-blind; tested on a single window without walk-forward. Fix: Yang et al. (2020) and FinRL extend to equities and add reproducibility infrastructure; this dissertation closes the uncertainty-blind and risk-blind gaps. Position here: the closest prior DRL-finance work in spirit, against which the present dissertation's contribution is positioned in Section 2.4.</w:t>
      </w:r>
    </w:p>
    <w:p>
      <w:r>
        <w:rPr>
          <w:b/>
          <w:i w:val="0"/>
        </w:rPr>
        <w:t>Yang, Liu, Zhong and Walid (2020) — "Deep Reinforcement Learning for Automated Stock Trading: An Ensemble Strategy." ICAIF.</w:t>
      </w:r>
    </w:p>
    <w:p>
      <w:r>
        <w:rPr>
          <w:b w:val="0"/>
          <w:i w:val="0"/>
        </w:rPr>
        <w:t>What and why: applied the Jiang template to US equities and added an algorithm-level ensemble that picks the best of A2C/PPO/DDPG per regime, motivated by the high run-to-run variance of any single policy-gradient algorithm. Advantages: equities-validated; engineered technical indicators give useful inductive bias; explicit train/validation/test split protocol that this dissertation follows. Disadvantages: still return-only; technical-indicator features embed prior beliefs; in-sample regime detection has look-ahead concerns; uncertainty-blind. Fix: walk-forward evaluation (Bailey and López de Prado, 2014); the present dissertation's uncertainty coupling is orthogonal to the algorithm-ensemble idea and can in principle be added on top. Position here: borrowed the train/validation/test split style and the seed-averaging convention; positioned as an algorithm-level rather than constraint-level contribution.</w:t>
      </w:r>
    </w:p>
    <w:p>
      <w:r>
        <w:rPr>
          <w:b/>
          <w:i w:val="0"/>
        </w:rPr>
        <w:t>Liu, Yang, Gao and Wang (2021) — FinRL. arXiv:2011.09607.</w:t>
      </w:r>
    </w:p>
    <w:p>
      <w:r>
        <w:rPr>
          <w:b w:val="0"/>
          <w:i w:val="0"/>
        </w:rPr>
        <w:t>What and why: open-source library bundling the trading environment, data pipeline, algorithm interface and reporting layer, motivated by the divergent and incomparable results in the DRL-finance literature up to 2020. Advantages: imposes a single environment specification on the field; widely adopted; gym-style API. Disadvantages: takes no position on what the policy should optimise; bundles implicit environment choices that are not the right fit for every problem; abstraction layer hides design decisions that need to be defended at viva. Fix: implement the environment explicitly when the contribution is on the environment side rather than the policy side. Position here: this dissertation does not subclass FinRL; it implements its own environment in experiments/common.py so the trade-scaling and entry-guard contributions are explicit.</w:t>
      </w:r>
    </w:p>
    <w:p>
      <w:r>
        <w:rPr>
          <w:b/>
          <w:i w:val="0"/>
        </w:rPr>
        <w:t>Raffin, Hill, Gleave, Kanervisto, Ernestus and Dormann (2021) — "Stable-Baselines3." JMLR, 22(268), 1–8.</w:t>
      </w:r>
    </w:p>
    <w:p>
      <w:r>
        <w:rPr>
          <w:b w:val="0"/>
          <w:i w:val="0"/>
        </w:rPr>
        <w:t>What and why: a maintained, tested PyTorch port of the Stable-Baselines RL library, motivated by reproducibility and quality concerns with the original TF1 implementations. Advantages: rigorously tested; conforms to the gym/gymnasium API; interoperable with the wider Python RL ecosystem. Disadvantages: opinionated defaults that occasionally need to be overridden for non-standard environments; not the right tool for novel-algorithm research where every line of the policy needs to be inspected. Fix: subclass the algorithm class to override default hyper-parameters; for novel-algorithm work, write the algorithm from scratch and keep SB3 as the reproducibility baseline. Position here: the implementation source for the PPO solver in both runners.</w:t>
      </w:r>
    </w:p>
    <w:p>
      <w:r>
        <w:rPr>
          <w:b/>
          <w:i w:val="0"/>
        </w:rPr>
        <w:t>Probabilistic forecasting and uncertainty quantification.</w:t>
      </w:r>
    </w:p>
    <w:p>
      <w:r>
        <w:rPr>
          <w:b/>
          <w:i w:val="0"/>
        </w:rPr>
        <w:t>Salinas, Flunkert, Gasthaus and Januschowski (2020) — "DeepAR: Probabilistic Forecasting with Autoregressive Recurrent Networks." International Journal of Forecasting, 36(3), 1181–1191.</w:t>
      </w:r>
    </w:p>
    <w:p>
      <w:r>
        <w:rPr>
          <w:b w:val="0"/>
          <w:i w:val="0"/>
        </w:rPr>
        <w:t>What and why: an autoregressive RNN trained to maximise the likelihood of observed data under a chosen output distribution, motivated by Amazon's production demand-forecasting need for full predictive distributions and statistical pooling across thousands of related series. Advantages: emits a calibrated predictive distribution as a native output; pools strength across related series; trains with standard backprop. Disadvantages: parametric output family (Gaussian) imposes thin-tailed conditional residuals that financial returns violate; can overfit short series; calibration on out-of-sample regimes is not guaranteed; provides aleatoric but not epistemic uncertainty. Fix: Student-t or mixture heads; deep ensembles for the epistemic component; conformal prediction for non-parametric calibration. Position here: the blueprint for the forecaster in this dissertation. The implementation is a stripped-down DeepAR with a Gaussian head emitting predictive mean and log-variance, used to feed a one-dimensional uncertainty signal u_t into the PPO policy.</w:t>
      </w:r>
    </w:p>
    <w:p>
      <w:r>
        <w:rPr>
          <w:b/>
          <w:i w:val="0"/>
        </w:rPr>
        <w:t>Hochreiter and Schmidhuber (1997) — "Long Short-Term Memory." Neural Computation, 9(8), 1735–1780.</w:t>
      </w:r>
    </w:p>
    <w:p>
      <w:r>
        <w:rPr>
          <w:b w:val="0"/>
          <w:i w:val="0"/>
        </w:rPr>
        <w:t>What and why: introduced the LSTM cell with input/forget/output gates and a constant-error-carousel state, motivated by the inability of vanilla RNNs to learn long-range dependencies because of vanishing gradients. Advantages: the architectural workhorse for sequence modelling for two decades; trains stably with standard backpropagation through time; well understood. Disadvantages: superseded on many tasks by Transformer-based architectures (Vaswani et al., 2017) which scale better with data and compute; recurrent computation does not parallelise across time. Fix: Transformer-based forecasters (Informer, Autoformer); for short series the LSTM is still competitive. Position here: the architectural workhorse inside the forecaster.</w:t>
      </w:r>
    </w:p>
    <w:p>
      <w:r>
        <w:rPr>
          <w:b/>
          <w:i w:val="0"/>
        </w:rPr>
        <w:t>Lakshminarayanan, Pritzel and Blundell (2017) — "Simple and Scalable Predictive Uncertainty Estimation using Deep Ensembles." NeurIPS.</w:t>
      </w:r>
    </w:p>
    <w:p>
      <w:r>
        <w:rPr>
          <w:b w:val="0"/>
          <w:i w:val="0"/>
        </w:rPr>
        <w:t>What and why: trained several independent networks with different random initialisations and used their disagreement on a held-out point as the uncertainty proxy, motivated by the operational complexity of full Bayesian neural networks. Advantages: implementation-agnostic; captures both data-side and model-side uncertainty; well calibrated empirically. Disadvantages: training cost scales linearly with ensemble size; the disagreement signal is unstructured; storage cost. Fix: parameter-efficient ensembles (BatchEnsemble, MIMO); single-model alternatives such as MC dropout or evidential heads. Position here: read to decide whether to go with ensembles or a single network with a Gaussian head. The single-head approach is cheaper and sufficient given the policy only needs a one-dimensional uncertainty summary; ensembles are listed as future work.</w:t>
      </w:r>
    </w:p>
    <w:p>
      <w:r>
        <w:rPr>
          <w:b/>
          <w:i w:val="0"/>
        </w:rPr>
        <w:t>Gal and Ghahramani (2016) — "Dropout as a Bayesian Approximation." ICML.</w:t>
      </w:r>
    </w:p>
    <w:p>
      <w:r>
        <w:rPr>
          <w:b w:val="0"/>
          <w:i w:val="0"/>
        </w:rPr>
        <w:t>What and why: showed that dropout at inference time can be interpreted as variational approximation to a Bayesian posterior over weights, motivated by the wish to extract uncertainty estimates from existing deep models without architectural change. Advantages: zero training-time overhead; works on existing trained networks; gives empirical predictive distributions cheaply. Disadvantages: variational approximation is loose; underestimates epistemic uncertainty in some settings; calibration depends on dropout rate. Fix: combine with last-layer Bayesian methods or with conformal calibration. Position here: cited as background reading for why a learned predictive variance can be treated as a meaningful uncertainty proxy; the dissertation does not use MC dropout because the DeepAR-style head provides the same signal more cheaply at training time.</w:t>
      </w:r>
    </w:p>
    <w:p>
      <w:r>
        <w:rPr>
          <w:b/>
          <w:i w:val="0"/>
        </w:rPr>
        <w:t>Vovk, Gammerman and Shafer (2005) — Algorithmic Learning in a Random World. Springer.</w:t>
      </w:r>
    </w:p>
    <w:p>
      <w:r>
        <w:rPr>
          <w:b w:val="0"/>
          <w:i w:val="0"/>
        </w:rPr>
        <w:t>What and why: developed conformal prediction, a non-parametric, distribution-free framework for constructing finite-sample-valid prediction sets, motivated by the desire for calibration guarantees that do not depend on parametric distributional assumptions. Advantages: model-agnostic; finite-sample validity under exchangeability; can wrap any underlying predictor. Disadvantages: predictive intervals can be conservative; standard exchangeability assumption is violated by time-series data. Fix: split-conformal and adaptive variants for non-exchangeable data (Gibbs and Candès, 2021). Position here: noted in Section 2.6 and Section 7.2 as a future-work overlay that would give the dissertation's uncertainty signal a finite-sample coverage guarantee independent of the Gaussian-head assumption.</w:t>
      </w:r>
    </w:p>
    <w:p>
      <w:r>
        <w:br w:type="page"/>
      </w:r>
    </w:p>
    <w:p>
      <w:pPr>
        <w:pStyle w:val="Heading1"/>
      </w:pPr>
      <w:r>
        <w:rPr>
          <w:color w:val="000000"/>
        </w:rPr>
        <w:t>Technical progress</w:t>
      </w:r>
    </w:p>
    <w:p>
      <w:pPr>
        <w:pStyle w:val="Heading2"/>
      </w:pPr>
      <w:r>
        <w:rPr>
          <w:color w:val="000000"/>
        </w:rPr>
        <w:t>Summary</w:t>
      </w:r>
    </w:p>
    <w:p>
      <w:r>
        <w:rPr>
          <w:b w:val="0"/>
          <w:i w:val="0"/>
        </w:rPr>
        <w:t>Phase 0 and Phase 1 are in place and reproducible end-to-end. The dissertation compares a baseline PPO agent against a probabilistic-PPO variant that consumes a DeepAR-style uncertainty signal, with passive buy-and-hold, all-cash, and a rule-based trailing stop-loss policy as the three named comparators. Everything is driven from a single configuration file and a small set of scripts, so any reported number can be regenerated from the public repository in a single command sequence.</w:t>
      </w:r>
    </w:p>
    <w:p>
      <w:pPr>
        <w:pStyle w:val="Heading2"/>
      </w:pPr>
      <w:r>
        <w:rPr>
          <w:color w:val="000000"/>
        </w:rPr>
        <w:t>What has been built</w:t>
      </w:r>
    </w:p>
    <w:p>
      <w:pPr>
        <w:pStyle w:val="ListBullet"/>
      </w:pPr>
      <w:r>
        <w:t>A probabilistic forecaster (experiments/runners/run_probabilistic_agent.py): an LSTM trained with Gaussian negative log-likelihood that emits the mean and log variance of the next-step log return. The predictive standard deviation is min-max normalised across the test window into a unit-interval uncertainty score.</w:t>
      </w:r>
    </w:p>
    <w:p>
      <w:pPr>
        <w:pStyle w:val="ListBullet"/>
      </w:pPr>
      <w:r>
        <w:t>An uncertainty-aware trading environment (experiments/common.py:StockEnv): action space [-1, 1] over a configurable max_trade_fraction of cash, with the trade size shrunk by (1 - uncertainty_level) and floored at min_trade_scale. When the uncertainty score exceeds the protocol quantile (default 0.80) the environment blocks new long-side trades but still allows exits. Reward is the per-step log of the portfolio-value ratio multiplied by 100 for numerical scale.</w:t>
      </w:r>
    </w:p>
    <w:p>
      <w:pPr>
        <w:pStyle w:val="ListBullet"/>
      </w:pPr>
      <w:r>
        <w:t>A baseline PPO runner (experiments/runners/run_baseline.py) that uses the same environment without the uncertainty coordinate or the trade-size shrinkage, so the comparison against the probabilistic variant is genuinely controlled.</w:t>
      </w:r>
    </w:p>
    <w:p>
      <w:pPr>
        <w:pStyle w:val="ListBullet"/>
      </w:pPr>
      <w:r>
        <w:t>A rule-based stop-loss runner (experiments/runners/run_rule_baselines.py) implementing 5 % and 10 % trailing-stop policies with a 20/50-day moving-average crossover for re-entry. This is the directly-measured non-AI comparator that the supervisor's previous feedback asked for.</w:t>
      </w:r>
    </w:p>
    <w:p>
      <w:pPr>
        <w:pStyle w:val="ListBullet"/>
      </w:pPr>
      <w:r>
        <w:t>A benchmarks runner (experiments/runners/run_benchmarks.py) that evaluates passive buy-and-hold and all-cash on the same test window. These act as sanity checks on the metric definitions as much as competitors to beat.</w:t>
      </w:r>
    </w:p>
    <w:p>
      <w:pPr>
        <w:pStyle w:val="ListBullet"/>
      </w:pPr>
      <w:r>
        <w:t>A single evaluation protocol (experiments/configs/dissertation_protocol.json) that fixes the splits (2009-2018 train / 2019-2021 validation / 2022-2025 test), the seeds [7, 19, 42] in the headline study, and the metric set, and is read by every script. This is the bit that actually makes the comparisons fair.</w:t>
      </w:r>
    </w:p>
    <w:p>
      <w:pPr>
        <w:pStyle w:val="ListBullet"/>
      </w:pPr>
      <w:r>
        <w:t>A reporting layer: reports/builders/generate_dissertation_report.py for the markdown summary, reports/builders/build_supervisor_pack.py for the one-page chart, reports/builders/plot_dissertation_visuals.py for the detailed figures, and Dissertation_Walkthrough.ipynb for the embedded-output review notebook.</w:t>
      </w:r>
    </w:p>
    <w:p>
      <w:pPr>
        <w:pStyle w:val="Heading2"/>
      </w:pPr>
      <w:r>
        <w:rPr>
          <w:color w:val="000000"/>
        </w:rPr>
        <w:t>Phase-0 to Phase-1 status table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Step</w:t>
            </w:r>
          </w:p>
        </w:tc>
        <w:tc>
          <w:tcPr>
            <w:tcW w:type="dxa" w:w="3249"/>
          </w:tcPr>
          <w:p>
            <w:r>
              <w:rPr>
                <w:b/>
              </w:rPr>
              <w:t>Status</w:t>
            </w:r>
          </w:p>
        </w:tc>
        <w:tc>
          <w:tcPr>
            <w:tcW w:type="dxa" w:w="3249"/>
          </w:tcPr>
          <w:p>
            <w:r>
              <w:rPr>
                <w:b/>
              </w:rPr>
              <w:t>Notes</w:t>
            </w:r>
          </w:p>
        </w:tc>
      </w:tr>
      <w:tr>
        <w:tc>
          <w:tcPr>
            <w:tcW w:type="dxa" w:w="3249"/>
          </w:tcPr>
          <w:p>
            <w:r>
              <w:t>0.1 Environment + dependencies</w:t>
            </w:r>
          </w:p>
        </w:tc>
        <w:tc>
          <w:tcPr>
            <w:tcW w:type="dxa" w:w="3249"/>
          </w:tcPr>
          <w:p>
            <w:r>
              <w:t>Done</w:t>
            </w:r>
          </w:p>
        </w:tc>
        <w:tc>
          <w:tcPr>
            <w:tcW w:type="dxa" w:w="3249"/>
          </w:tcPr>
          <w:p>
            <w:r>
              <w:t>requirements.txt, SB3, PyTorch, gymnasium, yfinance</w:t>
            </w:r>
          </w:p>
        </w:tc>
      </w:tr>
      <w:tr>
        <w:tc>
          <w:tcPr>
            <w:tcW w:type="dxa" w:w="3249"/>
          </w:tcPr>
          <w:p>
            <w:r>
              <w:t>0.2 PPO baseline on sample data</w:t>
            </w:r>
          </w:p>
        </w:tc>
        <w:tc>
          <w:tcPr>
            <w:tcW w:type="dxa" w:w="3249"/>
          </w:tcPr>
          <w:p>
            <w:r>
              <w:t>Done</w:t>
            </w:r>
          </w:p>
        </w:tc>
        <w:tc>
          <w:tcPr>
            <w:tcW w:type="dxa" w:w="3249"/>
          </w:tcPr>
          <w:p>
            <w:r>
              <w:t>phase0_examples/ppo_stock_trading_standalone.py</w:t>
            </w:r>
          </w:p>
        </w:tc>
      </w:tr>
      <w:tr>
        <w:tc>
          <w:tcPr>
            <w:tcW w:type="dxa" w:w="3249"/>
          </w:tcPr>
          <w:p>
            <w:r>
              <w:t>0.3 DeepAR-style probabilistic example</w:t>
            </w:r>
          </w:p>
        </w:tc>
        <w:tc>
          <w:tcPr>
            <w:tcW w:type="dxa" w:w="3249"/>
          </w:tcPr>
          <w:p>
            <w:r>
              <w:t>Done</w:t>
            </w:r>
          </w:p>
        </w:tc>
        <w:tc>
          <w:tcPr>
            <w:tcW w:type="dxa" w:w="3249"/>
          </w:tcPr>
          <w:p>
            <w:r>
              <w:t>phase0_examples/deepar_style_example.py</w:t>
            </w:r>
          </w:p>
        </w:tc>
      </w:tr>
      <w:tr>
        <w:tc>
          <w:tcPr>
            <w:tcW w:type="dxa" w:w="3249"/>
          </w:tcPr>
          <w:p>
            <w:r>
              <w:t>1.1 Shared protocol + metrics</w:t>
            </w:r>
          </w:p>
        </w:tc>
        <w:tc>
          <w:tcPr>
            <w:tcW w:type="dxa" w:w="3249"/>
          </w:tcPr>
          <w:p>
            <w:r>
              <w:t>Done</w:t>
            </w:r>
          </w:p>
        </w:tc>
        <w:tc>
          <w:tcPr>
            <w:tcW w:type="dxa" w:w="3249"/>
          </w:tcPr>
          <w:p>
            <w:r>
              <w:t>experiments/configs/dissertation_protocol.json, experiments/common.py</w:t>
            </w:r>
          </w:p>
        </w:tc>
      </w:tr>
      <w:tr>
        <w:tc>
          <w:tcPr>
            <w:tcW w:type="dxa" w:w="3249"/>
          </w:tcPr>
          <w:p>
            <w:r>
              <w:t>1.2 Reproducible baseline / probabilistic / benchmark runners</w:t>
            </w:r>
          </w:p>
        </w:tc>
        <w:tc>
          <w:tcPr>
            <w:tcW w:type="dxa" w:w="3249"/>
          </w:tcPr>
          <w:p>
            <w:r>
              <w:t>Done</w:t>
            </w:r>
          </w:p>
        </w:tc>
        <w:tc>
          <w:tcPr>
            <w:tcW w:type="dxa" w:w="3249"/>
          </w:tcPr>
          <w:p>
            <w:r>
              <w:t>Three runners, seeded</w:t>
            </w:r>
          </w:p>
        </w:tc>
      </w:tr>
      <w:tr>
        <w:tc>
          <w:tcPr>
            <w:tcW w:type="dxa" w:w="3249"/>
          </w:tcPr>
          <w:p>
            <w:r>
              <w:t>1.3 Dissertation report + supervisor pack</w:t>
            </w:r>
          </w:p>
        </w:tc>
        <w:tc>
          <w:tcPr>
            <w:tcW w:type="dxa" w:w="3249"/>
          </w:tcPr>
          <w:p>
            <w:r>
              <w:t>Done</w:t>
            </w:r>
          </w:p>
        </w:tc>
        <w:tc>
          <w:tcPr>
            <w:tcW w:type="dxa" w:w="3249"/>
          </w:tcPr>
          <w:p>
            <w:r>
              <w:t>reports/generated/</w:t>
            </w:r>
          </w:p>
        </w:tc>
      </w:tr>
      <w:tr>
        <w:tc>
          <w:tcPr>
            <w:tcW w:type="dxa" w:w="3249"/>
          </w:tcPr>
          <w:p>
            <w:r>
              <w:t>1.4 Rule-based stop-loss comparator (5 % and 10 % variants)</w:t>
            </w:r>
          </w:p>
        </w:tc>
        <w:tc>
          <w:tcPr>
            <w:tcW w:type="dxa" w:w="3249"/>
          </w:tcPr>
          <w:p>
            <w:r>
              <w:t>Done</w:t>
            </w:r>
          </w:p>
        </w:tc>
        <w:tc>
          <w:tcPr>
            <w:tcW w:type="dxa" w:w="3249"/>
          </w:tcPr>
          <w:p>
            <w:r>
              <w:t>experiments/runners/run_rule_baselines.py</w:t>
            </w:r>
          </w:p>
        </w:tc>
      </w:tr>
      <w:tr>
        <w:tc>
          <w:tcPr>
            <w:tcW w:type="dxa" w:w="3249"/>
          </w:tcPr>
          <w:p>
            <w:r>
              <w:t>1.5 Robustness on 70-ticker test universe (Phase-1 budget)</w:t>
            </w:r>
          </w:p>
        </w:tc>
        <w:tc>
          <w:tcPr>
            <w:tcW w:type="dxa" w:w="3249"/>
          </w:tcPr>
          <w:p>
            <w:r>
              <w:t>Done</w:t>
            </w:r>
          </w:p>
        </w:tc>
        <w:tc>
          <w:tcPr>
            <w:tcW w:type="dxa" w:w="3249"/>
          </w:tcPr>
          <w:p>
            <w:r>
              <w:t>Four-agent comparison on 70 tickers × 3 seeds × 10k steps; aggregate stats + per-ticker table in Section 5.5 of dissertation</w:t>
            </w:r>
          </w:p>
        </w:tc>
      </w:tr>
      <w:tr>
        <w:tc>
          <w:tcPr>
            <w:tcW w:type="dxa" w:w="3249"/>
          </w:tcPr>
          <w:p>
            <w:r>
              <w:t>1.6 Walk-forward (out-of-time) on CPU-feasible subset</w:t>
            </w:r>
          </w:p>
        </w:tc>
        <w:tc>
          <w:tcPr>
            <w:tcW w:type="dxa" w:w="3249"/>
          </w:tcPr>
          <w:p>
            <w:r>
              <w:t>Done</w:t>
            </w:r>
          </w:p>
        </w:tc>
        <w:tc>
          <w:tcPr>
            <w:tcW w:type="dxa" w:w="3249"/>
          </w:tcPr>
          <w:p>
            <w:r>
              <w:t>4 tickers × 4 folds × 3 seeds × 10k steps = 96 trainings; in Section 6.4 of dissertation</w:t>
            </w:r>
          </w:p>
        </w:tc>
      </w:tr>
      <w:tr>
        <w:tc>
          <w:tcPr>
            <w:tcW w:type="dxa" w:w="3249"/>
          </w:tcPr>
          <w:p>
            <w:r>
              <w:t>1.7 Extended seed-stability check on representative sub-universe</w:t>
            </w:r>
          </w:p>
        </w:tc>
        <w:tc>
          <w:tcPr>
            <w:tcW w:type="dxa" w:w="3249"/>
          </w:tcPr>
          <w:p>
            <w:r>
              <w:t>Done</w:t>
            </w:r>
          </w:p>
        </w:tc>
        <w:tc>
          <w:tcPr>
            <w:tcW w:type="dxa" w:w="3249"/>
          </w:tcPr>
          <w:p>
            <w:r>
              <w:t>8 tickers × 10 seeds × 50k steps = 80 trainings; in Section 5.5.1 of dissertation</w:t>
            </w:r>
          </w:p>
        </w:tc>
      </w:tr>
      <w:tr>
        <w:tc>
          <w:tcPr>
            <w:tcW w:type="dxa" w:w="3249"/>
          </w:tcPr>
          <w:p>
            <w:r>
              <w:t>1.8 Phase-2 extended grid on full 70-ticker universe</w:t>
            </w:r>
          </w:p>
        </w:tc>
        <w:tc>
          <w:tcPr>
            <w:tcW w:type="dxa" w:w="3249"/>
          </w:tcPr>
          <w:p>
            <w:r>
              <w:t>Scheduled</w:t>
            </w:r>
          </w:p>
        </w:tc>
        <w:tc>
          <w:tcPr>
            <w:tcW w:type="dxa" w:w="3249"/>
          </w:tcPr>
          <w:p>
            <w:r>
              <w:t>GPU-only; orchestrator experiments/runners/run_extended_grid.py + notebook notebooks/extended_grid_colab.ipynb</w:t>
            </w:r>
          </w:p>
        </w:tc>
      </w:tr>
    </w:tbl>
    <w:p>
      <w:pPr>
        <w:pStyle w:val="Heading2"/>
      </w:pPr>
      <w:r>
        <w:rPr>
          <w:color w:val="000000"/>
        </w:rPr>
        <w:t>Current results (mean across 3 seeds, test window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$1,233,202</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rPr>
        <w:t>Reference figures: reports/generated/charts/final_value_comparison.png, equity_curve_comparison.png and uncertainty_signal.png.</w:t>
      </w:r>
    </w:p>
    <w:p>
      <w:pPr>
        <w:pStyle w:val="Heading2"/>
      </w:pPr>
      <w:r>
        <w:rPr>
          <w:color w:val="000000"/>
        </w:rPr>
        <w:t>70-ticker test universe — Phase-1 robustness</w:t>
      </w:r>
    </w:p>
    <w:p>
      <w:r>
        <w:rPr>
          <w:b w:val="0"/>
          <w:i w:val="0"/>
        </w:rPr>
        <w:t>The Phase-1 robustness study runs the same four-agent comparison on a 70-ticker diversified-equity test universe (41 single-name US large-cap equities spanning technology, payments and financial services, healthcare, consumer and industrials, plus 29 exchange-traded funds covering broad-market indices, sector SPDRs, dividend ETFs, thematic exposures and commodity funds) on the same 2022–2025 test window with the same metric definitions. The aggregate result is summarised below; the full per-ticker table is in Appendix B of the main dissertation.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rPr>
              <w:t>Strategy</w:t>
            </w:r>
          </w:p>
        </w:tc>
        <w:tc>
          <w:tcPr>
            <w:tcW w:type="dxa" w:w="2436"/>
          </w:tcPr>
          <w:p>
            <w:r>
              <w:rPr>
                <w:b/>
              </w:rPr>
              <w:t>Mean terminal value</w:t>
            </w:r>
          </w:p>
        </w:tc>
        <w:tc>
          <w:tcPr>
            <w:tcW w:type="dxa" w:w="2436"/>
          </w:tcPr>
          <w:p>
            <w:r>
              <w:rPr>
                <w:b/>
              </w:rPr>
              <w:t>Mean Sharpe</w:t>
            </w:r>
          </w:p>
        </w:tc>
        <w:tc>
          <w:tcPr>
            <w:tcW w:type="dxa" w:w="2436"/>
          </w:tcPr>
          <w:p>
            <w:r>
              <w:rPr>
                <w:b/>
              </w:rPr>
              <w:t>Mean Max-DD</w:t>
            </w:r>
          </w:p>
        </w:tc>
      </w:tr>
      <w:tr>
        <w:tc>
          <w:tcPr>
            <w:tcW w:type="dxa" w:w="2436"/>
          </w:tcPr>
          <w:p>
            <w:r>
              <w:t>Baseline PPO (no uncertainty)</w:t>
            </w:r>
          </w:p>
        </w:tc>
        <w:tc>
          <w:tcPr>
            <w:tcW w:type="dxa" w:w="2436"/>
          </w:tcPr>
          <w:p>
            <w:r>
              <w:t>$989,430</w:t>
            </w:r>
          </w:p>
        </w:tc>
        <w:tc>
          <w:tcPr>
            <w:tcW w:type="dxa" w:w="2436"/>
          </w:tcPr>
          <w:p>
            <w:r>
              <w:t>−0.23</w:t>
            </w:r>
          </w:p>
        </w:tc>
        <w:tc>
          <w:tcPr>
            <w:tcW w:type="dxa" w:w="2436"/>
          </w:tcPr>
          <w:p>
            <w:r>
              <w:t>0.033</w:t>
            </w:r>
          </w:p>
        </w:tc>
      </w:tr>
      <w:tr>
        <w:tc>
          <w:tcPr>
            <w:tcW w:type="dxa" w:w="2436"/>
          </w:tcPr>
          <w:p>
            <w:r>
              <w:rPr>
                <w:b/>
              </w:rPr>
              <w:t>Probabilistic PPO (this work)</w:t>
            </w:r>
          </w:p>
        </w:tc>
        <w:tc>
          <w:tcPr>
            <w:tcW w:type="dxa" w:w="2436"/>
          </w:tcPr>
          <w:p>
            <w:r>
              <w:rPr>
                <w:b/>
              </w:rPr>
              <w:t>$1,998,817</w:t>
            </w:r>
          </w:p>
        </w:tc>
        <w:tc>
          <w:tcPr>
            <w:tcW w:type="dxa" w:w="2436"/>
          </w:tcPr>
          <w:p>
            <w:r>
              <w:rPr>
                <w:b/>
              </w:rPr>
              <w:t>+0.60</w:t>
            </w:r>
          </w:p>
        </w:tc>
        <w:tc>
          <w:tcPr>
            <w:tcW w:type="dxa" w:w="2436"/>
          </w:tcPr>
          <w:p>
            <w:r>
              <w:rPr>
                <w:b/>
              </w:rPr>
              <w:t>0.225</w:t>
            </w:r>
          </w:p>
        </w:tc>
      </w:tr>
      <w:tr>
        <w:tc>
          <w:tcPr>
            <w:tcW w:type="dxa" w:w="2436"/>
          </w:tcPr>
          <w:p>
            <w:r>
              <w:t>Manual 5 % trailing stop</w:t>
            </w:r>
          </w:p>
        </w:tc>
        <w:tc>
          <w:tcPr>
            <w:tcW w:type="dxa" w:w="2436"/>
          </w:tcPr>
          <w:p>
            <w:r>
              <w:t>$1,531,163</w:t>
            </w:r>
          </w:p>
        </w:tc>
        <w:tc>
          <w:tcPr>
            <w:tcW w:type="dxa" w:w="2436"/>
          </w:tcPr>
          <w:p>
            <w:r>
              <w:t>+0.36</w:t>
            </w:r>
          </w:p>
        </w:tc>
        <w:tc>
          <w:tcPr>
            <w:tcW w:type="dxa" w:w="2436"/>
          </w:tcPr>
          <w:p>
            <w:r>
              <w:t>0.305</w:t>
            </w:r>
          </w:p>
        </w:tc>
      </w:tr>
      <w:tr>
        <w:tc>
          <w:tcPr>
            <w:tcW w:type="dxa" w:w="2436"/>
          </w:tcPr>
          <w:p>
            <w:r>
              <w:t>Passive buy-and-hold</w:t>
            </w:r>
          </w:p>
        </w:tc>
        <w:tc>
          <w:tcPr>
            <w:tcW w:type="dxa" w:w="2436"/>
          </w:tcPr>
          <w:p>
            <w:r>
              <w:t>$2,099,838</w:t>
            </w:r>
          </w:p>
        </w:tc>
        <w:tc>
          <w:tcPr>
            <w:tcW w:type="dxa" w:w="2436"/>
          </w:tcPr>
          <w:p>
            <w:r>
              <w:t>+0.54</w:t>
            </w:r>
          </w:p>
        </w:tc>
        <w:tc>
          <w:tcPr>
            <w:tcW w:type="dxa" w:w="2436"/>
          </w:tcPr>
          <w:p>
            <w:r>
              <w:t>0.370</w:t>
            </w:r>
          </w:p>
        </w:tc>
      </w:tr>
    </w:tbl>
    <w:p>
      <w:r>
        <w:rPr>
          <w:b/>
          <w:i w:val="0"/>
        </w:rPr>
        <w:t>Headline findings on the 70-ticker test universe:</w:t>
      </w:r>
    </w:p>
    <w:p>
      <w:pPr>
        <w:pStyle w:val="ListBullet"/>
      </w:pPr>
      <w:r>
        <w:t>Drawdown reduced versus passive buy-and-hold on 70 of 70 tickers (100 % of the universe), with an average reduction of 14.5 percentage points (mean drawdown cut by 39 % in relative terms — from 37.0 % to 22.5 %). This is the strongest single number in the dissertation.</w:t>
      </w:r>
    </w:p>
    <w:p>
      <w:pPr>
        <w:pStyle w:val="ListBullet"/>
      </w:pPr>
      <w:r>
        <w:t>Probabilistic agent beat the manually-tuned 5 % trailing stop on 61 of 70 tickers (87 %) in terminal value, and on essentially every ticker in Sharpe ratio — the empirical answer to the previous-meeting question on whether the AI agent beats a manually-tuned stop-loss alternative.</w:t>
      </w:r>
    </w:p>
    <w:p>
      <w:pPr>
        <w:pStyle w:val="ListBullet"/>
      </w:pPr>
      <w:r>
        <w:t>Cost in mean terminal value versus passive buy-and-hold: roughly 5 % give-up in mean upside in exchange for the 39 % reduction in mean drawdown above. This is exactly the trade an institutional drawdown-mandated investor runs every quarter.</w:t>
      </w:r>
    </w:p>
    <w:p>
      <w:pPr>
        <w:pStyle w:val="ListBullet"/>
      </w:pPr>
      <w:r>
        <w:t>Where the agent loses (45 of 70 tickers in terminal value, all winning on drawdown), the losses cluster in two diagnosable regimes: persistent, low-uncertainty bull-market trends in single names (NVDA, AVGO, LLY) where the uncertainty-guard's caution costs the right tail, and very-low-drawdown defensives (JNJ, MCD, SCHD, GLD) where there is essentially nothing for a drawdown overlay to add. Sector-aware uncertainty-quantile calibration is the targeted Phase-2 fix.</w:t>
      </w:r>
    </w:p>
    <w:p>
      <w:pPr>
        <w:pStyle w:val="Heading2"/>
      </w:pPr>
      <w:r>
        <w:rPr>
          <w:color w:val="000000"/>
        </w:rPr>
        <w:t>How to read these numbers</w:t>
      </w:r>
    </w:p>
    <w:p>
      <w:pPr>
        <w:pStyle w:val="ListBullet"/>
      </w:pPr>
      <w:r>
        <w:t>The headline criterion is the joint of Sharpe ratio and drawdown control, not either half alone. Meeting either half on its own is trivial: an all-cash policy achieves perfect preservation with zero return, and a return-only policy ignores the constraint entirely. On the 70-ticker test universe the probabilistic agent meets the joint constraint: it controls drawdown on 100 % of the universe (mean drawdown 22.5 % vs buy-and-hold's 37.0 %) and earns a higher mean Sharpe than passive buy-and-hold (+0.60 vs +0.54). The baseline PPO meets neither half: it ends roughly where it started with a slightly negative Sharpe.</w:t>
      </w:r>
    </w:p>
    <w:p>
      <w:pPr>
        <w:pStyle w:val="ListBullet"/>
      </w:pPr>
      <w:r>
        <w:t>The manually-tuned trailing-stop comparator (5 % stop with 20/50-day moving-average re-entry) is the directly measured manual alternative. The probabilistic agent beats it on 87 % of the 70-ticker universe in terminal value and on essentially every ticker in Sharpe. This is a directly-measured rather than asserted answer to the previous-meeting question on whether the AI agent beats a manually-tuned stop-loss alternative.</w:t>
      </w:r>
    </w:p>
    <w:p>
      <w:pPr>
        <w:pStyle w:val="ListBullet"/>
      </w:pPr>
      <w:r>
        <w:t>Max drawdown on the baseline looks small only because the baseline barely compounds in the first place. Both terminal preservation and path preservation (1 − MDD) are reported in the dissertation so the reader can apply whichever definition matches their mandate.</w:t>
      </w:r>
    </w:p>
    <w:p>
      <w:pPr>
        <w:pStyle w:val="ListBullet"/>
      </w:pPr>
      <w:r>
        <w:t>These numbers are provisional Phase-1 evidence. The Phase-2 extended grid (10 seeds × 50 000 timesteps × 4 walk-forward folds × 16 bootstrap paths × 70 tickers) on the Colab GPU runtime will tighten the seed-variability bands and provide out-of-time confirmation across the full universe.</w:t>
      </w:r>
    </w:p>
    <w:p>
      <w:pPr>
        <w:pStyle w:val="Heading2"/>
      </w:pPr>
      <w:r>
        <w:rPr>
          <w:color w:val="000000"/>
        </w:rPr>
        <w:t>Reproducibility</w:t>
      </w:r>
    </w:p>
    <w:p>
      <w:r>
        <w:rPr>
          <w:rFonts w:ascii="Consolas" w:hAnsi="Consolas"/>
          <w:sz w:val="20"/>
        </w:rPr>
        <w:t>python experiments/runners/run_baseline.py</w:t>
        <w:br/>
        <w:t>python experiments/runners/run_probabilistic_agent.py</w:t>
        <w:br/>
        <w:t>python experiments/runners/run_benchmarks.py</w:t>
        <w:br/>
        <w:t>python experiments/runners/run_rule_baselines.py</w:t>
        <w:br/>
        <w:t>python reports/builders/generate_dissertation_report.py</w:t>
        <w:br/>
        <w:t>python reports/builders/build_supervisor_pack.py</w:t>
        <w:br/>
        <w:t>python reports/builders/plot_dissertation_visuals.py</w:t>
      </w:r>
    </w:p>
    <w:p>
      <w:r>
        <w:rPr>
          <w:b w:val="0"/>
          <w:i w:val="0"/>
        </w:rPr>
        <w:t>Artifacts land in experiments/results/ and reports/generated/. The full source is on GitHub at TheFinix13/Dissertation_Sample_Project, with the walkthrough notebook (Dissertation_Walkthrough.ipynb) as the single entry point for someone reading the project for the first time.</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70-ticker diversified-equity universe;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70-ticker universe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70-ticker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70-ticker,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