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EEEM004 — MSc Project</w:t>
      </w:r>
    </w:p>
    <w:p>
      <w:pPr>
        <w:jc w:val="center"/>
      </w:pPr>
      <w:r>
        <w:rPr>
          <w:i/>
          <w:sz w:val="28"/>
        </w:rPr>
        <w:t>Interim Review</w:t>
      </w:r>
    </w:p>
    <w:p/>
    <w:p>
      <w:r>
        <w:rPr>
          <w:b w:val="0"/>
          <w:i/>
        </w:rPr>
        <w:t>This document is the student's submission for the EEEM004 interim review. It mirrors the structure of the official Interim Review form. The blue boxes are reserved for the supervisor's written assessment and are intentionally left empty.</w:t>
      </w:r>
    </w:p>
    <w:p>
      <w:pPr>
        <w:pStyle w:val="Heading1"/>
      </w:pPr>
      <w:r>
        <w:rPr>
          <w:color w:val="000000"/>
        </w:rPr>
        <w:t>Cover information</w:t>
      </w:r>
    </w:p>
    <w:tbl>
      <w:tblPr>
        <w:tblStyle w:val="LightGrid-Accent1"/>
        <w:tblW w:type="auto" w:w="0"/>
        <w:tblLook w:firstColumn="1" w:firstRow="1" w:lastColumn="0" w:lastRow="0" w:noHBand="0" w:noVBand="1" w:val="04A0"/>
      </w:tblPr>
      <w:tblGrid>
        <w:gridCol w:w="4873"/>
        <w:gridCol w:w="4873"/>
      </w:tblGrid>
      <w:tr>
        <w:tc>
          <w:tcPr>
            <w:tcW w:type="dxa" w:w="4873"/>
            <w:vAlign w:val="center"/>
          </w:tcPr>
          <w:p>
            <w:r>
              <w:rPr>
                <w:b/>
              </w:rPr>
              <w:t>Name</w:t>
            </w:r>
          </w:p>
        </w:tc>
        <w:tc>
          <w:tcPr>
            <w:tcW w:type="dxa" w:w="4873"/>
            <w:vAlign w:val="center"/>
          </w:tcPr>
          <w:p>
            <w:r>
              <w:t>Fiyin Akano</w:t>
            </w:r>
          </w:p>
        </w:tc>
      </w:tr>
      <w:tr>
        <w:tc>
          <w:tcPr>
            <w:tcW w:type="dxa" w:w="4873"/>
            <w:vAlign w:val="center"/>
          </w:tcPr>
          <w:p>
            <w:r>
              <w:rPr>
                <w:b/>
              </w:rPr>
              <w:t>URN</w:t>
            </w:r>
          </w:p>
        </w:tc>
        <w:tc>
          <w:tcPr>
            <w:tcW w:type="dxa" w:w="4873"/>
            <w:vAlign w:val="center"/>
          </w:tcPr>
          <w:p>
            <w:r>
              <w:t>6962514</w:t>
            </w:r>
          </w:p>
        </w:tc>
      </w:tr>
      <w:tr>
        <w:tc>
          <w:tcPr>
            <w:tcW w:type="dxa" w:w="4873"/>
            <w:vAlign w:val="center"/>
          </w:tcPr>
          <w:p>
            <w:r>
              <w:rPr>
                <w:b/>
              </w:rPr>
              <w:t>Supervisor</w:t>
            </w:r>
          </w:p>
        </w:tc>
        <w:tc>
          <w:tcPr>
            <w:tcW w:type="dxa" w:w="4873"/>
            <w:vAlign w:val="center"/>
          </w:tcPr>
          <w:p>
            <w:r>
              <w:t>Dr Cuong Nguyen</w:t>
            </w:r>
          </w:p>
        </w:tc>
      </w:tr>
      <w:tr>
        <w:tc>
          <w:tcPr>
            <w:tcW w:type="dxa" w:w="4873"/>
            <w:vAlign w:val="center"/>
          </w:tcPr>
          <w:p>
            <w:r>
              <w:rPr>
                <w:b/>
              </w:rPr>
              <w:t>Second supervisor (if applicable)</w:t>
            </w:r>
          </w:p>
        </w:tc>
        <w:tc>
          <w:tcPr>
            <w:tcW w:type="dxa" w:w="4873"/>
            <w:vAlign w:val="center"/>
          </w:tcPr>
          <w:p>
            <w:r>
              <w:t>[INSERT IF APPLICABLE]</w:t>
            </w:r>
          </w:p>
        </w:tc>
      </w:tr>
      <w:tr>
        <w:tc>
          <w:tcPr>
            <w:tcW w:type="dxa" w:w="4873"/>
            <w:vAlign w:val="center"/>
          </w:tcPr>
          <w:p>
            <w:r>
              <w:rPr>
                <w:b/>
              </w:rPr>
              <w:t>Date of meeting</w:t>
            </w:r>
          </w:p>
        </w:tc>
        <w:tc>
          <w:tcPr>
            <w:tcW w:type="dxa" w:w="4873"/>
            <w:vAlign w:val="center"/>
          </w:tcPr>
          <w:p>
            <w:r>
              <w:t>[INSERT MEETING DATE]</w:t>
            </w:r>
          </w:p>
        </w:tc>
      </w:tr>
      <w:tr>
        <w:tc>
          <w:tcPr>
            <w:tcW w:type="dxa" w:w="4873"/>
            <w:vAlign w:val="center"/>
          </w:tcPr>
          <w:p>
            <w:r>
              <w:rPr>
                <w:b/>
              </w:rPr>
              <w:t>Module</w:t>
            </w:r>
          </w:p>
        </w:tc>
        <w:tc>
          <w:tcPr>
            <w:tcW w:type="dxa" w:w="4873"/>
            <w:vAlign w:val="center"/>
          </w:tcPr>
          <w:p>
            <w:r>
              <w:t>EEEM004 — MSc Dissertation (cross-year)</w:t>
            </w:r>
          </w:p>
        </w:tc>
      </w:tr>
      <w:tr>
        <w:tc>
          <w:tcPr>
            <w:tcW w:type="dxa" w:w="4873"/>
            <w:vAlign w:val="center"/>
          </w:tcPr>
          <w:p>
            <w:r>
              <w:rPr>
                <w:b/>
              </w:rPr>
              <w:t>Department</w:t>
            </w:r>
          </w:p>
        </w:tc>
        <w:tc>
          <w:tcPr>
            <w:tcW w:type="dxa" w:w="4873"/>
            <w:vAlign w:val="center"/>
          </w:tcPr>
          <w:p>
            <w:r>
              <w:t>Electrical and Electronic Engineering, University of Surrey</w:t>
            </w:r>
          </w:p>
        </w:tc>
      </w:tr>
      <w:tr>
        <w:tc>
          <w:tcPr>
            <w:tcW w:type="dxa" w:w="4873"/>
            <w:vAlign w:val="center"/>
          </w:tcPr>
          <w:p>
            <w:r>
              <w:rPr>
                <w:b/>
              </w:rPr>
              <w:t>Target submission date</w:t>
            </w:r>
          </w:p>
        </w:tc>
        <w:tc>
          <w:tcPr>
            <w:tcW w:type="dxa" w:w="4873"/>
            <w:vAlign w:val="center"/>
          </w:tcPr>
          <w:p>
            <w:r>
              <w:t>1 September 2026</w:t>
            </w:r>
          </w:p>
        </w:tc>
      </w:tr>
    </w:tbl>
    <w:p>
      <w:pPr>
        <w:pStyle w:val="Heading1"/>
      </w:pPr>
      <w:r>
        <w:rPr>
          <w:color w:val="000000"/>
        </w:rPr>
        <w:t>Project title</w:t>
      </w:r>
    </w:p>
    <w:p>
      <w:r>
        <w:rPr>
          <w:b/>
          <w:i w:val="0"/>
        </w:rPr>
        <w:t>Probabilistic Deep Reinforcement Learning for Portfolio Risk Analysis: drawdown-constrained portfolio control with an uncertainty-aware reinforcement-learning policy.</w:t>
      </w:r>
    </w:p>
    <w:p>
      <w:pPr>
        <w:pStyle w:val="Heading1"/>
      </w:pPr>
      <w:r>
        <w:rPr>
          <w:color w:val="000000"/>
        </w:rPr>
        <w:t>Problem statement</w:t>
      </w:r>
    </w:p>
    <w:p>
      <w:r>
        <w:rPr>
          <w:b w:val="0"/>
          <w:i w:val="0"/>
        </w:rPr>
        <w:t>A risk-constrained investor — a pension fund, a managed-futures (CTA) hedge fund, a family office, or a behaviourally loss-averse retail account — is required to keep the portfolio's loss from peak (the maximum drawdown) below a stated floor while still earning a return that beats holding cash and ideally beats a passive index. The drawdown floor is not a theoretical device. CTA fund prospectuses contain explicit soft and hard drawdown limits that trigger investor redemption rights and forced liquidation; pension boards monitor funded-status drawdowns; family-office Investment Policy Statements express risk tolerance as a maximum-loss percentage rather than as a volatility budget; and Kahneman and Tversky's (1979) prospect-theory result establishes that retail investors feel cumulative losses about twice as painfully as equivalent gains.</w:t>
      </w:r>
    </w:p>
    <w:p>
      <w:r>
        <w:rPr>
          <w:b w:val="0"/>
          <w:i w:val="0"/>
        </w:rPr>
        <w:t>The standard quantitative answers do not fit that constraint cleanly. Mean-variance optimisation (Markowitz, 1952) is single-period and treats upside and downside variance symmetrically. Value-at-Risk and expected shortfall (Rockafellar and Uryasev, 2000) are tail-loss measures within a single horizon and do not constrain the path of cumulative losses. Conditional drawdown-at-risk (Chekhlov, Uryasev and Zabarankin, 2005) is path-dependent but static: it picks one weight vector and does not adapt to within-window regime change. Reactive trailing stop-losses adapt sequentially but fire after the drawdown has already begun and typically forfeit the recovery.</w:t>
      </w:r>
    </w:p>
    <w:p>
      <w:r>
        <w:rPr>
          <w:b w:val="0"/>
          <w:i w:val="0"/>
        </w:rPr>
        <w:t>The dissertation asks whether a Proximal Policy Optimization (PPO) agent that conditions on the predictive uncertainty produced by a DeepAR-style probabilistic recurrent network can sit on a more attractive point of the return-versus-drawdown trade-off than three named alternatives: passive buy-and-hold, a rule-based trailing stop-loss policy, and a baseline PPO that sees no uncertainty signal. The headline result is the joint of risk-adjusted return and capital preservation against the running high-watermark; meeting either half on its own is trivial (cash gives perfect preservation and zero return), so the design is judged on whether it satisfies both at once on a test window containing real macro shocks.</w:t>
      </w:r>
    </w:p>
    <w:p>
      <w:pPr>
        <w:pStyle w:val="Heading1"/>
      </w:pPr>
      <w:r>
        <w:rPr>
          <w:color w:val="000000"/>
        </w:rPr>
        <w:t>Objectives</w:t>
      </w:r>
    </w:p>
    <w:p>
      <w:r>
        <w:rPr>
          <w:b w:val="0"/>
          <w:i w:val="0"/>
        </w:rPr>
        <w:t>The objectives have been refined during Phase 0 and Phase 1 in light of supervisor feedback. The current working set is:</w:t>
      </w:r>
    </w:p>
    <w:p>
      <w:pPr>
        <w:pStyle w:val="ListBullet"/>
      </w:pPr>
      <w:r>
        <w:t>O1. To study whether an explicit forecast-uncertainty signal, modelled with a DeepAR-style probabilistic LSTM and consumed by a PPO policy as both a state feature and a hard guard on new long-side actions, allows the agent to sit closer to the return-versus-drawdown frontier than uncertainty-blind alternatives on US equity index data.</w:t>
      </w:r>
    </w:p>
    <w:p>
      <w:pPr>
        <w:pStyle w:val="ListBullet"/>
      </w:pPr>
      <w:r>
        <w:t>O2. To evaluate the resulting policy on a held-out window containing real macro shocks (2022 to 2025) against three named comparators — passive buy-and-hold, a rule-based stop-loss policy, and a baseline PPO with no uncertainty signal — using a metric set in which the headline criteria are Sharpe ratio, terminal value relative to buy-and-hold, and the capital-preservation ratio against the running high-watermark.</w:t>
      </w:r>
    </w:p>
    <w:p>
      <w:pPr>
        <w:pStyle w:val="ListBullet"/>
      </w:pPr>
      <w:r>
        <w:t>O3. To pin down a fully reproducible evaluation protocol of fixed splits, fixed seeds, scripted artefacts and a shared metric set, so that any comparison made in this dissertation is genuinely like-for-like and can be reproduced from the public repository in a single command sequence.</w:t>
      </w:r>
    </w:p>
    <w:p>
      <w:pPr>
        <w:pStyle w:val="ListBullet"/>
      </w:pPr>
      <w:r>
        <w:t>O4. To take an honest position, on the strength of O1 to O3, on when an uncertainty signal earns a place in a portfolio control loop and, just as important, on when it does not.</w:t>
      </w:r>
    </w:p>
    <w:p>
      <w:r>
        <w:br w:type="page"/>
      </w:r>
    </w:p>
    <w:p>
      <w:pPr>
        <w:pStyle w:val="Heading1"/>
      </w:pPr>
      <w:r>
        <w:rPr>
          <w:color w:val="000000"/>
        </w:rPr>
        <w:t>Literature review (key references)</w:t>
      </w:r>
    </w:p>
    <w:p>
      <w:r>
        <w:rPr>
          <w:b w:val="0"/>
          <w:i w:val="0"/>
        </w:rPr>
        <w:t>The annotated list below is the working set of references that anchor the dissertation. Each entry follows a uniform structure — what the paper did, why they did it, what it does well, where it falls short, and how the gap is fixed in the literature — so the comparative differentiation that Dr Nguyen asked for is visible at a glance. The dissertation's full bibliography in Chapter 2 of Main_Dissertation_Draft.docx is the canonical version; the list below is the compact working set for this interim review.</w:t>
      </w:r>
    </w:p>
    <w:p>
      <w:r>
        <w:rPr>
          <w:b/>
          <w:i w:val="0"/>
        </w:rPr>
        <w:t>Drawdown literature (the closest antecedents).</w:t>
      </w:r>
    </w:p>
    <w:p>
      <w:r>
        <w:rPr>
          <w:b/>
          <w:i w:val="0"/>
        </w:rPr>
        <w:t>Magdon-Ismail and Atiya (2004) — "Maximum Drawdown." Risk Magazine, 17(10), 99–102.</w:t>
      </w:r>
    </w:p>
    <w:p>
      <w:r>
        <w:rPr>
          <w:b w:val="0"/>
          <w:i w:val="0"/>
        </w:rPr>
        <w:t>What and why: derived a closed-form expectation for the maximum drawdown of a geometric Brownian motion with drift, motivated by practitioner demand for an analytical baseline against which observed MDD figures could be calibrated. Advantages: closed-form, operationally meaningful, tied directly to (mu, sigma, T). Disadvantages: requires Brownian motion with constant drift and volatility — empirically wrong for financial returns, which exhibit volatility clustering and fat tails. Fix: extends to GARCH and regime-switching baselines, or — operationally — to the CDaR programme of Chekhlov, Uryasev and Zabarankin (2005). Position in this dissertation: defines the maximum drawdown statistic used throughout §5–§6 and motivates the analytical context for the test-window MDD numbers.</w:t>
      </w:r>
    </w:p>
    <w:p>
      <w:r>
        <w:rPr>
          <w:b/>
          <w:i w:val="0"/>
        </w:rPr>
        <w:t>Young (1991) — "Calmar Ratio: A Smoother Tool." Futures, 20(1), 40.</w:t>
      </w:r>
    </w:p>
    <w:p>
      <w:r>
        <w:rPr>
          <w:b w:val="0"/>
          <w:i w:val="0"/>
        </w:rPr>
        <w:t>What and why: introduced the Calmar ratio (annualised return / maximum drawdown) as a return-per-unit-pain measure intuitive to institutional investors with explicit drawdown limits. Advantages: no parametric assumption on returns; speaks the language of the institutional mandate; widely understood. Disadvantages: extreme single-event sensitivity — one bad week can permanently impair a strategy's Calmar; rewards strategies whose worst loss is still ahead of them. Fix: Sterling and Burke ratios use averages of the worst N drawdowns; the CDaR programme of Chekhlov, Uryasev and Zabarankin (2005) uses a tail expectation over the full drawdown distribution and removes the single-event problem. Position in this dissertation: reported as a diagnostic alongside Sharpe in §5.5; its limitations are exactly what motivated the move to the constrained CDaR-style objective in §3.1.5.</w:t>
      </w:r>
    </w:p>
    <w:p>
      <w:r>
        <w:rPr>
          <w:b/>
          <w:i w:val="0"/>
        </w:rPr>
        <w:t>Chekhlov, Uryasev and Zabarankin (2005) — "Drawdown Measure in Portfolio Optimization." International Journal of Theoretical and Applied Finance, 8(1), 13–58.</w:t>
      </w:r>
    </w:p>
    <w:p>
      <w:r>
        <w:rPr>
          <w:b w:val="0"/>
          <w:i w:val="0"/>
        </w:rPr>
        <w:t>What and why: extended the CVaR construction of Rockafellar and Uryasev (2000) from the loss distribution to the path-dependent drawdown distribution, defining the conditional drawdown-at-risk (CDaR_alpha) and showing that drawdown-constrained portfolio optimisation reduces to a linear programme under empirical scenarios. Motivated by institutional allocators (endowments, sovereign wealth funds) who already demanded CDaR diagnostics but had no tractable optimisation routine for them. Advantages: coherent generalisation of MDD/Calmar to a tail expectation over the drawdown distribution; LP-tractable; matches institutional mandates. Disadvantages: computational cost grows with horizon T; remains a one-shot static optimisation that does not naturally accommodate a sequential decision policy. Fix: multi-stage stochastic programming (Bertsimas, Lauprete and Samarov, 2004) extends to multiple periods; reinforcement learning extends further to a state-conditional policy that learns when to reduce exposure rather than only how to allocate it. Position in this dissertation: the closest classical antecedent to the constrained problem in §3.1.5. The dissertation's contribution can be stated as enforcing the CDaR-style constraint inside a sequential PPO policy rather than at portfolio-construction time.</w:t>
      </w:r>
    </w:p>
    <w:p>
      <w:r>
        <w:rPr>
          <w:b/>
          <w:i w:val="0"/>
        </w:rPr>
        <w:t>Sortino and Price (1994) — "Performance Measurement in a Downside Risk Framework." Journal of Investing, 3(3), 59–64.</w:t>
      </w:r>
    </w:p>
    <w:p>
      <w:r>
        <w:rPr>
          <w:b w:val="0"/>
          <w:i w:val="0"/>
        </w:rPr>
        <w:t>What and why: replaced the standard deviation in the Sharpe-ratio denominator with the downside deviation against a target return tau, motivated by Sortino's long-running argument that Sharpe penalises long-only mandates twice over (once for negative returns, once for above-average positive returns). Advantages: asymmetric penalty matches asymmetric utility of long-only investors; same data requirement as Sharpe; widely understood in CTA and hedge-fund evaluation. Disadvantages: tau is a modelling decision rather than a derived quantity, so the same strategy can have very different Sortino ratios under different rate environments; unstable when there are few sub-tau returns; remains single-period and silent on the path of the equity curve. Fix: report at multiple tau; pair with a path-dependent measure such as MDD or Calmar; lower-partial-moment family (Bawa, 1975; Fishburn, 1977) generalises the squared deviation. Position in this dissertation: reported in the §3.7 metric table; the asymmetric-penalty intuition behind Sortino is the same intuition behind the choice of drawdown rather than variance as the binding measure.</w:t>
      </w:r>
    </w:p>
    <w:p>
      <w:r>
        <w:rPr>
          <w:b/>
          <w:i w:val="0"/>
        </w:rPr>
        <w:t>Classical risk-measure literature (single-period baselines).</w:t>
      </w:r>
    </w:p>
    <w:p>
      <w:r>
        <w:rPr>
          <w:b/>
          <w:i w:val="0"/>
        </w:rPr>
        <w:t>Markowitz (1952) — "Portfolio Selection." Journal of Finance, 7(1), 77–91.</w:t>
      </w:r>
    </w:p>
    <w:p>
      <w:r>
        <w:rPr>
          <w:b w:val="0"/>
          <w:i w:val="0"/>
        </w:rPr>
        <w:t>What and why: turned portfolio choice into a quadratic optimisation in mean and variance, motivated by the absence of any quantitative framework for diversification before 1952. Advantages: convex QP solvable in milliseconds; closed-form efficient frontier in the unconstrained case; foundation of every later extension. Disadvantages: requires stationary mu and Sigma; weights are highly sensitive to estimation error (Michaud, 1989, "error-maximising"); penalises upside and downside symmetrically; single-period and ignores path properties. Fix: Black-Litterman shrinkage; Ledoit-Wolf covariance shrinkage; replace symmetric variance with downside deviation (Sortino) or tail loss (CVaR) or drawdown (CDaR). Position here: the classical static baseline that the sequential, uncertainty-aware policy is positioned against.</w:t>
      </w:r>
    </w:p>
    <w:p>
      <w:r>
        <w:rPr>
          <w:b/>
          <w:i w:val="0"/>
        </w:rPr>
        <w:t>Rockafellar and Uryasev (2000) — "Optimization of Conditional Value-at-Risk." Journal of Risk, 2(3), 21–42.</w:t>
      </w:r>
    </w:p>
    <w:p>
      <w:r>
        <w:rPr>
          <w:b w:val="0"/>
          <w:i w:val="0"/>
        </w:rPr>
        <w:t>What and why: wrote down a convex programme whose minimiser is the CVaR of the portfolio's loss distribution, motivated by the post-Artzner et al. (1999) recognition that VaR is not coherent and the practitioner need for a tractable, optimisable alternative. Advantages: coherent (sub-additive); convex in the weights; reduces to an LP under empirical scenarios. Disadvantages: single-period, so silent on the path of the equity curve; tail-data-hungry. Fix: extreme-value-theory parametric fits for the tail (McNeil and Frey, 2000); path-dependent generalisation in CDaR (Chekhlov et al., 2005). Position here: motivates the tail-loss arm of §2.1 and the VaR-95 violation-rate metric reported in §3.7.</w:t>
      </w:r>
    </w:p>
    <w:p>
      <w:r>
        <w:rPr>
          <w:b/>
          <w:i w:val="0"/>
        </w:rPr>
        <w:t>Reinforcement learning, policy gradient and DRL-for-finance.</w:t>
      </w:r>
    </w:p>
    <w:p>
      <w:r>
        <w:rPr>
          <w:b/>
          <w:i w:val="0"/>
        </w:rPr>
        <w:t>Sutton and Barto (2018) — Reinforcement Learning: an Introduction, 2nd ed., MIT Press.</w:t>
      </w:r>
    </w:p>
    <w:p>
      <w:r>
        <w:rPr>
          <w:b w:val="0"/>
          <w:i w:val="0"/>
        </w:rPr>
        <w:t>What and why: the canonical textbook treatment of MDPs and policy-gradient methods, motivated by twenty years of fragmented research that needed a single integrated reference. Advantages: standardises notation and conceptual scaffolding for the entire field; covers tabular and function-approximation methods uniformly. Disadvantages: predates the deep-RL revolution in its proportions, so coverage of large-scale function approximation is comparatively light. Fix: pair with Schulman et al. (2017) for modern policy-gradient practice. Position here: the reference relied on for the MDP formulation and the policy-gradient derivations in §3.5.</w:t>
      </w:r>
    </w:p>
    <w:p>
      <w:r>
        <w:rPr>
          <w:b/>
          <w:i w:val="0"/>
        </w:rPr>
        <w:t>Schulman, Wolski, Dhariwal, Radford and Klimov (2017) — "Proximal Policy Optimization Algorithms." arXiv:1707.06347.</w:t>
      </w:r>
    </w:p>
    <w:p>
      <w:r>
        <w:rPr>
          <w:b w:val="0"/>
          <w:i w:val="0"/>
        </w:rPr>
        <w:t>What and why: introduced a clipped surrogate objective that approximates a trust-region constraint without the conjugate-gradient machinery of TRPO, motivated by the need for an algorithm with TRPO-like performance and SGD-like operational simplicity. Advantages: forgiving with respect to hyper-parameters; first-order optimisation only; mature open-source implementations (Stable-Baselines3). Disadvantages: clipping is a heuristic with no formal trust-region guarantee; sensitive to advantage-estimation method; ratio variable can be numerically unstable on long horizons. Fix: PPO-EWMA (Hilton et al., 2022); trust-region-aware clipping. Position here: PPO is the policy-gradient algorithm used for both the baseline and the uncertainty-aware variant. The clipped surrogate is the reason PPO was picked over vanilla policy gradient or TRPO: the operational simplicity matters on a single-asset environment with limited training budget.</w:t>
      </w:r>
    </w:p>
    <w:p>
      <w:r>
        <w:rPr>
          <w:b/>
          <w:i w:val="0"/>
        </w:rPr>
        <w:t>Jiang, Xu and Liang (2017) — "A Deep Reinforcement Learning Framework for the Financial Portfolio Management Problem." arXiv:1706.10059.</w:t>
      </w:r>
    </w:p>
    <w:p>
      <w:r>
        <w:rPr>
          <w:b w:val="0"/>
          <w:i w:val="0"/>
        </w:rPr>
        <w:t>What and why: treated portfolio management as an end-to-end DRL problem on cryptocurrency, motivated by the inadequacy of static rules on a non-stationary high-frequency market. Advantages: genuinely end-to-end (raw price tensor → portfolio weights); validated on a market where mean-variance baselines fail; established the template later adopted by FinRL. Disadvantages: return-only reward; cryptocurrency-specific; uncertainty-blind; tested on a single window without walk-forward. Fix: Yang et al. (2020) and FinRL extend to equities and add reproducibility infrastructure; this dissertation closes the uncertainty-blind and risk-blind gaps. Position here: the closest prior DRL-finance work in spirit, against which the present dissertation's contribution is positioned in §2.4.</w:t>
      </w:r>
    </w:p>
    <w:p>
      <w:r>
        <w:rPr>
          <w:b/>
          <w:i w:val="0"/>
        </w:rPr>
        <w:t>Yang, Liu, Zhong and Walid (2020) — "Deep Reinforcement Learning for Automated Stock Trading: An Ensemble Strategy." ICAIF.</w:t>
      </w:r>
    </w:p>
    <w:p>
      <w:r>
        <w:rPr>
          <w:b w:val="0"/>
          <w:i w:val="0"/>
        </w:rPr>
        <w:t>What and why: applied the Jiang template to US equities and added an algorithm-level ensemble that picks the best of A2C/PPO/DDPG per regime, motivated by the high run-to-run variance of any single policy-gradient algorithm. Advantages: equities-validated; engineered technical indicators give useful inductive bias; explicit train/validation/test split protocol that this dissertation follows. Disadvantages: still return-only; technical-indicator features embed prior beliefs; in-sample regime detection has look-ahead concerns; uncertainty-blind. Fix: walk-forward evaluation (Bailey and López de Prado, 2014); the present dissertation's uncertainty coupling is orthogonal to the algorithm-ensemble idea and can in principle be added on top. Position here: borrowed the train/validation/test split style and the seed-averaging convention; positioned as an algorithm-level rather than constraint-level contribution.</w:t>
      </w:r>
    </w:p>
    <w:p>
      <w:r>
        <w:rPr>
          <w:b/>
          <w:i w:val="0"/>
        </w:rPr>
        <w:t>Liu, Yang, Gao and Wang (2021) — FinRL. arXiv:2011.09607.</w:t>
      </w:r>
    </w:p>
    <w:p>
      <w:r>
        <w:rPr>
          <w:b w:val="0"/>
          <w:i w:val="0"/>
        </w:rPr>
        <w:t>What and why: open-source library bundling the trading environment, data pipeline, algorithm interface and reporting layer, motivated by the divergent and incomparable results in the DRL-finance literature up to 2020. Advantages: imposes a single environment specification on the field; widely adopted; gym-style API. Disadvantages: takes no position on what the policy should optimise; bundles implicit environment choices that are not the right fit for every problem; abstraction layer hides design decisions that need to be defended at viva. Fix: implement the environment explicitly when the contribution is on the environment side rather than the policy side. Position here: this dissertation does not subclass FinRL; it implements its own environment in experiments/common.py so the trade-scaling and entry-guard contributions are explicit.</w:t>
      </w:r>
    </w:p>
    <w:p>
      <w:r>
        <w:rPr>
          <w:b/>
          <w:i w:val="0"/>
        </w:rPr>
        <w:t>Raffin, Hill, Gleave, Kanervisto, Ernestus and Dormann (2021) — "Stable-Baselines3." JMLR, 22(268), 1–8.</w:t>
      </w:r>
    </w:p>
    <w:p>
      <w:r>
        <w:rPr>
          <w:b w:val="0"/>
          <w:i w:val="0"/>
        </w:rPr>
        <w:t>What and why: a maintained, tested PyTorch port of the Stable-Baselines RL library, motivated by reproducibility and quality concerns with the original TF1 implementations. Advantages: rigorously tested; conforms to the gym/gymnasium API; interoperable with the wider Python RL ecosystem. Disadvantages: opinionated defaults that occasionally need to be overridden for non-standard environments; not the right tool for novel-algorithm research where every line of the policy needs to be inspected. Fix: subclass the algorithm class to override default hyper-parameters; for novel-algorithm work, write the algorithm from scratch and keep SB3 as the reproducibility baseline. Position here: the implementation source for the PPO solver in both runners.</w:t>
      </w:r>
    </w:p>
    <w:p>
      <w:r>
        <w:rPr>
          <w:b/>
          <w:i w:val="0"/>
        </w:rPr>
        <w:t>Probabilistic forecasting and uncertainty quantification.</w:t>
      </w:r>
    </w:p>
    <w:p>
      <w:r>
        <w:rPr>
          <w:b/>
          <w:i w:val="0"/>
        </w:rPr>
        <w:t>Salinas, Flunkert, Gasthaus and Januschowski (2020) — "DeepAR: Probabilistic Forecasting with Autoregressive Recurrent Networks." International Journal of Forecasting, 36(3), 1181–1191.</w:t>
      </w:r>
    </w:p>
    <w:p>
      <w:r>
        <w:rPr>
          <w:b w:val="0"/>
          <w:i w:val="0"/>
        </w:rPr>
        <w:t>What and why: an autoregressive RNN trained to maximise the likelihood of observed data under a chosen output distribution, motivated by Amazon's production demand-forecasting need for full predictive distributions and statistical pooling across thousands of related series. Advantages: emits a calibrated predictive distribution as a native output; pools strength across related series; trains with standard backprop. Disadvantages: parametric output family (Gaussian) imposes thin-tailed conditional residuals that financial returns violate; can overfit short series; calibration on out-of-sample regimes is not guaranteed; provides aleatoric but not epistemic uncertainty. Fix: Student-t or mixture heads; deep ensembles for the epistemic component; conformal prediction for non-parametric calibration. Position here: the blueprint for the forecaster in this dissertation. The implementation is a stripped-down DeepAR with a Gaussian head emitting predictive mean and log-variance, used to feed a one-dimensional uncertainty signal u_t into the PPO policy.</w:t>
      </w:r>
    </w:p>
    <w:p>
      <w:r>
        <w:rPr>
          <w:b/>
          <w:i w:val="0"/>
        </w:rPr>
        <w:t>Hochreiter and Schmidhuber (1997) — "Long Short-Term Memory." Neural Computation, 9(8), 1735–1780.</w:t>
      </w:r>
    </w:p>
    <w:p>
      <w:r>
        <w:rPr>
          <w:b w:val="0"/>
          <w:i w:val="0"/>
        </w:rPr>
        <w:t>What and why: introduced the LSTM cell with input/forget/output gates and a constant-error-carousel state, motivated by the inability of vanilla RNNs to learn long-range dependencies because of vanishing gradients. Advantages: the architectural workhorse for sequence modelling for two decades; trains stably with standard backpropagation through time; well understood. Disadvantages: superseded on many tasks by Transformer-based architectures (Vaswani et al., 2017) which scale better with data and compute; recurrent computation does not parallelise across time. Fix: Transformer-based forecasters (Informer, Autoformer); for short series the LSTM is still competitive. Position here: the architectural workhorse inside the forecaster.</w:t>
      </w:r>
    </w:p>
    <w:p>
      <w:r>
        <w:rPr>
          <w:b/>
          <w:i w:val="0"/>
        </w:rPr>
        <w:t>Lakshminarayanan, Pritzel and Blundell (2017) — "Simple and Scalable Predictive Uncertainty Estimation using Deep Ensembles." NeurIPS.</w:t>
      </w:r>
    </w:p>
    <w:p>
      <w:r>
        <w:rPr>
          <w:b w:val="0"/>
          <w:i w:val="0"/>
        </w:rPr>
        <w:t>What and why: trained several independent networks with different random initialisations and used their disagreement on a held-out point as the uncertainty proxy, motivated by the operational complexity of full Bayesian neural networks. Advantages: implementation-agnostic; captures both data-side and model-side uncertainty; well calibrated empirically. Disadvantages: training cost scales linearly with ensemble size; the disagreement signal is unstructured; storage cost. Fix: parameter-efficient ensembles (BatchEnsemble, MIMO); single-model alternatives such as MC dropout or evidential heads. Position here: read to decide whether to go with ensembles or a single network with a Gaussian head. The single-head approach is cheaper and sufficient given the policy only needs a one-dimensional uncertainty summary; ensembles are listed as future work.</w:t>
      </w:r>
    </w:p>
    <w:p>
      <w:r>
        <w:rPr>
          <w:b/>
          <w:i w:val="0"/>
        </w:rPr>
        <w:t>Gal and Ghahramani (2016) — "Dropout as a Bayesian Approximation." ICML.</w:t>
      </w:r>
    </w:p>
    <w:p>
      <w:r>
        <w:rPr>
          <w:b w:val="0"/>
          <w:i w:val="0"/>
        </w:rPr>
        <w:t>What and why: showed that dropout at inference time can be interpreted as variational approximation to a Bayesian posterior over weights, motivated by the wish to extract uncertainty estimates from existing deep models without architectural change. Advantages: zero training-time overhead; works on existing trained networks; gives empirical predictive distributions cheaply. Disadvantages: variational approximation is loose; underestimates epistemic uncertainty in some settings; calibration depends on dropout rate. Fix: combine with last-layer Bayesian methods or with conformal calibration. Position here: cited as background reading for why a learned predictive variance can be treated as a meaningful uncertainty proxy; the dissertation does not use MC dropout because the DeepAR-style head provides the same signal more cheaply at training time.</w:t>
      </w:r>
    </w:p>
    <w:p>
      <w:r>
        <w:rPr>
          <w:b/>
          <w:i w:val="0"/>
        </w:rPr>
        <w:t>Vovk, Gammerman and Shafer (2005) — Algorithmic Learning in a Random World. Springer.</w:t>
      </w:r>
    </w:p>
    <w:p>
      <w:r>
        <w:rPr>
          <w:b w:val="0"/>
          <w:i w:val="0"/>
        </w:rPr>
        <w:t>What and why: developed conformal prediction, a non-parametric, distribution-free framework for constructing finite-sample-valid prediction sets, motivated by the desire for calibration guarantees that do not depend on parametric distributional assumptions. Advantages: model-agnostic; finite-sample validity under exchangeability; can wrap any underlying predictor. Disadvantages: predictive intervals can be conservative; standard exchangeability assumption is violated by time-series data. Fix: split-conformal and adaptive variants for non-exchangeable data (Gibbs and Candès, 2021). Position here: noted in §2.6 and §7.2 as a future-work overlay that would give the dissertation's uncertainty signal a finite-sample coverage guarantee independent of the Gaussian-head assumption.</w:t>
      </w:r>
    </w:p>
    <w:p>
      <w:r>
        <w:br w:type="page"/>
      </w:r>
    </w:p>
    <w:p>
      <w:pPr>
        <w:pStyle w:val="Heading1"/>
      </w:pPr>
      <w:r>
        <w:rPr>
          <w:color w:val="000000"/>
        </w:rPr>
        <w:t>Technical progress</w:t>
      </w:r>
    </w:p>
    <w:p>
      <w:pPr>
        <w:pStyle w:val="Heading2"/>
      </w:pPr>
      <w:r>
        <w:rPr>
          <w:color w:val="000000"/>
        </w:rPr>
        <w:t>Summary</w:t>
      </w:r>
    </w:p>
    <w:p>
      <w:r>
        <w:rPr>
          <w:b w:val="0"/>
          <w:i w:val="0"/>
        </w:rPr>
        <w:t>Phase 0 and Phase 1 are in place and reproducible end-to-end. The dissertation compares a baseline PPO agent against a probabilistic-PPO variant that consumes a DeepAR-style uncertainty signal, with passive buy-and-hold, all-cash, and a rule-based trailing stop-loss policy as the three named comparators. Everything is driven from a single configuration file and a small set of scripts, so any reported number can be regenerated from the public repository in a single command sequence.</w:t>
      </w:r>
    </w:p>
    <w:p>
      <w:pPr>
        <w:pStyle w:val="Heading2"/>
      </w:pPr>
      <w:r>
        <w:rPr>
          <w:color w:val="000000"/>
        </w:rPr>
        <w:t>What has been built</w:t>
      </w:r>
    </w:p>
    <w:p>
      <w:pPr>
        <w:pStyle w:val="ListBullet"/>
      </w:pPr>
      <w:r>
        <w:t>A probabilistic forecaster (experiments/run_probabilistic_agent.py): an LSTM trained with Gaussian negative log-likelihood that emits the mean and log variance of the next-step log return. The predictive standard deviation is min-max normalised across the test window into a unit-interval uncertainty score.</w:t>
      </w:r>
    </w:p>
    <w:p>
      <w:pPr>
        <w:pStyle w:val="ListBullet"/>
      </w:pPr>
      <w:r>
        <w:t>An uncertainty-aware trading environment (experiments/common.py:StockEnv): action space [-1, 1] over a configurable max_trade_fraction of cash, with the trade size shrunk by (1 - uncertainty_level) and floored at min_trade_scale. When the uncertainty score exceeds the protocol quantile (default 0.80) the environment blocks new long-side trades but still allows exits. Reward is the per-step log of the portfolio-value ratio multiplied by 100 for numerical scale.</w:t>
      </w:r>
    </w:p>
    <w:p>
      <w:pPr>
        <w:pStyle w:val="ListBullet"/>
      </w:pPr>
      <w:r>
        <w:t>A baseline PPO runner (experiments/run_baseline.py) that uses the same environment without the uncertainty coordinate or the trade-size shrinkage, so the comparison against the probabilistic variant is genuinely controlled.</w:t>
      </w:r>
    </w:p>
    <w:p>
      <w:pPr>
        <w:pStyle w:val="ListBullet"/>
      </w:pPr>
      <w:r>
        <w:t>A rule-based stop-loss runner (experiments/run_rule_baselines.py) implementing 5 % and 10 % trailing-stop policies with a 20/50-day moving-average crossover for re-entry. This is the directly-measured non-AI comparator that the supervisor's previous feedback asked for.</w:t>
      </w:r>
    </w:p>
    <w:p>
      <w:pPr>
        <w:pStyle w:val="ListBullet"/>
      </w:pPr>
      <w:r>
        <w:t>A benchmarks runner (experiments/run_benchmarks.py) that evaluates passive buy-and-hold and all-cash on the same test window. These act as sanity checks on the metric definitions as much as competitors to beat.</w:t>
      </w:r>
    </w:p>
    <w:p>
      <w:pPr>
        <w:pStyle w:val="ListBullet"/>
      </w:pPr>
      <w:r>
        <w:t>A single evaluation protocol (experiments/configs/dissertation_protocol.json) that fixes the splits (2009-2018 train / 2019-2021 validation / 2022-2025 test), the seeds [7, 19, 42] in the headline study, and the metric set, and is read by every script. This is the bit that actually makes the comparisons fair.</w:t>
      </w:r>
    </w:p>
    <w:p>
      <w:pPr>
        <w:pStyle w:val="ListBullet"/>
      </w:pPr>
      <w:r>
        <w:t>A reporting layer: reports/generate_dissertation_report.py for the markdown summary, reports/build_supervisor_pack.py for the one-page chart, reports/plot_dissertation_visuals.py for the detailed figures, and Dissertation_Walkthrough.ipynb for the embedded-output review notebook.</w:t>
      </w:r>
    </w:p>
    <w:p>
      <w:pPr>
        <w:pStyle w:val="Heading2"/>
      </w:pPr>
      <w:r>
        <w:rPr>
          <w:color w:val="000000"/>
        </w:rPr>
        <w:t>Phase-0 to Phase-1 status table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Step</w:t>
            </w:r>
          </w:p>
        </w:tc>
        <w:tc>
          <w:tcPr>
            <w:tcW w:type="dxa" w:w="3249"/>
          </w:tcPr>
          <w:p>
            <w:r>
              <w:rPr>
                <w:b/>
              </w:rPr>
              <w:t>Status</w:t>
            </w:r>
          </w:p>
        </w:tc>
        <w:tc>
          <w:tcPr>
            <w:tcW w:type="dxa" w:w="3249"/>
          </w:tcPr>
          <w:p>
            <w:r>
              <w:rPr>
                <w:b/>
              </w:rPr>
              <w:t>Notes</w:t>
            </w:r>
          </w:p>
        </w:tc>
      </w:tr>
      <w:tr>
        <w:tc>
          <w:tcPr>
            <w:tcW w:type="dxa" w:w="3249"/>
          </w:tcPr>
          <w:p>
            <w:r>
              <w:t>0.1 Environment + dependencies</w:t>
            </w:r>
          </w:p>
        </w:tc>
        <w:tc>
          <w:tcPr>
            <w:tcW w:type="dxa" w:w="3249"/>
          </w:tcPr>
          <w:p>
            <w:r>
              <w:t>Done</w:t>
            </w:r>
          </w:p>
        </w:tc>
        <w:tc>
          <w:tcPr>
            <w:tcW w:type="dxa" w:w="3249"/>
          </w:tcPr>
          <w:p>
            <w:r>
              <w:t>requirements.txt, SB3, PyTorch, gymnasium, yfinance</w:t>
            </w:r>
          </w:p>
        </w:tc>
      </w:tr>
      <w:tr>
        <w:tc>
          <w:tcPr>
            <w:tcW w:type="dxa" w:w="3249"/>
          </w:tcPr>
          <w:p>
            <w:r>
              <w:t>0.2 PPO baseline on sample data</w:t>
            </w:r>
          </w:p>
        </w:tc>
        <w:tc>
          <w:tcPr>
            <w:tcW w:type="dxa" w:w="3249"/>
          </w:tcPr>
          <w:p>
            <w:r>
              <w:t>Done</w:t>
            </w:r>
          </w:p>
        </w:tc>
        <w:tc>
          <w:tcPr>
            <w:tcW w:type="dxa" w:w="3249"/>
          </w:tcPr>
          <w:p>
            <w:r>
              <w:t>phase0_examples/ppo_stock_trading_standalone.py</w:t>
            </w:r>
          </w:p>
        </w:tc>
      </w:tr>
      <w:tr>
        <w:tc>
          <w:tcPr>
            <w:tcW w:type="dxa" w:w="3249"/>
          </w:tcPr>
          <w:p>
            <w:r>
              <w:t>0.3 DeepAR-style probabilistic example</w:t>
            </w:r>
          </w:p>
        </w:tc>
        <w:tc>
          <w:tcPr>
            <w:tcW w:type="dxa" w:w="3249"/>
          </w:tcPr>
          <w:p>
            <w:r>
              <w:t>Done</w:t>
            </w:r>
          </w:p>
        </w:tc>
        <w:tc>
          <w:tcPr>
            <w:tcW w:type="dxa" w:w="3249"/>
          </w:tcPr>
          <w:p>
            <w:r>
              <w:t>phase0_examples/deepar_style_example.py</w:t>
            </w:r>
          </w:p>
        </w:tc>
      </w:tr>
      <w:tr>
        <w:tc>
          <w:tcPr>
            <w:tcW w:type="dxa" w:w="3249"/>
          </w:tcPr>
          <w:p>
            <w:r>
              <w:t>1.1 Shared protocol + metrics</w:t>
            </w:r>
          </w:p>
        </w:tc>
        <w:tc>
          <w:tcPr>
            <w:tcW w:type="dxa" w:w="3249"/>
          </w:tcPr>
          <w:p>
            <w:r>
              <w:t>Done</w:t>
            </w:r>
          </w:p>
        </w:tc>
        <w:tc>
          <w:tcPr>
            <w:tcW w:type="dxa" w:w="3249"/>
          </w:tcPr>
          <w:p>
            <w:r>
              <w:t>experiments/configs/dissertation_protocol.json, experiments/common.py</w:t>
            </w:r>
          </w:p>
        </w:tc>
      </w:tr>
      <w:tr>
        <w:tc>
          <w:tcPr>
            <w:tcW w:type="dxa" w:w="3249"/>
          </w:tcPr>
          <w:p>
            <w:r>
              <w:t>1.2 Reproducible baseline / probabilistic / benchmark runners</w:t>
            </w:r>
          </w:p>
        </w:tc>
        <w:tc>
          <w:tcPr>
            <w:tcW w:type="dxa" w:w="3249"/>
          </w:tcPr>
          <w:p>
            <w:r>
              <w:t>Done</w:t>
            </w:r>
          </w:p>
        </w:tc>
        <w:tc>
          <w:tcPr>
            <w:tcW w:type="dxa" w:w="3249"/>
          </w:tcPr>
          <w:p>
            <w:r>
              <w:t>Three runners, seeded</w:t>
            </w:r>
          </w:p>
        </w:tc>
      </w:tr>
      <w:tr>
        <w:tc>
          <w:tcPr>
            <w:tcW w:type="dxa" w:w="3249"/>
          </w:tcPr>
          <w:p>
            <w:r>
              <w:t>1.3 Dissertation report + supervisor pack</w:t>
            </w:r>
          </w:p>
        </w:tc>
        <w:tc>
          <w:tcPr>
            <w:tcW w:type="dxa" w:w="3249"/>
          </w:tcPr>
          <w:p>
            <w:r>
              <w:t>Done</w:t>
            </w:r>
          </w:p>
        </w:tc>
        <w:tc>
          <w:tcPr>
            <w:tcW w:type="dxa" w:w="3249"/>
          </w:tcPr>
          <w:p>
            <w:r>
              <w:t>reports/generated/</w:t>
            </w:r>
          </w:p>
        </w:tc>
      </w:tr>
      <w:tr>
        <w:tc>
          <w:tcPr>
            <w:tcW w:type="dxa" w:w="3249"/>
          </w:tcPr>
          <w:p>
            <w:r>
              <w:t>1.4 Rule-based stop-loss comparator (5 % and 10 % variants)</w:t>
            </w:r>
          </w:p>
        </w:tc>
        <w:tc>
          <w:tcPr>
            <w:tcW w:type="dxa" w:w="3249"/>
          </w:tcPr>
          <w:p>
            <w:r>
              <w:t>Done</w:t>
            </w:r>
          </w:p>
        </w:tc>
        <w:tc>
          <w:tcPr>
            <w:tcW w:type="dxa" w:w="3249"/>
          </w:tcPr>
          <w:p>
            <w:r>
              <w:t>experiments/run_rule_baselines.py</w:t>
            </w:r>
          </w:p>
        </w:tc>
      </w:tr>
      <w:tr>
        <w:tc>
          <w:tcPr>
            <w:tcW w:type="dxa" w:w="3249"/>
          </w:tcPr>
          <w:p>
            <w:r>
              <w:t>1.5 Robustness on 70-ticker test universe (Phase-1 budget)</w:t>
            </w:r>
          </w:p>
        </w:tc>
        <w:tc>
          <w:tcPr>
            <w:tcW w:type="dxa" w:w="3249"/>
          </w:tcPr>
          <w:p>
            <w:r>
              <w:t>Done</w:t>
            </w:r>
          </w:p>
        </w:tc>
        <w:tc>
          <w:tcPr>
            <w:tcW w:type="dxa" w:w="3249"/>
          </w:tcPr>
          <w:p>
            <w:r>
              <w:t>Four-agent comparison on 70 tickers × 3 seeds × 10k steps; aggregate stats + per-ticker table in §5.5 of dissertation</w:t>
            </w:r>
          </w:p>
        </w:tc>
      </w:tr>
      <w:tr>
        <w:tc>
          <w:tcPr>
            <w:tcW w:type="dxa" w:w="3249"/>
          </w:tcPr>
          <w:p>
            <w:r>
              <w:t>1.6 Walk-forward (out-of-time) on CPU-feasible subset</w:t>
            </w:r>
          </w:p>
        </w:tc>
        <w:tc>
          <w:tcPr>
            <w:tcW w:type="dxa" w:w="3249"/>
          </w:tcPr>
          <w:p>
            <w:r>
              <w:t>Done</w:t>
            </w:r>
          </w:p>
        </w:tc>
        <w:tc>
          <w:tcPr>
            <w:tcW w:type="dxa" w:w="3249"/>
          </w:tcPr>
          <w:p>
            <w:r>
              <w:t>4 tickers × 4 folds × 3 seeds × 10k steps = 96 trainings; in §6.4 of dissertation</w:t>
            </w:r>
          </w:p>
        </w:tc>
      </w:tr>
      <w:tr>
        <w:tc>
          <w:tcPr>
            <w:tcW w:type="dxa" w:w="3249"/>
          </w:tcPr>
          <w:p>
            <w:r>
              <w:t>1.7 Extended seed-stability check on representative sub-universe</w:t>
            </w:r>
          </w:p>
        </w:tc>
        <w:tc>
          <w:tcPr>
            <w:tcW w:type="dxa" w:w="3249"/>
          </w:tcPr>
          <w:p>
            <w:r>
              <w:t>Done</w:t>
            </w:r>
          </w:p>
        </w:tc>
        <w:tc>
          <w:tcPr>
            <w:tcW w:type="dxa" w:w="3249"/>
          </w:tcPr>
          <w:p>
            <w:r>
              <w:t>8 tickers × 10 seeds × 50k steps = 80 trainings; in §5.5.1 of dissertation</w:t>
            </w:r>
          </w:p>
        </w:tc>
      </w:tr>
      <w:tr>
        <w:tc>
          <w:tcPr>
            <w:tcW w:type="dxa" w:w="3249"/>
          </w:tcPr>
          <w:p>
            <w:r>
              <w:t>1.8 Phase-2 extended grid on full 70-ticker universe</w:t>
            </w:r>
          </w:p>
        </w:tc>
        <w:tc>
          <w:tcPr>
            <w:tcW w:type="dxa" w:w="3249"/>
          </w:tcPr>
          <w:p>
            <w:r>
              <w:t>Scheduled</w:t>
            </w:r>
          </w:p>
        </w:tc>
        <w:tc>
          <w:tcPr>
            <w:tcW w:type="dxa" w:w="3249"/>
          </w:tcPr>
          <w:p>
            <w:r>
              <w:t>GPU-only; orchestrator experiments/run_extended_grid.py + notebook notebooks/extended_grid_colab.ipynb</w:t>
            </w:r>
          </w:p>
        </w:tc>
      </w:tr>
    </w:tbl>
    <w:p>
      <w:pPr>
        <w:pStyle w:val="Heading2"/>
      </w:pPr>
      <w:r>
        <w:rPr>
          <w:color w:val="000000"/>
        </w:rPr>
        <w:t>Current results (mean across 3 seeds, test window 2022-2025)</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vAlign w:val="center"/>
          </w:tcPr>
          <w:p>
            <w:r>
              <w:rPr>
                <w:b/>
              </w:rPr>
              <w:t>Agent</w:t>
            </w:r>
          </w:p>
        </w:tc>
        <w:tc>
          <w:tcPr>
            <w:tcW w:type="dxa" w:w="1392"/>
            <w:vAlign w:val="center"/>
          </w:tcPr>
          <w:p>
            <w:r>
              <w:rPr>
                <w:b/>
              </w:rPr>
              <w:t>Final value (USD)</w:t>
            </w:r>
          </w:p>
        </w:tc>
        <w:tc>
          <w:tcPr>
            <w:tcW w:type="dxa" w:w="1392"/>
            <w:vAlign w:val="center"/>
          </w:tcPr>
          <w:p>
            <w:r>
              <w:rPr>
                <w:b/>
              </w:rPr>
              <w:t>Sharpe</w:t>
            </w:r>
          </w:p>
        </w:tc>
        <w:tc>
          <w:tcPr>
            <w:tcW w:type="dxa" w:w="1392"/>
            <w:vAlign w:val="center"/>
          </w:tcPr>
          <w:p>
            <w:r>
              <w:rPr>
                <w:b/>
              </w:rPr>
              <w:t>Max DD</w:t>
            </w:r>
          </w:p>
        </w:tc>
        <w:tc>
          <w:tcPr>
            <w:tcW w:type="dxa" w:w="1392"/>
            <w:vAlign w:val="center"/>
          </w:tcPr>
          <w:p>
            <w:r>
              <w:rPr>
                <w:b/>
              </w:rPr>
              <w:t>VaR-95 viol.</w:t>
            </w:r>
          </w:p>
        </w:tc>
        <w:tc>
          <w:tcPr>
            <w:tcW w:type="dxa" w:w="1392"/>
            <w:vAlign w:val="center"/>
          </w:tcPr>
          <w:p>
            <w:r>
              <w:rPr>
                <w:b/>
              </w:rPr>
              <w:t>Terminal preservation</w:t>
            </w:r>
          </w:p>
        </w:tc>
        <w:tc>
          <w:tcPr>
            <w:tcW w:type="dxa" w:w="1392"/>
            <w:vAlign w:val="center"/>
          </w:tcPr>
          <w:p>
            <w:r>
              <w:rPr>
                <w:b/>
              </w:rPr>
              <w:t>Path preservation (1−MDD)</w:t>
            </w:r>
          </w:p>
        </w:tc>
      </w:tr>
      <w:tr>
        <w:tc>
          <w:tcPr>
            <w:tcW w:type="dxa" w:w="1392"/>
            <w:vAlign w:val="center"/>
          </w:tcPr>
          <w:p>
            <w:r>
              <w:t>Baseline PPO</w:t>
            </w:r>
          </w:p>
        </w:tc>
        <w:tc>
          <w:tcPr>
            <w:tcW w:type="dxa" w:w="1392"/>
            <w:vAlign w:val="center"/>
          </w:tcPr>
          <w:p>
            <w:r>
              <w:t>$985,463</w:t>
            </w:r>
          </w:p>
        </w:tc>
        <w:tc>
          <w:tcPr>
            <w:tcW w:type="dxa" w:w="1392"/>
            <w:vAlign w:val="center"/>
          </w:tcPr>
          <w:p>
            <w:r>
              <w:t>-0.4285</w:t>
            </w:r>
          </w:p>
        </w:tc>
        <w:tc>
          <w:tcPr>
            <w:tcW w:type="dxa" w:w="1392"/>
            <w:vAlign w:val="center"/>
          </w:tcPr>
          <w:p>
            <w:r>
              <w:t>0.0209</w:t>
            </w:r>
          </w:p>
        </w:tc>
        <w:tc>
          <w:tcPr>
            <w:tcW w:type="dxa" w:w="1392"/>
            <w:vAlign w:val="center"/>
          </w:tcPr>
          <w:p>
            <w:r>
              <w:t>0.0105</w:t>
            </w:r>
          </w:p>
        </w:tc>
        <w:tc>
          <w:tcPr>
            <w:tcW w:type="dxa" w:w="1392"/>
            <w:vAlign w:val="center"/>
          </w:tcPr>
          <w:p>
            <w:r>
              <w:t>0.9811</w:t>
            </w:r>
          </w:p>
        </w:tc>
        <w:tc>
          <w:tcPr>
            <w:tcW w:type="dxa" w:w="1392"/>
            <w:vAlign w:val="center"/>
          </w:tcPr>
          <w:p>
            <w:r>
              <w:t>0.9791</w:t>
            </w:r>
          </w:p>
        </w:tc>
      </w:tr>
      <w:tr>
        <w:tc>
          <w:tcPr>
            <w:tcW w:type="dxa" w:w="1392"/>
            <w:vAlign w:val="center"/>
          </w:tcPr>
          <w:p>
            <w:r>
              <w:t>Probabilistic PPO</w:t>
            </w:r>
          </w:p>
        </w:tc>
        <w:tc>
          <w:tcPr>
            <w:tcW w:type="dxa" w:w="1392"/>
            <w:vAlign w:val="center"/>
          </w:tcPr>
          <w:p>
            <w:r>
              <w:t>$1,597,558</w:t>
            </w:r>
          </w:p>
        </w:tc>
        <w:tc>
          <w:tcPr>
            <w:tcW w:type="dxa" w:w="1392"/>
            <w:vAlign w:val="center"/>
          </w:tcPr>
          <w:p>
            <w:r>
              <w:t>+0.7250</w:t>
            </w:r>
          </w:p>
        </w:tc>
        <w:tc>
          <w:tcPr>
            <w:tcW w:type="dxa" w:w="1392"/>
            <w:vAlign w:val="center"/>
          </w:tcPr>
          <w:p>
            <w:r>
              <w:t>0.1978</w:t>
            </w:r>
          </w:p>
        </w:tc>
        <w:tc>
          <w:tcPr>
            <w:tcW w:type="dxa" w:w="1392"/>
            <w:vAlign w:val="center"/>
          </w:tcPr>
          <w:p>
            <w:r>
              <w:t>0.0500</w:t>
            </w:r>
          </w:p>
        </w:tc>
        <w:tc>
          <w:tcPr>
            <w:tcW w:type="dxa" w:w="1392"/>
            <w:vAlign w:val="center"/>
          </w:tcPr>
          <w:p>
            <w:r>
              <w:t>0.9965</w:t>
            </w:r>
          </w:p>
        </w:tc>
        <w:tc>
          <w:tcPr>
            <w:tcW w:type="dxa" w:w="1392"/>
            <w:vAlign w:val="center"/>
          </w:tcPr>
          <w:p>
            <w:r>
              <w:t>0.8022</w:t>
            </w:r>
          </w:p>
        </w:tc>
      </w:tr>
      <w:tr>
        <w:tc>
          <w:tcPr>
            <w:tcW w:type="dxa" w:w="1392"/>
            <w:vAlign w:val="center"/>
          </w:tcPr>
          <w:p>
            <w:r>
              <w:t>Rule-based stop-loss (5%)</w:t>
            </w:r>
          </w:p>
        </w:tc>
        <w:tc>
          <w:tcPr>
            <w:tcW w:type="dxa" w:w="1392"/>
            <w:vAlign w:val="center"/>
          </w:tcPr>
          <w:p>
            <w:r>
              <w:t>$1,233,202</w:t>
            </w:r>
          </w:p>
        </w:tc>
        <w:tc>
          <w:tcPr>
            <w:tcW w:type="dxa" w:w="1392"/>
            <w:vAlign w:val="center"/>
          </w:tcPr>
          <w:p>
            <w:r>
              <w:t>+0.4237</w:t>
            </w:r>
          </w:p>
        </w:tc>
        <w:tc>
          <w:tcPr>
            <w:tcW w:type="dxa" w:w="1392"/>
            <w:vAlign w:val="center"/>
          </w:tcPr>
          <w:p>
            <w:r>
              <w:t>0.2523</w:t>
            </w:r>
          </w:p>
        </w:tc>
        <w:tc>
          <w:tcPr>
            <w:tcW w:type="dxa" w:w="1392"/>
            <w:vAlign w:val="center"/>
          </w:tcPr>
          <w:p>
            <w:r>
              <w:t>0.0500</w:t>
            </w:r>
          </w:p>
        </w:tc>
        <w:tc>
          <w:tcPr>
            <w:tcW w:type="dxa" w:w="1392"/>
            <w:vAlign w:val="center"/>
          </w:tcPr>
          <w:p>
            <w:r>
              <w:t>0.9905</w:t>
            </w:r>
          </w:p>
        </w:tc>
        <w:tc>
          <w:tcPr>
            <w:tcW w:type="dxa" w:w="1392"/>
            <w:vAlign w:val="center"/>
          </w:tcPr>
          <w:p>
            <w:r>
              <w:t>0.7477</w:t>
            </w:r>
          </w:p>
        </w:tc>
      </w:tr>
      <w:tr>
        <w:tc>
          <w:tcPr>
            <w:tcW w:type="dxa" w:w="1392"/>
            <w:vAlign w:val="center"/>
          </w:tcPr>
          <w:p>
            <w:r>
              <w:t>Rule-based stop-loss (10%)</w:t>
            </w:r>
          </w:p>
        </w:tc>
        <w:tc>
          <w:tcPr>
            <w:tcW w:type="dxa" w:w="1392"/>
            <w:vAlign w:val="center"/>
          </w:tcPr>
          <w:p>
            <w:r>
              <w:t>$1,241,164</w:t>
            </w:r>
          </w:p>
        </w:tc>
        <w:tc>
          <w:tcPr>
            <w:tcW w:type="dxa" w:w="1392"/>
            <w:vAlign w:val="center"/>
          </w:tcPr>
          <w:p>
            <w:r>
              <w:t>+0.4085</w:t>
            </w:r>
          </w:p>
        </w:tc>
        <w:tc>
          <w:tcPr>
            <w:tcW w:type="dxa" w:w="1392"/>
            <w:vAlign w:val="center"/>
          </w:tcPr>
          <w:p>
            <w:r>
              <w:t>0.2995</w:t>
            </w:r>
          </w:p>
        </w:tc>
        <w:tc>
          <w:tcPr>
            <w:tcW w:type="dxa" w:w="1392"/>
            <w:vAlign w:val="center"/>
          </w:tcPr>
          <w:p>
            <w:r>
              <w:t>0.0500</w:t>
            </w:r>
          </w:p>
        </w:tc>
        <w:tc>
          <w:tcPr>
            <w:tcW w:type="dxa" w:w="1392"/>
            <w:vAlign w:val="center"/>
          </w:tcPr>
          <w:p>
            <w:r>
              <w:t>0.9951</w:t>
            </w:r>
          </w:p>
        </w:tc>
        <w:tc>
          <w:tcPr>
            <w:tcW w:type="dxa" w:w="1392"/>
            <w:vAlign w:val="center"/>
          </w:tcPr>
          <w:p>
            <w:r>
              <w:t>0.7005</w:t>
            </w:r>
          </w:p>
        </w:tc>
      </w:tr>
      <w:tr>
        <w:tc>
          <w:tcPr>
            <w:tcW w:type="dxa" w:w="1392"/>
            <w:vAlign w:val="center"/>
          </w:tcPr>
          <w:p>
            <w:r>
              <w:t>Buy-and-hold (SPY)</w:t>
            </w:r>
          </w:p>
        </w:tc>
        <w:tc>
          <w:tcPr>
            <w:tcW w:type="dxa" w:w="1392"/>
            <w:vAlign w:val="center"/>
          </w:tcPr>
          <w:p>
            <w:r>
              <w:t>$1,520,354</w:t>
            </w:r>
          </w:p>
        </w:tc>
        <w:tc>
          <w:tcPr>
            <w:tcW w:type="dxa" w:w="1392"/>
            <w:vAlign w:val="center"/>
          </w:tcPr>
          <w:p>
            <w:r>
              <w:t>+0.5867</w:t>
            </w:r>
          </w:p>
        </w:tc>
        <w:tc>
          <w:tcPr>
            <w:tcW w:type="dxa" w:w="1392"/>
            <w:vAlign w:val="center"/>
          </w:tcPr>
          <w:p>
            <w:r>
              <w:t>0.2450</w:t>
            </w:r>
          </w:p>
        </w:tc>
        <w:tc>
          <w:tcPr>
            <w:tcW w:type="dxa" w:w="1392"/>
            <w:vAlign w:val="center"/>
          </w:tcPr>
          <w:p>
            <w:r>
              <w:t>0.0500</w:t>
            </w:r>
          </w:p>
        </w:tc>
        <w:tc>
          <w:tcPr>
            <w:tcW w:type="dxa" w:w="1392"/>
            <w:vAlign w:val="center"/>
          </w:tcPr>
          <w:p>
            <w:r>
              <w:t>0.9951</w:t>
            </w:r>
          </w:p>
        </w:tc>
        <w:tc>
          <w:tcPr>
            <w:tcW w:type="dxa" w:w="1392"/>
            <w:vAlign w:val="center"/>
          </w:tcPr>
          <w:p>
            <w:r>
              <w:t>0.7550</w:t>
            </w:r>
          </w:p>
        </w:tc>
      </w:tr>
      <w:tr>
        <w:tc>
          <w:tcPr>
            <w:tcW w:type="dxa" w:w="1392"/>
            <w:vAlign w:val="center"/>
          </w:tcPr>
          <w:p>
            <w:r>
              <w:t>All-cash</w:t>
            </w:r>
          </w:p>
        </w:tc>
        <w:tc>
          <w:tcPr>
            <w:tcW w:type="dxa" w:w="1392"/>
            <w:vAlign w:val="center"/>
          </w:tcPr>
          <w:p>
            <w:r>
              <w:t>$1,000,000</w:t>
            </w:r>
          </w:p>
        </w:tc>
        <w:tc>
          <w:tcPr>
            <w:tcW w:type="dxa" w:w="1392"/>
            <w:vAlign w:val="center"/>
          </w:tcPr>
          <w:p>
            <w:r>
              <w:t>+0.0000</w:t>
            </w:r>
          </w:p>
        </w:tc>
        <w:tc>
          <w:tcPr>
            <w:tcW w:type="dxa" w:w="1392"/>
            <w:vAlign w:val="center"/>
          </w:tcPr>
          <w:p>
            <w:r>
              <w:t>0.0000</w:t>
            </w:r>
          </w:p>
        </w:tc>
        <w:tc>
          <w:tcPr>
            <w:tcW w:type="dxa" w:w="1392"/>
            <w:vAlign w:val="center"/>
          </w:tcPr>
          <w:p>
            <w:r>
              <w:t>0.0000</w:t>
            </w:r>
          </w:p>
        </w:tc>
        <w:tc>
          <w:tcPr>
            <w:tcW w:type="dxa" w:w="1392"/>
            <w:vAlign w:val="center"/>
          </w:tcPr>
          <w:p>
            <w:r>
              <w:t>1.0000</w:t>
            </w:r>
          </w:p>
        </w:tc>
        <w:tc>
          <w:tcPr>
            <w:tcW w:type="dxa" w:w="1392"/>
            <w:vAlign w:val="center"/>
          </w:tcPr>
          <w:p>
            <w:r>
              <w:t>1.0000</w:t>
            </w:r>
          </w:p>
        </w:tc>
      </w:tr>
    </w:tbl>
    <w:p>
      <w:r>
        <w:rPr>
          <w:b w:val="0"/>
          <w:i/>
        </w:rPr>
        <w:t>Reference figures: reports/generated/charts/final_value_comparison.png, equity_curve_comparison.png and uncertainty_signal.png.</w:t>
      </w:r>
    </w:p>
    <w:p>
      <w:pPr>
        <w:pStyle w:val="Heading2"/>
      </w:pPr>
      <w:r>
        <w:rPr>
          <w:color w:val="000000"/>
        </w:rPr>
        <w:t>70-ticker test universe — Phase-1 robustness</w:t>
      </w:r>
    </w:p>
    <w:p>
      <w:r>
        <w:rPr>
          <w:b w:val="0"/>
          <w:i w:val="0"/>
        </w:rPr>
        <w:t>The Phase-1 robustness study runs the same four-agent comparison on a 70-ticker diversified-equity test universe (41 single-name US large-cap equities spanning technology, payments and financial services, healthcare, consumer and industrials, plus 29 exchange-traded funds covering broad-market indices, sector SPDRs, dividend ETFs, thematic exposures and commodity funds) on the same 2022–2025 test window with the same metric definitions. The aggregate result is summarised below; the full per-ticker table is in Appendix B of the main dissertation.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t>Strategy</w:t>
            </w:r>
          </w:p>
        </w:tc>
        <w:tc>
          <w:tcPr>
            <w:tcW w:type="dxa" w:w="2436"/>
          </w:tcPr>
          <w:p>
            <w:r>
              <w:rPr>
                <w:b/>
              </w:rPr>
              <w:t>Mean terminal value</w:t>
            </w:r>
          </w:p>
        </w:tc>
        <w:tc>
          <w:tcPr>
            <w:tcW w:type="dxa" w:w="2436"/>
          </w:tcPr>
          <w:p>
            <w:r>
              <w:rPr>
                <w:b/>
              </w:rPr>
              <w:t>Mean Sharpe</w:t>
            </w:r>
          </w:p>
        </w:tc>
        <w:tc>
          <w:tcPr>
            <w:tcW w:type="dxa" w:w="2436"/>
          </w:tcPr>
          <w:p>
            <w:r>
              <w:rPr>
                <w:b/>
              </w:rPr>
              <w:t>Mean Max-DD</w:t>
            </w:r>
          </w:p>
        </w:tc>
      </w:tr>
      <w:tr>
        <w:tc>
          <w:tcPr>
            <w:tcW w:type="dxa" w:w="2436"/>
          </w:tcPr>
          <w:p>
            <w:r>
              <w:t>Baseline PPO (no uncertainty)</w:t>
            </w:r>
          </w:p>
        </w:tc>
        <w:tc>
          <w:tcPr>
            <w:tcW w:type="dxa" w:w="2436"/>
          </w:tcPr>
          <w:p>
            <w:r>
              <w:t>$989,430</w:t>
            </w:r>
          </w:p>
        </w:tc>
        <w:tc>
          <w:tcPr>
            <w:tcW w:type="dxa" w:w="2436"/>
          </w:tcPr>
          <w:p>
            <w:r>
              <w:t>−0.23</w:t>
            </w:r>
          </w:p>
        </w:tc>
        <w:tc>
          <w:tcPr>
            <w:tcW w:type="dxa" w:w="2436"/>
          </w:tcPr>
          <w:p>
            <w:r>
              <w:t>0.033</w:t>
            </w:r>
          </w:p>
        </w:tc>
      </w:tr>
      <w:tr>
        <w:tc>
          <w:tcPr>
            <w:tcW w:type="dxa" w:w="2436"/>
          </w:tcPr>
          <w:p>
            <w:r>
              <w:rPr>
                <w:b/>
              </w:rPr>
              <w:t>Probabilistic PPO (this work)</w:t>
            </w:r>
          </w:p>
        </w:tc>
        <w:tc>
          <w:tcPr>
            <w:tcW w:type="dxa" w:w="2436"/>
          </w:tcPr>
          <w:p>
            <w:r>
              <w:rPr>
                <w:b/>
              </w:rPr>
              <w:t>$1,998,817</w:t>
            </w:r>
          </w:p>
        </w:tc>
        <w:tc>
          <w:tcPr>
            <w:tcW w:type="dxa" w:w="2436"/>
          </w:tcPr>
          <w:p>
            <w:r>
              <w:rPr>
                <w:b/>
              </w:rPr>
              <w:t>+0.60</w:t>
            </w:r>
          </w:p>
        </w:tc>
        <w:tc>
          <w:tcPr>
            <w:tcW w:type="dxa" w:w="2436"/>
          </w:tcPr>
          <w:p>
            <w:r>
              <w:rPr>
                <w:b/>
              </w:rPr>
              <w:t>0.225</w:t>
            </w:r>
          </w:p>
        </w:tc>
      </w:tr>
      <w:tr>
        <w:tc>
          <w:tcPr>
            <w:tcW w:type="dxa" w:w="2436"/>
          </w:tcPr>
          <w:p>
            <w:r>
              <w:t>Manual 5 % trailing stop</w:t>
            </w:r>
          </w:p>
        </w:tc>
        <w:tc>
          <w:tcPr>
            <w:tcW w:type="dxa" w:w="2436"/>
          </w:tcPr>
          <w:p>
            <w:r>
              <w:t>$1,531,163</w:t>
            </w:r>
          </w:p>
        </w:tc>
        <w:tc>
          <w:tcPr>
            <w:tcW w:type="dxa" w:w="2436"/>
          </w:tcPr>
          <w:p>
            <w:r>
              <w:t>+0.36</w:t>
            </w:r>
          </w:p>
        </w:tc>
        <w:tc>
          <w:tcPr>
            <w:tcW w:type="dxa" w:w="2436"/>
          </w:tcPr>
          <w:p>
            <w:r>
              <w:t>0.305</w:t>
            </w:r>
          </w:p>
        </w:tc>
      </w:tr>
      <w:tr>
        <w:tc>
          <w:tcPr>
            <w:tcW w:type="dxa" w:w="2436"/>
          </w:tcPr>
          <w:p>
            <w:r>
              <w:t>Passive buy-and-hold</w:t>
            </w:r>
          </w:p>
        </w:tc>
        <w:tc>
          <w:tcPr>
            <w:tcW w:type="dxa" w:w="2436"/>
          </w:tcPr>
          <w:p>
            <w:r>
              <w:t>$2,099,838</w:t>
            </w:r>
          </w:p>
        </w:tc>
        <w:tc>
          <w:tcPr>
            <w:tcW w:type="dxa" w:w="2436"/>
          </w:tcPr>
          <w:p>
            <w:r>
              <w:t>+0.54</w:t>
            </w:r>
          </w:p>
        </w:tc>
        <w:tc>
          <w:tcPr>
            <w:tcW w:type="dxa" w:w="2436"/>
          </w:tcPr>
          <w:p>
            <w:r>
              <w:t>0.370</w:t>
            </w:r>
          </w:p>
        </w:tc>
      </w:tr>
    </w:tbl>
    <w:p>
      <w:r>
        <w:rPr>
          <w:b/>
          <w:i w:val="0"/>
        </w:rPr>
        <w:t>Headline findings on the 70-ticker test universe:</w:t>
      </w:r>
    </w:p>
    <w:p>
      <w:pPr>
        <w:pStyle w:val="ListBullet"/>
      </w:pPr>
      <w:r>
        <w:t>Drawdown reduced versus passive buy-and-hold on 70 of 70 tickers (100 % of the universe), with an average reduction of 14.5 percentage points (mean drawdown cut by 39 % in relative terms — from 37.0 % to 22.5 %). This is the strongest single number in the dissertation.</w:t>
      </w:r>
    </w:p>
    <w:p>
      <w:pPr>
        <w:pStyle w:val="ListBullet"/>
      </w:pPr>
      <w:r>
        <w:t>Probabilistic agent beat the manually-tuned 5 % trailing stop on 61 of 70 tickers (87 %) in terminal value, and on essentially every ticker in Sharpe ratio — the empirical answer to the previous-meeting question on whether the AI agent beats a manually-tuned stop-loss alternative.</w:t>
      </w:r>
    </w:p>
    <w:p>
      <w:pPr>
        <w:pStyle w:val="ListBullet"/>
      </w:pPr>
      <w:r>
        <w:t>Cost in mean terminal value versus passive buy-and-hold: roughly 5 % give-up in mean upside in exchange for the 39 % reduction in mean drawdown above. This is exactly the trade an institutional drawdown-mandated investor runs every quarter.</w:t>
      </w:r>
    </w:p>
    <w:p>
      <w:pPr>
        <w:pStyle w:val="ListBullet"/>
      </w:pPr>
      <w:r>
        <w:t>Where the agent loses (45 of 70 tickers in terminal value, all winning on drawdown), the losses cluster in two diagnosable regimes: persistent, low-uncertainty bull-market trends in single names (NVDA, AVGO, LLY) where the uncertainty-guard's caution costs the right tail, and very-low-drawdown defensives (JNJ, MCD, SCHD, GLD) where there is essentially nothing for a drawdown overlay to add. Sector-aware uncertainty-quantile calibration is the targeted Phase-2 fix.</w:t>
      </w:r>
    </w:p>
    <w:p>
      <w:pPr>
        <w:pStyle w:val="Heading2"/>
      </w:pPr>
      <w:r>
        <w:rPr>
          <w:color w:val="000000"/>
        </w:rPr>
        <w:t>How to read these numbers</w:t>
      </w:r>
    </w:p>
    <w:p>
      <w:pPr>
        <w:pStyle w:val="ListBullet"/>
      </w:pPr>
      <w:r>
        <w:t>The headline criterion is the joint of Sharpe ratio and drawdown control, not either half alone. Meeting either half on its own is trivial: an all-cash policy achieves perfect preservation with zero return, and a return-only policy ignores the constraint entirely. On the 70-ticker test universe the probabilistic agent meets the joint constraint: it controls drawdown on 100 % of the universe (mean drawdown 22.5 % vs buy-and-hold's 37.0 %) and earns a higher mean Sharpe than passive buy-and-hold (+0.60 vs +0.54). The baseline PPO meets neither half: it ends roughly where it started with a slightly negative Sharpe.</w:t>
      </w:r>
    </w:p>
    <w:p>
      <w:pPr>
        <w:pStyle w:val="ListBullet"/>
      </w:pPr>
      <w:r>
        <w:t>The manually-tuned trailing-stop comparator (5 % stop with 20/50-day moving-average re-entry) is the directly measured manual alternative. The probabilistic agent beats it on 87 % of the 70-ticker universe in terminal value and on essentially every ticker in Sharpe. This is a directly-measured rather than asserted answer to the previous-meeting question on whether the AI agent beats a manually-tuned stop-loss alternative.</w:t>
      </w:r>
    </w:p>
    <w:p>
      <w:pPr>
        <w:pStyle w:val="ListBullet"/>
      </w:pPr>
      <w:r>
        <w:t>Max drawdown on the baseline looks small only because the baseline barely compounds in the first place. Both terminal preservation and path preservation (1 − MDD) are reported in the dissertation so the reader can apply whichever definition matches their mandate.</w:t>
      </w:r>
    </w:p>
    <w:p>
      <w:pPr>
        <w:pStyle w:val="ListBullet"/>
      </w:pPr>
      <w:r>
        <w:t>These numbers are provisional Phase-1 evidence. The Phase-2 extended grid (10 seeds × 50 000 timesteps × 4 walk-forward folds × 16 bootstrap paths × 70 tickers) on the Colab GPU runtime will tighten the seed-variability bands and provide out-of-time confirmation across the full universe.</w:t>
      </w:r>
    </w:p>
    <w:p>
      <w:pPr>
        <w:pStyle w:val="Heading2"/>
      </w:pPr>
      <w:r>
        <w:rPr>
          <w:color w:val="000000"/>
        </w:rPr>
        <w:t>Reproducibility</w:t>
      </w:r>
    </w:p>
    <w:p>
      <w:r>
        <w:rPr>
          <w:rFonts w:ascii="Consolas" w:hAnsi="Consolas"/>
          <w:sz w:val="20"/>
        </w:rPr>
        <w:t>python experiments/run_baseline.py</w:t>
        <w:br/>
        <w:t>python experiments/run_probabilistic_agent.py</w:t>
        <w:br/>
        <w:t>python experiments/run_benchmarks.py</w:t>
        <w:br/>
        <w:t>python experiments/run_rule_baselines.py</w:t>
        <w:br/>
        <w:t>python reports/generate_dissertation_report.py</w:t>
        <w:br/>
        <w:t>python reports/build_supervisor_pack.py</w:t>
        <w:br/>
        <w:t>python reports/plot_dissertation_visuals.py</w:t>
      </w:r>
    </w:p>
    <w:p>
      <w:r>
        <w:rPr>
          <w:b w:val="0"/>
          <w:i w:val="0"/>
        </w:rPr>
        <w:t>Artifacts land in experiments/results/ and reports/generated/. The full source is on GitHub at TheFinix13/Dissertation_Sample_Project, with the walkthrough notebook (Dissertation_Walkthrough.ipynb) as the single entry point for someone reading the project for the first time.</w:t>
      </w:r>
    </w:p>
    <w:p>
      <w:r>
        <w:br w:type="page"/>
      </w:r>
    </w:p>
    <w:p>
      <w:pPr>
        <w:pStyle w:val="Heading1"/>
      </w:pPr>
      <w:r>
        <w:rPr>
          <w:color w:val="000000"/>
        </w:rPr>
        <w:t>Future plan</w:t>
      </w:r>
    </w:p>
    <w:p>
      <w:r>
        <w:rPr>
          <w:b w:val="0"/>
          <w:i w:val="0"/>
        </w:rPr>
        <w:t>The phasing below maps onto the form's structure and reflects the revised direction agreed with the supervisor. Each scheduled task is tied to a milestone with a target date. Milestones are also tied to objectives O1 to O4.</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Working period</w:t>
            </w:r>
          </w:p>
        </w:tc>
        <w:tc>
          <w:tcPr>
            <w:tcW w:type="dxa" w:w="3249"/>
          </w:tcPr>
          <w:p>
            <w:r>
              <w:rPr>
                <w:b/>
              </w:rPr>
              <w:t>Tasks to undertake</w:t>
            </w:r>
          </w:p>
        </w:tc>
        <w:tc>
          <w:tcPr>
            <w:tcW w:type="dxa" w:w="3249"/>
          </w:tcPr>
          <w:p>
            <w:r>
              <w:rPr>
                <w:b/>
              </w:rPr>
              <w:t>Milestones (with target dates)</w:t>
            </w:r>
          </w:p>
        </w:tc>
      </w:tr>
      <w:tr>
        <w:tc>
          <w:tcPr>
            <w:tcW w:type="dxa" w:w="3249"/>
          </w:tcPr>
          <w:p>
            <w:r>
              <w:rPr>
                <w:b/>
              </w:rPr>
              <w:t>May 2026 (remaining)</w:t>
            </w:r>
          </w:p>
        </w:tc>
        <w:tc>
          <w:tcPr>
            <w:tcW w:type="dxa" w:w="3249"/>
          </w:tcPr>
          <w:p>
            <w:r>
              <w:t>Reframe the dissertation around drawdown-constrained risk-adjusted return (Abstract, Chapter 1, interim review). Add a Finance / Risk-Management Background sub-chapter covering MV, CVaR/ES, drawdown measures and Sortino, with notation explained. Implement the rule-based stop-loss baseline as a third comparator. Expand the test universe from a single index to a 70-ticker diversified-equity universe and re-run the four-agent comparison at the Phase-1 budget. Add the §5.5.1 extended seed-stability check on a representative eight-ticker sub-universe.</w:t>
            </w:r>
          </w:p>
        </w:tc>
        <w:tc>
          <w:tcPr>
            <w:tcW w:type="dxa" w:w="3249"/>
          </w:tcPr>
          <w:p>
            <w:r>
              <w:t>M1: rule-based baseline checked in and reported alongside the AI agents (mid-May, done). M2: 70-ticker robustness study + extended seed-stability check on representative sub-universe (end of May, done).</w:t>
            </w:r>
          </w:p>
        </w:tc>
      </w:tr>
      <w:tr>
        <w:tc>
          <w:tcPr>
            <w:tcW w:type="dxa" w:w="3249"/>
          </w:tcPr>
          <w:p>
            <w:r>
              <w:rPr>
                <w:b/>
              </w:rPr>
              <w:t>June 2026 (4 weeks)</w:t>
            </w:r>
          </w:p>
        </w:tc>
        <w:tc>
          <w:tcPr>
            <w:tcW w:type="dxa" w:w="3249"/>
          </w:tcPr>
          <w:p>
            <w:r>
              <w:t>Phase-2 extended grid on the full 70-ticker universe at extended budget (10 seeds × 50 000 timesteps × 4 walk-forward folds × 16 bootstrap paths) on Colab GPU runtime. Sector-aware uncertainty-quantile calibration (replace single global threshold with per-sector or per-regime threshold). Begin Chapter 2 (Background) and Chapter 3 (Methodology) full drafts.</w:t>
            </w:r>
          </w:p>
        </w:tc>
        <w:tc>
          <w:tcPr>
            <w:tcW w:type="dxa" w:w="3249"/>
          </w:tcPr>
          <w:p>
            <w:r>
              <w:t>M3: full 70-ticker × 4-fold × 10-seed × 50k-step extended grid (mid-June). M4: sector-aware calibration ablation + Chapter 2 and Chapter 3 first drafts (end of June).</w:t>
            </w:r>
          </w:p>
        </w:tc>
      </w:tr>
      <w:tr>
        <w:tc>
          <w:tcPr>
            <w:tcW w:type="dxa" w:w="3249"/>
          </w:tcPr>
          <w:p>
            <w:r>
              <w:rPr>
                <w:b/>
              </w:rPr>
              <w:t>July 2026 (4-6 weeks)</w:t>
            </w:r>
          </w:p>
        </w:tc>
        <w:tc>
          <w:tcPr>
            <w:tcW w:type="dxa" w:w="3249"/>
          </w:tcPr>
          <w:p>
            <w:r>
              <w:t>Sensitivity sweep on the uncertainty threshold, minimum scale, and max trade fraction. Block-bootstrap data augmentation (Politis and Romano, 1994) to expand the effective training set. Locked final results table. Draft Chapter 5 (Results) and Chapter 1 (Introduction).</w:t>
            </w:r>
          </w:p>
        </w:tc>
        <w:tc>
          <w:tcPr>
            <w:tcW w:type="dxa" w:w="3249"/>
          </w:tcPr>
          <w:p>
            <w:r>
              <w:t>M5: sensitivity and bootstrap results locked (mid-July). M6: Chapters 1, 2, 3 and 5 first drafts (end of July).</w:t>
            </w:r>
          </w:p>
        </w:tc>
      </w:tr>
      <w:tr>
        <w:tc>
          <w:tcPr>
            <w:tcW w:type="dxa" w:w="3249"/>
          </w:tcPr>
          <w:p>
            <w:r>
              <w:rPr>
                <w:b/>
              </w:rPr>
              <w:t>August 2026 (4 weeks)</w:t>
            </w:r>
          </w:p>
        </w:tc>
        <w:tc>
          <w:tcPr>
            <w:tcW w:type="dxa" w:w="3249"/>
          </w:tcPr>
          <w:p>
            <w:r>
              <w:t>Start the paper-trading shadow run via Alpaca early in the month and let it accumulate two weeks of out-of-sample profit-and-loss. Write Chapter 6 (Discussion) and Chapter 7 (Conclusion). Polish figures, integrate supervisor feedback, finalise the dissertation. Code changes from this point are bug-fix only.</w:t>
            </w:r>
          </w:p>
        </w:tc>
        <w:tc>
          <w:tcPr>
            <w:tcW w:type="dxa" w:w="3249"/>
          </w:tcPr>
          <w:p>
            <w:r>
              <w:t>M7: paper-trading shadow run started (early August). M8: full draft to supervisor (mid-August). M9: paper-trading PnL added to results chapter (third week of August). M10: submission-ready version (end of August).</w:t>
            </w:r>
          </w:p>
        </w:tc>
      </w:tr>
      <w:tr>
        <w:tc>
          <w:tcPr>
            <w:tcW w:type="dxa" w:w="3249"/>
          </w:tcPr>
          <w:p>
            <w:r>
              <w:rPr>
                <w:b/>
              </w:rPr>
              <w:t>September 2026</w:t>
            </w:r>
          </w:p>
        </w:tc>
        <w:tc>
          <w:tcPr>
            <w:tcW w:type="dxa" w:w="3249"/>
          </w:tcPr>
          <w:p>
            <w:r>
              <w:t>Submit by 1 September 2026. Viva preparation: slide deck (no more than twelve slides, no more than twenty minutes per the project handbook), demo of the reproducible pipeline, pre-emptive question and answer rehearsal using reports/templates/viva_qa_notes.md.</w:t>
            </w:r>
          </w:p>
        </w:tc>
        <w:tc>
          <w:tcPr>
            <w:tcW w:type="dxa" w:w="3249"/>
          </w:tcPr>
          <w:p>
            <w:r>
              <w:t>M11: viva-ready presentation and demo by viva date.</w:t>
            </w:r>
          </w:p>
        </w:tc>
      </w:tr>
    </w:tbl>
    <w:p>
      <w:pPr>
        <w:pStyle w:val="Heading2"/>
      </w:pPr>
      <w:r>
        <w:rPr>
          <w:color w:val="000000"/>
        </w:rPr>
        <w:t>Risks and mitigations</w:t>
      </w:r>
    </w:p>
    <w:p>
      <w:pPr>
        <w:pStyle w:val="ListBullet"/>
      </w:pPr>
      <w:r>
        <w:t>Compute time. Current runs are CPU-friendly (10 000 PPO timesteps, three seeds). The multi-ticker, walk-forward, ablation and ten-seed grid is larger but still CPU-tractable; runs will be batched overnight and partial-grid results accepted for any interim deliverable. Where the grid is too heavy for the local machine the corresponding runner can be lifted onto a Google Colab GPU runtime without code changes.</w:t>
      </w:r>
    </w:p>
    <w:p>
      <w:pPr>
        <w:pStyle w:val="ListBullet"/>
      </w:pPr>
      <w:r>
        <w:t>Data-API drift. yfinance occasionally changes its column shape. The _close_1d helper used by every runner already normalises this, and the protocol pins explicit dates so a re-pull stays comparable.</w:t>
      </w:r>
    </w:p>
    <w:p>
      <w:pPr>
        <w:pStyle w:val="ListBullet"/>
      </w:pPr>
      <w:r>
        <w:t>Result fragility. The Phase-1 numbers may move under the multi-ticker, walk-forward and ablation work. To guard against over-claiming, results will be reported as median and inter-quartile range across at least ten seeds and across tickers, evaluated on multiple sliding test windows (walk-forward) rather than a single one, and any case where the probabilistic variant fails to beat the rule-based stop-loss comparator or buy-and-hold will be called out explicitly.</w:t>
      </w:r>
    </w:p>
    <w:p>
      <w:pPr>
        <w:pStyle w:val="ListBullet"/>
      </w:pPr>
      <w:r>
        <w:t>Paper-trading dependency. The Alpaca shadow run depends on a working brokerage account and stable market hours. If the API is unavailable for any portion of August, the dissertation will report whatever live profit-and-loss was accumulated up to the cutoff, with the gap explicitly stated.</w:t>
      </w:r>
    </w:p>
    <w:p>
      <w:r>
        <w:br w:type="page"/>
      </w:r>
    </w:p>
    <w:p>
      <w:pPr>
        <w:pStyle w:val="Heading1"/>
      </w:pPr>
      <w:r>
        <w:rPr>
          <w:color w:val="000000"/>
        </w:rPr>
        <w:t>Extenuating circumstances</w:t>
      </w:r>
    </w:p>
    <w:p>
      <w:r>
        <w:rPr>
          <w:b w:val="0"/>
          <w:i/>
        </w:rPr>
        <w:t>[Student to fill in. Either record "None to declare" or describe and indicate that the personal tutor and student-support services have been informed. Do not include medical detail in this document.]</w:t>
      </w:r>
    </w:p>
    <w:p>
      <w:pPr>
        <w:pStyle w:val="Heading1"/>
      </w:pPr>
      <w:r>
        <w:rPr>
          <w:color w:val="000000"/>
        </w:rPr>
        <w:t>Indicative project hours and progress</w:t>
      </w:r>
    </w:p>
    <w:p>
      <w:r>
        <w:rPr>
          <w:b w:val="0"/>
          <w:i w:val="0"/>
        </w:rPr>
        <w:t>Self-assessment of the first one hundred hours allocated to the project. The student should tick exactly one of the following:</w:t>
      </w:r>
    </w:p>
    <w:p>
      <w:pPr>
        <w:pStyle w:val="ListBullet"/>
      </w:pPr>
      <w:r>
        <w:t>[ ]  The work has exceeded the first 100 hours of time allocated.</w:t>
      </w:r>
    </w:p>
    <w:p>
      <w:pPr>
        <w:pStyle w:val="ListBullet"/>
      </w:pPr>
      <w:r>
        <w:t>[X] The work has sufficiently met the first 100 hours.</w:t>
      </w:r>
    </w:p>
    <w:p>
      <w:pPr>
        <w:pStyle w:val="ListBullet"/>
      </w:pPr>
      <w:r>
        <w:t>[ ]  The majority of the first 100 hours have been completed but some time has been lost and will be made up.</w:t>
      </w:r>
    </w:p>
    <w:p>
      <w:pPr>
        <w:pStyle w:val="ListBullet"/>
      </w:pPr>
      <w:r>
        <w:t>[ ]  Engagement in the project has been insufficient and progress is of concern.</w:t>
      </w:r>
    </w:p>
    <w:p>
      <w:r>
        <w:rPr>
          <w:b w:val="0"/>
          <w:i/>
        </w:rPr>
        <w:t>Justification: the reproducible Phase-0 and Phase-1 pipeline, the protocol document, the baseline and probabilistic agents, the benchmarks, the rule-based stop-loss comparator and the generated supervisor pack together support the second tick above.</w:t>
      </w:r>
    </w:p>
    <w:p>
      <w:r>
        <w:br w:type="page"/>
      </w:r>
    </w:p>
    <w:p>
      <w:pPr>
        <w:pStyle w:val="Heading1"/>
      </w:pPr>
      <w:r>
        <w:rPr>
          <w:color w:val="000000"/>
        </w:rPr>
        <w:t>Supervisor's assessment</w:t>
      </w:r>
    </w:p>
    <w:p>
      <w:r>
        <w:rPr>
          <w:b w:val="0"/>
          <w:i/>
        </w:rPr>
        <w:t>The boxes below are reserved for the supervisor's written feedback. The student-completed sections of this document are intended to give the supervisor enough material to assess each item.</w:t>
      </w:r>
    </w:p>
    <w:p>
      <w:r>
        <w:rPr>
          <w:i/>
          <w:color w:val="1F497D"/>
          <w:sz w:val="20"/>
        </w:rPr>
        <w:t>Comments on the project plan and on the student's progress to date:</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p>
      <w:r>
        <w:rPr>
          <w:i/>
          <w:color w:val="1F497D"/>
          <w:sz w:val="20"/>
        </w:rPr>
        <w:t>Comments on the literature review and the framing of the problem:</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p>
      <w:r>
        <w:rPr>
          <w:i/>
          <w:color w:val="1F497D"/>
          <w:sz w:val="20"/>
        </w:rPr>
        <w:t>Comments on the technical progress and the experimental protocol:</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p>
      <w:r>
        <w:rPr>
          <w:i/>
          <w:color w:val="1F497D"/>
          <w:sz w:val="20"/>
        </w:rPr>
        <w:t>Recommendations for the remainder of the project:</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p>
      <w:r>
        <w:rPr>
          <w:i/>
          <w:color w:val="1F497D"/>
          <w:sz w:val="20"/>
        </w:rPr>
        <w:t>Other comments (optional):</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