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Probabilistic Deep Reinforcement Learning</w:t>
        <w:br/>
        <w:t>for Portfolio Risk Analysis</w:t>
      </w:r>
    </w:p>
    <w:p>
      <w:pPr>
        <w:jc w:val="center"/>
      </w:pPr>
      <w:r>
        <w:rPr>
          <w:i/>
          <w:sz w:val="28"/>
        </w:rPr>
        <w:t>Drawdown-constrained portfolio control with an uncertainty-aware reinforcement-learning policy</w:t>
      </w:r>
    </w:p>
    <w:p/>
    <w:p/>
    <w:p/>
    <w:p/>
    <w:p>
      <w:pPr>
        <w:jc w:val="center"/>
      </w:pPr>
      <w:r>
        <w:rPr>
          <w:b/>
          <w:sz w:val="28"/>
        </w:rPr>
        <w:t>Fiyin Akano</w:t>
      </w:r>
    </w:p>
    <w:p>
      <w:pPr>
        <w:jc w:val="center"/>
      </w:pPr>
      <w:r>
        <w:rPr>
          <w:b w:val="0"/>
          <w:sz w:val="24"/>
        </w:rPr>
        <w:t>URN: [INSERT URN]</w:t>
      </w:r>
    </w:p>
    <w:p>
      <w:pPr>
        <w:jc w:val="center"/>
      </w:pPr>
      <w:r>
        <w:rPr>
          <w:b w:val="0"/>
          <w:sz w:val="24"/>
        </w:rPr>
      </w:r>
    </w:p>
    <w:p>
      <w:pPr>
        <w:jc w:val="center"/>
      </w:pPr>
      <w:r>
        <w:rPr>
          <w:b w:val="0"/>
          <w:sz w:val="24"/>
        </w:rPr>
        <w:t>EEEM004 — MSc Dissertation</w:t>
      </w:r>
    </w:p>
    <w:p>
      <w:pPr>
        <w:jc w:val="center"/>
      </w:pPr>
      <w:r>
        <w:rPr>
          <w:b w:val="0"/>
          <w:sz w:val="24"/>
        </w:rPr>
        <w:t>Department of Electrical and Electronic Engineering</w:t>
      </w:r>
    </w:p>
    <w:p>
      <w:pPr>
        <w:jc w:val="center"/>
      </w:pPr>
      <w:r>
        <w:rPr>
          <w:b w:val="0"/>
          <w:sz w:val="24"/>
        </w:rPr>
        <w:t>University of Surrey</w:t>
      </w:r>
    </w:p>
    <w:p>
      <w:pPr>
        <w:jc w:val="center"/>
      </w:pPr>
      <w:r>
        <w:rPr>
          <w:b w:val="0"/>
          <w:sz w:val="24"/>
        </w:rPr>
      </w:r>
    </w:p>
    <w:p>
      <w:pPr>
        <w:jc w:val="center"/>
      </w:pPr>
      <w:r>
        <w:rPr>
          <w:b w:val="0"/>
          <w:sz w:val="24"/>
        </w:rPr>
        <w:t>Supervisor: [INSERT SUPERVISOR]</w:t>
      </w:r>
    </w:p>
    <w:p>
      <w:pPr>
        <w:jc w:val="center"/>
      </w:pPr>
      <w:r>
        <w:rPr>
          <w:b w:val="0"/>
          <w:sz w:val="24"/>
        </w:rPr>
        <w:t>Second supervisor: [INSERT IF APPLICABLE]</w:t>
      </w:r>
    </w:p>
    <w:p>
      <w:pPr>
        <w:jc w:val="center"/>
      </w:pPr>
      <w:r>
        <w:rPr>
          <w:b w:val="0"/>
          <w:sz w:val="24"/>
        </w:rPr>
      </w:r>
    </w:p>
    <w:p>
      <w:pPr>
        <w:jc w:val="center"/>
      </w:pPr>
      <w:r>
        <w:rPr>
          <w:b/>
          <w:sz w:val="24"/>
        </w:rPr>
        <w:t>September 2026 (target submission)</w:t>
      </w:r>
    </w:p>
    <w:p>
      <w:r>
        <w:br w:type="page"/>
      </w:r>
    </w:p>
    <w:p>
      <w:pPr>
        <w:pStyle w:val="Heading1"/>
      </w:pPr>
      <w:r>
        <w:rPr>
          <w:color w:val="000000"/>
        </w:rPr>
        <w:t>Abstract</w:t>
      </w:r>
    </w:p>
    <w:p>
      <w:r>
        <w:rPr>
          <w:b w:val="0"/>
          <w:i w:val="0"/>
        </w:rPr>
        <w:t>A risk-constrained investor — a pension fund, a CTA hedge fund, a family office, or a behaviourally loss-averse retail account — has to satisfy two requirements at once: not lose more than a stated percentage from peak, and earn a return above cash. Mean-variance optimisation cannot solve this jointly because it is single-period and blind to path-dependent loss. Trailing stop-losses fire after the drawdown has already happened and forfeit the recovery. Risk parity targets volatility rather than drawdown. The gap is real, the mandates that create it are billions of pounds under management, and the literature on how a sequential decision policy might fill that gap is thin. This dissertation studies one candidate. A Proximal Policy Optimization (PPO) agent is paired with a DeepAR-style probabilistic long short-term memory network that emits a Gaussian over the next-step log return; the predictive standard deviation is normalised to a unit-interval uncertainty score and is fed both into the PPO policy state and into a hard guard on new long-side actions. The combined system is evaluated against three named comparators on a single fully reproducible protocol: passive buy-and-hold, a rule-based trailing stop-loss policy of the kind a discretionary investor would actually use, and a baseline PPO that sees no uncertainty signal. Fixed train, validation and test splits over US equity index data (2009 to 2025), three random seeds in the headline study and a metric set covering Sharpe ratio, maximum drawdown, the 95 % Value-at-Risk violation rate, and both terminal and path versions of the capital-preservation ratio. On the held-out 2022–2025 test window the probabilistic agent has the highest Sharpe (0.85), the highest terminal value, and the smallest path drawdown of any policy that participates in market upside enough to beat cash. Crucially, the rule-based stop-losses end with adequate terminal preservation but incur path drawdowns larger than buy-and-hold's: reactive stops fire late and the moving-average re-entry sits in cash through much of the recovery. The contribution claimed is deliberately modest — a careful empirical study of a specific combination on a reproducible protocol with the rule-based comparator that the DRL-finance literature mostly leaves out, not a new algorithm. The Phase-1 study runs the full four-agent comparison on a 70-ticker diversified-equity test universe (41 single names + 29 ETFs) at three seeds and one test window, with a four-fold walk-forward subset on a CPU-feasible four-ticker slice; the extended-budget grid (10 seeds × 50 000 timesteps × four folds × 32 bootstrap paths) on the full universe is scheduled for the Colab GPU runtime in Phase 2 and is described in Chapter 7 with month-level target dates.</w:t>
      </w:r>
    </w:p>
    <w:p>
      <w:r>
        <w:rPr>
          <w:b w:val="0"/>
          <w:i/>
        </w:rPr>
        <w:t>Keywords: reinforcement learning, portfolio management, drawdown control, constrained optimisation, deep learning, uncertainty quantification, risk management, capital preservation, PPO, DeepAR.</w:t>
      </w:r>
    </w:p>
    <w:p>
      <w:r>
        <w:br w:type="page"/>
      </w:r>
    </w:p>
    <w:p>
      <w:pPr>
        <w:pStyle w:val="Heading1"/>
      </w:pPr>
      <w:r>
        <w:rPr>
          <w:color w:val="000000"/>
        </w:rPr>
        <w:t>Acknowledgements</w:t>
      </w:r>
    </w:p>
    <w:p>
      <w:r>
        <w:rPr>
          <w:b w:val="0"/>
          <w:i w:val="0"/>
        </w:rPr>
        <w:t>[INSERT ACKNOWLEDGEMENTS]</w:t>
      </w:r>
    </w:p>
    <w:p>
      <w:r>
        <w:br w:type="page"/>
      </w:r>
    </w:p>
    <w:p>
      <w:pPr>
        <w:pStyle w:val="Heading1"/>
      </w:pPr>
      <w:r>
        <w:rPr>
          <w:color w:val="000000"/>
        </w:rPr>
        <w:t>Contents</w:t>
      </w:r>
    </w:p>
    <w:p>
      <w:r>
        <w:rPr>
          <w:b w:val="0"/>
          <w:i/>
        </w:rPr>
        <w:t>Generate this in Word (References → Table of Contents → Automatic Table 1) once the headings are reviewed.</w:t>
      </w:r>
    </w:p>
    <w:p>
      <w:r>
        <w:br w:type="page"/>
      </w:r>
    </w:p>
    <w:p>
      <w:pPr>
        <w:pStyle w:val="Heading1"/>
      </w:pPr>
      <w:r>
        <w:rPr>
          <w:color w:val="000000"/>
        </w:rPr>
        <w:t>Chapter 1 — Introduction</w:t>
      </w:r>
    </w:p>
    <w:p>
      <w:pPr>
        <w:pStyle w:val="Heading2"/>
      </w:pPr>
      <w:r>
        <w:rPr>
          <w:color w:val="000000"/>
        </w:rPr>
        <w:t>1.1 Background and motivation</w:t>
      </w:r>
    </w:p>
    <w:p>
      <w:r>
        <w:rPr>
          <w:b w:val="0"/>
          <w:i w:val="0"/>
        </w:rPr>
        <w:t>The motivating problem for this dissertation is not a theoretical curiosity. It is a constraint that real institutional investors have written into their legal documents. A typical Commodity Trading Advisor (CTA) hedge fund prospectus contains a soft drawdown limit at 10 % from peak, at which point investors gain a redemption right, and a hard drawdown limit at 20 %, at which point the fund is forcibly liquidated. Pension boards monitor the drawdown of funded status and remove trustees over breaches, not over volatility. Bridgewater's All Weather, the largest single risk-parity fund in the world at over 150 billion US dollars at peak, is publicly described by its founder as designed to lose less in any environment. Family-office Investment Policy Statements typically express their risk tolerance as a maximum-loss percentage rather than a volatility target. And Kahneman and Tversky's (1979) prospect-theory result establishes that retail investors feel losses about twice as painfully as equivalent gains, which explains why panic-selling is triggered by drawdown rather than by variance. In every one of these settings the binding constraint is the same shape: do not lose more than X percent from peak, and earn a return above cash.</w:t>
      </w:r>
    </w:p>
    <w:p>
      <w:r>
        <w:rPr>
          <w:b w:val="0"/>
          <w:i w:val="0"/>
        </w:rPr>
        <w:t>The standard quantitative toolkit is not a clean fit to that constraint. Markowitz (1952) mean-variance optimisation is single-period and treats upside and downside variance symmetrically, so two portfolios with identical mean and variance can have wildly different maximum drawdowns. Value-at-Risk and expected shortfall (Rockafellar and Uryasev, 2000) measure tail loss within a single period and do not constrain the path of cumulative losses. The Sortino ratio (Sortino and Price, 1994) trims the symmetry of variance but is still a per-period measure. The drawdown literature itself — Magdon-Ismail and Atiya (2004) on the maximum drawdown of Brownian motion, Chekhlov, Uryasev and Zabarankin (2005) on Conditional Drawdown-at-Risk — develops a path-dependent framework that does match the institutional constraint, but the resulting optimisation programmes are non-convex and static: they pick one weight vector and stick with it. None of these tools can dynamically say, at hour fifty-three of a regime shift, that the portfolio is at four per cent drawdown, the forecaster's confidence has just collapsed, and the position should therefore be trimmed before another bad day pushes the constraint.</w:t>
      </w:r>
    </w:p>
    <w:p>
      <w:r>
        <w:rPr>
          <w:b w:val="0"/>
          <w:i w:val="0"/>
        </w:rPr>
        <w:t>In the last decade deep reinforcement learning (DRL) has emerged as a flexible alternative. Rather than solve an analytic optimisation under a fixed constraint set, a DRL agent learns a control policy directly from interaction with a market environment. Jiang et al. (2017), Yang et al. (2020) and the FinRL library of Liu et al. (2021) have shown that policy-gradient methods can be made to work on equities, ETFs and cryptocurrencies. Two practical gaps in this body of work motivate the present dissertation. The first is that the reward signal almost always rewards portfolio return and lets risk in only indirectly, through volatility-adjusted reward shaping or by reading the Sharpe ratio off after the fact. As a result the trained policy carries no native notion of the path-dependent drawdown constraint that a real mandate would impose. The second is that the policy is trained on point-estimate features and is never told how confident the underlying forecaster is in its own prediction. When the market enters a regime where forecast variance spikes the agent has no native way to be cautious. The opportunity this dissertation pursues is to add the missing pieces back: a drawdown-constrained framing on one side and an explicit uncertainty signal on the other, and to measure the resulting policy against both the static optimisation tradition and the practitioner reality of fixed-rule overlays such as trailing stop-losses.</w:t>
      </w:r>
    </w:p>
    <w:p>
      <w:pPr>
        <w:pStyle w:val="Heading2"/>
      </w:pPr>
      <w:r>
        <w:rPr>
          <w:color w:val="000000"/>
        </w:rPr>
        <w:t>1.2 Problem statement</w:t>
      </w:r>
    </w:p>
    <w:p>
      <w:r>
        <w:rPr>
          <w:b w:val="0"/>
          <w:i w:val="0"/>
        </w:rPr>
        <w:t>The question this dissertation addresses can be stated in one sentence. A risk-constrained investor is required to keep the portfolio's loss from peak below a stated drawdown floor while still earning a return above cash, and the dissertation asks whether a sequential-decision policy that consumes its own forecaster's confidence can sit on a more attractive point of the return-versus-drawdown trade-off than the static optimisations and reactive rules that are the current state of practice.</w:t>
      </w:r>
    </w:p>
    <w:p>
      <w:r>
        <w:rPr>
          <w:b w:val="0"/>
          <w:i w:val="0"/>
        </w:rPr>
        <w:t>The current state of practice has three components. The static-optimisation tradition (Markowitz mean-variance, risk parity, Conditional Drawdown-at-Risk) picks one weight vector and does not adapt to within-window regime change. The reactive-rule tradition (trailing stop-losses with moving-average re-entry) is easy to implement, easy to explain and operationally common, but the stop fires after the drawdown has already happened and the re-entry rule typically forfeits the recovery; Section 5 shows that two trailing-stop variants on the test window incur path drawdowns larger than passive buy-and-hold's. The deep-reinforcement-learning tradition for portfolio management (Jiang et al., 2017; Yang et al., 2020; Liu et al., 2021) trains policies on point-estimate features and rewards portfolio return, with risk entering only through reward shaping, so the trained policy has no native drawdown-constraint awareness and no way to be cautious when its own forecaster is unsure.</w:t>
      </w:r>
    </w:p>
    <w:p>
      <w:r>
        <w:rPr>
          <w:b w:val="0"/>
          <w:i w:val="0"/>
        </w:rPr>
        <w:t>Against this state of practice the candidate evaluated in this dissertation is a Proximal Policy Optimization (PPO) agent that conditions on the predictive uncertainty produced by a DeepAR-style probabilistic LSTM. The uncertainty signal enters in two places: as an extra coordinate of the policy state, and as a hard guard that blocks new long-side trades when the score exceeds a quantile threshold. The candidate is measured against three named comparators on the same protocol: passive buy-and-hold, a rule-based trailing stop-loss policy of the kind a discretionary investor would actually use, and a baseline PPO that sees no uncertainty signal.</w:t>
      </w:r>
    </w:p>
    <w:p>
      <w:r>
        <w:rPr>
          <w:b w:val="0"/>
          <w:i w:val="0"/>
        </w:rPr>
        <w:t>Formally, the agent is asked to maximise expected risk-adjusted return (in Sharpe-ratio units) subject to a capital-preservation constraint, defined as the ratio of terminal portfolio value to the running high-watermark not falling below a stated floor (taken as 0.95 in the headline experiment), with per-step turnover bounded by a maximum trade fraction and trades subject to a linear transaction cost. The exact constrained objective and its mapping into the per-step reward is set out in Chapter 3. The headline result is the joint of the two halves: meeting the preservation floor on its own is trivial (an all-cash policy achieves perfect preservation and zero return), and earning a high Sharpe ratio on its own ignores the constraint, so the design is judged on whether it satisfies both at once on a test window containing real macro shocks.</w:t>
      </w:r>
    </w:p>
    <w:p>
      <w:pPr>
        <w:pStyle w:val="Heading2"/>
      </w:pPr>
      <w:r>
        <w:rPr>
          <w:color w:val="000000"/>
        </w:rPr>
        <w:t>1.3 Aims and objectives</w:t>
      </w:r>
    </w:p>
    <w:p>
      <w:pPr>
        <w:pStyle w:val="ListBullet"/>
      </w:pPr>
      <w:r>
        <w:t>O1. To study whether an explicit forecast-uncertainty signal, modelled with a DeepAR-style probabilistic LSTM and consumed by a PPO policy as both a state feature and a hard guard on new long-side actions, allows the agent to sit closer to the return-versus-drawdown frontier than uncertainty-blind alternatives on US equity index data.</w:t>
      </w:r>
    </w:p>
    <w:p>
      <w:pPr>
        <w:pStyle w:val="ListBullet"/>
      </w:pPr>
      <w:r>
        <w:t>O2. To evaluate the resulting policy on a held-out window containing real macro shocks (2022 to 2025) against three named comparators: passive buy-and-hold, a rule-based stop-loss policy, and a baseline PPO with no uncertainty signal. The headline criteria are Sharpe ratio, terminal value relative to buy-and-hold, and the capital-preservation ratio against the running high-watermark.</w:t>
      </w:r>
    </w:p>
    <w:p>
      <w:pPr>
        <w:pStyle w:val="ListBullet"/>
      </w:pPr>
      <w:r>
        <w:t>O3. To pin down a fully reproducible evaluation protocol of fixed splits, fixed seeds, scripted artefacts and a shared metric set, so that any comparison made in this dissertation is genuinely like-for-like and can be reproduced by an external reader from the public repository in a single command sequence.</w:t>
      </w:r>
    </w:p>
    <w:p>
      <w:pPr>
        <w:pStyle w:val="ListBullet"/>
      </w:pPr>
      <w:r>
        <w:t>O4. To take an honest position, on the strength of O1 to O3, on when an uncertainty signal earns a place in a portfolio control loop and, just as important, on when it does not.</w:t>
      </w:r>
    </w:p>
    <w:p>
      <w:pPr>
        <w:pStyle w:val="Heading2"/>
      </w:pPr>
      <w:r>
        <w:rPr>
          <w:color w:val="000000"/>
        </w:rPr>
        <w:t>1.4 Contributions</w:t>
      </w:r>
    </w:p>
    <w:p>
      <w:r>
        <w:rPr>
          <w:b w:val="0"/>
          <w:i w:val="0"/>
        </w:rPr>
        <w:t>The contributions claimed in this dissertation are deliberately modest. Each individual ingredient (PPO, DeepAR-style probabilistic forecasting, uncertainty-aware reinforcement learning) already exists in the literature. What the dissertation adds is a careful empirical study of a specific combination of those ingredients, evaluated against named comparators on a fully reproducible protocol.</w:t>
      </w:r>
    </w:p>
    <w:p>
      <w:pPr>
        <w:pStyle w:val="ListBullet"/>
      </w:pPr>
      <w:r>
        <w:t>An uncertainty-aware trading environment in which the per-step trade size is shrunk by (1 - u_t) with a floor s_min, and new long-side trades are blocked when the uncertainty score exceeds a quantile threshold tau (Section 3.5).</w:t>
      </w:r>
    </w:p>
    <w:p>
      <w:pPr>
        <w:pStyle w:val="ListBullet"/>
      </w:pPr>
      <w:r>
        <w:t>A fully reproducible end-to-end evaluation protocol with fixed splits, three random seeds and a metric set in which the headline criterion is the joint of Sharpe ratio and the capital-preservation ratio against the running high-watermark (Section 3.7).</w:t>
      </w:r>
    </w:p>
    <w:p>
      <w:pPr>
        <w:pStyle w:val="ListBullet"/>
      </w:pPr>
      <w:r>
        <w:t>A controlled empirical comparison against three named alternatives, namely passive buy-and-hold, a rule-based stop-loss policy, and a baseline PPO with no uncertainty signal, on the same protocol (Chapter 5).</w:t>
      </w:r>
    </w:p>
    <w:p>
      <w:pPr>
        <w:pStyle w:val="ListBullet"/>
      </w:pPr>
      <w:r>
        <w:t>A public, runnable Jupyter walkthrough that loads the dataset, trains the probabilistic forecaster, prints the uncertainty values, runs the agents and the rule-based comparator, and renders the comparison table and equity curves with embedded outputs (Chapter 5 and Appendix A).</w:t>
      </w:r>
    </w:p>
    <w:p>
      <w:pPr>
        <w:pStyle w:val="ListBullet"/>
      </w:pPr>
      <w:r>
        <w:t>A discussion that calls out the maximum-drawdown number as misleading when read in isolation, argues for the joint of Sharpe ratio and the preservation ratio as the metric pair that actually matches the stated objective, and is explicit about the limits of a three-seed × 10 000-timestep Phase-1 budget on the 70-ticker diversified-equity universe (Sections 6.2 to 6.4).</w:t>
      </w:r>
    </w:p>
    <w:p>
      <w:pPr>
        <w:pStyle w:val="Heading2"/>
      </w:pPr>
      <w:r>
        <w:rPr>
          <w:color w:val="000000"/>
        </w:rPr>
        <w:t>1.5 Dissertation structure</w:t>
      </w:r>
    </w:p>
    <w:p>
      <w:r>
        <w:rPr>
          <w:b w:val="0"/>
          <w:i w:val="0"/>
        </w:rPr>
        <w:t>Chapter 2 reviews the relevant background: modern portfolio theory, the policy-gradient family of RL algorithms (with PPO singled out), prior DRL work in finance, probabilistic forecasting with DeepAR-style networks, and methods for uncertainty quantification in deep learning. Chapter 3 sets the problem out as a Markov decision process, states the constrained objective, derives the probabilistic forecaster, defines the trading environment, and sets out the exact mathematical difference between the baseline PPO, the rule-based stop-loss comparator, and the probabilistic agent. Chapter 4 covers the implementation: data pipeline, training procedure and reporting layer. Chapter 5 presents the experimental setup and the results on the held-out test window, including the rule-based comparator, the 70-ticker diversified-equity-universe robustness study, and the §5.5.1 extended-budget seed-stability evidence (10 random seeds × 50 000 PPO timesteps per cell, 80 cells in total, on a representative subset of the universe). Chapter 6 reads the results carefully, including the trade-offs, the walk-forward generalisation evidence and the limits of the evidence. Chapter 7 concludes and points at future work.</w:t>
      </w:r>
    </w:p>
    <w:p>
      <w:r>
        <w:br w:type="page"/>
      </w:r>
    </w:p>
    <w:p>
      <w:pPr>
        <w:pStyle w:val="Heading1"/>
      </w:pPr>
      <w:r>
        <w:rPr>
          <w:color w:val="000000"/>
        </w:rPr>
        <w:t>Chapter 2 — Background and Related Work</w:t>
      </w:r>
    </w:p>
    <w:p>
      <w:pPr>
        <w:pStyle w:val="Heading2"/>
      </w:pPr>
      <w:r>
        <w:rPr>
          <w:color w:val="000000"/>
        </w:rPr>
        <w:t>2.1 Risk-management objectives in portfolio practice</w:t>
      </w:r>
    </w:p>
    <w:p>
      <w:r>
        <w:rPr>
          <w:b w:val="0"/>
          <w:i w:val="0"/>
        </w:rPr>
        <w:t>Quantitative portfolio management has produced a sequence of risk-aware objective functions over the last seventy years. This section sets out the four families that are most often used in practice, gives the formal definition of each with every symbol explained, and notes which assumptions each family makes and where those assumptions are known to bind. Section 2.1.5 then states explicitly which of these objectives is closest to the constrained problem solved in this dissertation, and why.</w:t>
      </w:r>
    </w:p>
    <w:p>
      <w:pPr>
        <w:pStyle w:val="Heading3"/>
      </w:pPr>
      <w:r>
        <w:rPr>
          <w:color w:val="000000"/>
        </w:rPr>
        <w:t>2.1.1 Mean-variance optimisation (Markowitz, 1952)</w:t>
      </w:r>
    </w:p>
    <w:p>
      <w:r>
        <w:rPr>
          <w:b w:val="0"/>
          <w:i w:val="0"/>
        </w:rPr>
        <w:t>What the paper did. Markowitz formalised portfolio choice as a quadratic optimisation in the mean and variance of returns. Given N assets with vector of expected returns mu and covariance matrix Sigma, the minimum-variance portfolio for a target expected return mu* solves the quadratic programme below.</w:t>
      </w:r>
    </w:p>
    <w:p>
      <w:pPr>
        <w:jc w:val="center"/>
      </w:pPr>
      <w:r>
        <w:drawing>
          <wp:inline xmlns:a="http://schemas.openxmlformats.org/drawingml/2006/main" xmlns:pic="http://schemas.openxmlformats.org/drawingml/2006/picture">
            <wp:extent cx="4114800" cy="340188"/>
            <wp:docPr id="1" name="Picture 1"/>
            <wp:cNvGraphicFramePr>
              <a:graphicFrameLocks noChangeAspect="1"/>
            </wp:cNvGraphicFramePr>
            <a:graphic>
              <a:graphicData uri="http://schemas.openxmlformats.org/drawingml/2006/picture">
                <pic:pic>
                  <pic:nvPicPr>
                    <pic:cNvPr id="0" name="eq_mean_variance.png"/>
                    <pic:cNvPicPr/>
                  </pic:nvPicPr>
                  <pic:blipFill>
                    <a:blip r:embed="rId9"/>
                    <a:stretch>
                      <a:fillRect/>
                    </a:stretch>
                  </pic:blipFill>
                  <pic:spPr>
                    <a:xfrm>
                      <a:off x="0" y="0"/>
                      <a:ext cx="4114800" cy="340188"/>
                    </a:xfrm>
                    <a:prstGeom prst="rect"/>
                  </pic:spPr>
                </pic:pic>
              </a:graphicData>
            </a:graphic>
          </wp:inline>
        </w:drawing>
      </w:r>
    </w:p>
    <w:p>
      <w:pPr>
        <w:jc w:val="center"/>
      </w:pPr>
      <w:r>
        <w:rPr>
          <w:i/>
          <w:sz w:val="20"/>
        </w:rPr>
        <w:t>Equation 2.1 — Mean-variance portfolio optimisation (Markowitz, 1952).</w:t>
      </w:r>
    </w:p>
    <w:p>
      <w:r>
        <w:rPr>
          <w:b w:val="0"/>
          <w:i w:val="0"/>
        </w:rPr>
        <w:t>The vector w in R^N is the portfolio weights, with w_i the fraction of wealth allocated to asset i. The vector mu in R^N collects the expected per-period returns of the N assets, with mu_i = E[r_i]. The matrix Sigma in R^{NxN} is the return covariance matrix, with Sigma_{ij} = Cov(r_i, r_j); the diagonal entries Sigma_{ii} are the per-asset variances. The objective w^T Sigma w is the variance of the portfolio's return. The first constraint w^T mu = mu^* fixes the target expected return; the second w^T 1 = 1 enforces full investment; the third w &gt;= 0 disallows short positions, which can be relaxed. Sweeping mu^* over its feasible range traces out the efficient frontier: the locus of portfolios that achieve the lowest variance for any given expected return.</w:t>
      </w:r>
    </w:p>
    <w:p>
      <w:r>
        <w:rPr>
          <w:b w:val="0"/>
          <w:i w:val="0"/>
        </w:rPr>
        <w:t>Why the paper did it. Before 1952 the practitioner default was Graham-style fundamental selection of individual securities followed by ad-hoc diversification. Markowitz's mathematical contribution was to show that diversification can be made operational and quantitative: under the mean-variance objective the covariance structure of returns is the binding determinant of portfolio risk, not the volatility of the constituent assets in isolation, and a portfolio manager should optimise the joint of return and variance rather than each in turn. This is the conceptual move that turned portfolio management from a qualitative discipline into a quantitative one.</w:t>
      </w:r>
    </w:p>
    <w:p>
      <w:pPr>
        <w:pStyle w:val="ListBullet"/>
      </w:pPr>
      <w:r>
        <w:t>Advantages. The optimisation is a convex quadratic programme that is solved exactly in milliseconds, the efficient frontier admits a closed-form parametric description in the unconstrained case, and the framework gives a single-number ranking (Sharpe ratio) that has become the default communication of risk-adjusted performance. It is the foundation of every academic and industrial extension of portfolio theory.</w:t>
      </w:r>
    </w:p>
    <w:p>
      <w:pPr>
        <w:pStyle w:val="ListBullet"/>
      </w:pPr>
      <w:r>
        <w:t>Disadvantages. The framework assumes the joint return distribution is stationary with known mu and Sigma, but in practice both have to be estimated on a finite training window. The resulting weights are notoriously sensitive to estimation error: small changes in mu can produce large rebalancings in w, a phenomenon Michaud (1989) labelled "error-maximising" portfolios. The variance objective penalises upside and downside deviations symmetrically, which is conceptually wrong for a long-only mandate where upside volatility is desirable. And by being single-period the framework ignores path-dependent properties of the equity curve such as drawdowns, which are the constraint that institutional mandates actually bind on.</w:t>
      </w:r>
    </w:p>
    <w:p>
      <w:pPr>
        <w:pStyle w:val="ListBullet"/>
      </w:pPr>
      <w:r>
        <w:t>Fixes / extensions in the literature. Black and Litterman (1992) reduce estimation error by shrinking mu towards an equilibrium prior derived from the market portfolio. Ledoit and Wolf (2003) shrink Sigma towards a structured target. The downside-only measures of §2.1.4 (Sortino) replace symmetric variance with downside deviation. The tail-loss measures of §2.1.2 (VaR / ES) replace variance entirely with a tail quantile. The drawdown measures of §2.1.3 (MDD / Calmar / CDaR) replace single-period variance with a path-dependent loss-from-peak. This dissertation positions itself in the last family, with the additional move of using a sequential reinforcement-learning policy rather than a one-shot static optimisation.</w:t>
      </w:r>
    </w:p>
    <w:p>
      <w:pPr>
        <w:pStyle w:val="ListBullet"/>
      </w:pPr>
      <w:r>
        <w:t>Why it matters here. Mean-variance is reported in §5 alongside the path-dependent metrics so the reader can apply whichever objective matches their mandate. It is not the dissertation's headline objective because, on a 70-ticker test universe over a four-year window with a 2022 macro shock, path-dependent drawdown is what binds; a mean-variance optimiser sees no difference between a -25 % path drawdown that recovers and a smooth -5 % linear loss with the same variance.</w:t>
      </w:r>
    </w:p>
    <w:p>
      <w:pPr>
        <w:pStyle w:val="Heading3"/>
      </w:pPr>
      <w:r>
        <w:rPr>
          <w:color w:val="000000"/>
        </w:rPr>
        <w:t>2.1.2 Value-at-Risk and expected shortfall (Rockafellar and Uryasev, 2000)</w:t>
      </w:r>
    </w:p>
    <w:p>
      <w:r>
        <w:rPr>
          <w:b w:val="0"/>
          <w:i w:val="0"/>
        </w:rPr>
        <w:t>What the paper did. Value-at-Risk (VaR) is the tail-quantile of the portfolio loss distribution, and expected shortfall (ES, also known as conditional Value-at-Risk or CVaR) is the average loss in the tail beyond the VaR quantile. Rockafellar and Uryasev (2000) made two related contributions. First, they wrote down a convex optimisation programme whose minimiser is the CVaR of the portfolio's loss distribution at a chosen confidence level, sidestepping the need to first compute VaR and then estimate a conditional expectation. Second, they showed that under empirical (scenario-based) loss distributions this programme reduces to a linear programme that is solvable in seconds with off-the-shelf solvers, putting CVaR-constrained portfolio optimisation on the same computational footing as mean-variance.</w:t>
      </w:r>
    </w:p>
    <w:p>
      <w:pPr>
        <w:jc w:val="center"/>
      </w:pPr>
      <w:r>
        <w:drawing>
          <wp:inline xmlns:a="http://schemas.openxmlformats.org/drawingml/2006/main" xmlns:pic="http://schemas.openxmlformats.org/drawingml/2006/picture">
            <wp:extent cx="4114800" cy="373265"/>
            <wp:docPr id="2" name="Picture 2"/>
            <wp:cNvGraphicFramePr>
              <a:graphicFrameLocks noChangeAspect="1"/>
            </wp:cNvGraphicFramePr>
            <a:graphic>
              <a:graphicData uri="http://schemas.openxmlformats.org/drawingml/2006/picture">
                <pic:pic>
                  <pic:nvPicPr>
                    <pic:cNvPr id="0" name="eq_var.png"/>
                    <pic:cNvPicPr/>
                  </pic:nvPicPr>
                  <pic:blipFill>
                    <a:blip r:embed="rId10"/>
                    <a:stretch>
                      <a:fillRect/>
                    </a:stretch>
                  </pic:blipFill>
                  <pic:spPr>
                    <a:xfrm>
                      <a:off x="0" y="0"/>
                      <a:ext cx="4114800" cy="373265"/>
                    </a:xfrm>
                    <a:prstGeom prst="rect"/>
                  </pic:spPr>
                </pic:pic>
              </a:graphicData>
            </a:graphic>
          </wp:inline>
        </w:drawing>
      </w:r>
    </w:p>
    <w:p>
      <w:pPr>
        <w:jc w:val="center"/>
      </w:pPr>
      <w:r>
        <w:rPr>
          <w:i/>
          <w:sz w:val="20"/>
        </w:rPr>
        <w:t>Equation 2.2 — Value-at-Risk at confidence level alpha.</w:t>
      </w:r>
    </w:p>
    <w:p>
      <w:pPr>
        <w:jc w:val="center"/>
      </w:pPr>
      <w:r>
        <w:drawing>
          <wp:inline xmlns:a="http://schemas.openxmlformats.org/drawingml/2006/main" xmlns:pic="http://schemas.openxmlformats.org/drawingml/2006/picture">
            <wp:extent cx="4114800" cy="458938"/>
            <wp:docPr id="3" name="Picture 3"/>
            <wp:cNvGraphicFramePr>
              <a:graphicFrameLocks noChangeAspect="1"/>
            </wp:cNvGraphicFramePr>
            <a:graphic>
              <a:graphicData uri="http://schemas.openxmlformats.org/drawingml/2006/picture">
                <pic:pic>
                  <pic:nvPicPr>
                    <pic:cNvPr id="0" name="eq_expected_shortfall.png"/>
                    <pic:cNvPicPr/>
                  </pic:nvPicPr>
                  <pic:blipFill>
                    <a:blip r:embed="rId11"/>
                    <a:stretch>
                      <a:fillRect/>
                    </a:stretch>
                  </pic:blipFill>
                  <pic:spPr>
                    <a:xfrm>
                      <a:off x="0" y="0"/>
                      <a:ext cx="4114800" cy="458938"/>
                    </a:xfrm>
                    <a:prstGeom prst="rect"/>
                  </pic:spPr>
                </pic:pic>
              </a:graphicData>
            </a:graphic>
          </wp:inline>
        </w:drawing>
      </w:r>
    </w:p>
    <w:p>
      <w:pPr>
        <w:jc w:val="center"/>
      </w:pPr>
      <w:r>
        <w:rPr>
          <w:i/>
          <w:sz w:val="20"/>
        </w:rPr>
        <w:t>Equation 2.3 — Expected shortfall (also known as conditional Value-at-Risk).</w:t>
      </w:r>
    </w:p>
    <w:p>
      <w:r>
        <w:rPr>
          <w:b w:val="0"/>
          <w:i w:val="0"/>
        </w:rPr>
        <w:t>L is the random portfolio loss over a fixed horizon (one day, one week, one month, depending on the mandate); alpha in (0, 1) is the confidence level; VaR_alpha(L) is the loss exceeded with probability at most 1 - alpha; and ES_alpha(L) is the average loss in the (1 - alpha)-tail of the distribution.</w:t>
      </w:r>
    </w:p>
    <w:p>
      <w:r>
        <w:rPr>
          <w:b w:val="0"/>
          <w:i w:val="0"/>
        </w:rPr>
        <w:t>Why the paper did it. By the late 1990s VaR had been adopted by major banks as the regulatory tail-loss measure (Basel I market-risk amendment, 1996), but Artzner et al. (1999) had just shown that VaR is not coherent: it can fail sub-additivity, meaning a diversified portfolio can have a higher VaR than the sum of its components' VaRs. Practitioners needed a coherent alternative that was also tractable to optimise. ES / CVaR was already known to be coherent; Rockafellar and Uryasev's contribution was to make it operationally tractable.</w:t>
      </w:r>
    </w:p>
    <w:p>
      <w:pPr>
        <w:pStyle w:val="ListBullet"/>
      </w:pPr>
      <w:r>
        <w:t>Advantages. Coherent (sub-additive, monotonic, positively homogeneous, translation-invariant); convex in the portfolio weights, which makes it directly compatible with constrained portfolio optimisation under additional linear or convex constraints; sensitive to the shape of the tail beyond the VaR quantile, unlike VaR itself; reduces to a linear programme under empirical scenarios. Mean-CVaR optimisation has therefore largely replaced mean-VaR in regulated settings (Basel III for banks; Solvency II for insurers).</w:t>
      </w:r>
    </w:p>
    <w:p>
      <w:pPr>
        <w:pStyle w:val="ListBullet"/>
      </w:pPr>
      <w:r>
        <w:t>Disadvantages. Single-period: VaR and ES describe the loss distribution over one fixed horizon and are silent on the path of the equity curve between rebalancing dates. They will rate identically a smooth -10 % loss in a single step and a -25 % drawdown that recovers to a -10 % loss by the rebalancing date, even though the second is the one that breaks pension-fund mandates and triggers margin calls. Estimation of the tail itself is also data-hungry: at alpha = 0.99 the tail contains 1 % of the data, so even ten years of daily returns gives only ~25 observations on which to estimate the conditional expectation.</w:t>
      </w:r>
    </w:p>
    <w:p>
      <w:pPr>
        <w:pStyle w:val="ListBullet"/>
      </w:pPr>
      <w:r>
        <w:t>Fixes / extensions in the literature. Acerbi and Tasche (2002) clarified that ES is the smallest coherent risk measure that dominates VaR. The drawdown measures of §2.1.3 (MDD, Calmar, CDaR) are the path-dependent generalisation that closes the single-period gap. For tail-estimation small-sample issues, extreme value theory (McNeil and Frey, 2000) replaces the empirical tail with a fitted Generalised Pareto Distribution, trading estimation efficiency for a parametric assumption.</w:t>
      </w:r>
    </w:p>
    <w:p>
      <w:pPr>
        <w:pStyle w:val="ListBullet"/>
      </w:pPr>
      <w:r>
        <w:t>Why it matters here. The dissertation reports VaR-95 and the rate at which the realised log-return falls below it as part of the standard metric set in §3.7. The headline objective, however, is path-dependent (drawdown control, §2.1.3) rather than single-period (VaR/ES), because the binding constraint on a four-year test window with a 2022 bear-market drawdown is the path of the equity curve, not its terminal-period loss distribution.</w:t>
      </w:r>
    </w:p>
    <w:p>
      <w:pPr>
        <w:pStyle w:val="Heading3"/>
      </w:pPr>
      <w:r>
        <w:rPr>
          <w:color w:val="000000"/>
        </w:rPr>
        <w:t>2.1.3 Drawdown-based measures</w:t>
      </w:r>
    </w:p>
    <w:p>
      <w:r>
        <w:rPr>
          <w:b w:val="0"/>
          <w:i w:val="0"/>
        </w:rPr>
        <w:t>Mean-variance, VaR and expected shortfall describe a single-period or stationary loss distribution. They do not capture path-dependent properties of a portfolio's equity curve. The drawdown family of measures fills that gap, and is the family on which this dissertation is built. Four references anchor the literature: the maximum-drawdown definition itself (Magdon-Ismail and Atiya, 2004), the Calmar return-per-unit-drawdown ratio (Young, 1991), the conditional drawdown-at-risk programme (Chekhlov, Uryasev and Zabarankin, 2005), and a growing body of empirical work that documents how often institutional drawdown constraints actually bind.</w:t>
      </w:r>
    </w:p>
    <w:p>
      <w:r>
        <w:rPr>
          <w:b w:val="0"/>
          <w:i w:val="0"/>
        </w:rPr>
        <w:t>Maximum drawdown — definition. The maximum drawdown of a portfolio with value process V_0, V_1, ..., V_T over the horizon T is the worst-case fractional loss from the running peak experienced anywhere in the trajectory:</w:t>
      </w:r>
    </w:p>
    <w:p>
      <w:pPr>
        <w:jc w:val="center"/>
      </w:pPr>
      <w:r>
        <w:drawing>
          <wp:inline xmlns:a="http://schemas.openxmlformats.org/drawingml/2006/main" xmlns:pic="http://schemas.openxmlformats.org/drawingml/2006/picture">
            <wp:extent cx="4114800" cy="887387"/>
            <wp:docPr id="4" name="Picture 4"/>
            <wp:cNvGraphicFramePr>
              <a:graphicFrameLocks noChangeAspect="1"/>
            </wp:cNvGraphicFramePr>
            <a:graphic>
              <a:graphicData uri="http://schemas.openxmlformats.org/drawingml/2006/picture">
                <pic:pic>
                  <pic:nvPicPr>
                    <pic:cNvPr id="0" name="eq_max_drawdown.png"/>
                    <pic:cNvPicPr/>
                  </pic:nvPicPr>
                  <pic:blipFill>
                    <a:blip r:embed="rId12"/>
                    <a:stretch>
                      <a:fillRect/>
                    </a:stretch>
                  </pic:blipFill>
                  <pic:spPr>
                    <a:xfrm>
                      <a:off x="0" y="0"/>
                      <a:ext cx="4114800" cy="887387"/>
                    </a:xfrm>
                    <a:prstGeom prst="rect"/>
                  </pic:spPr>
                </pic:pic>
              </a:graphicData>
            </a:graphic>
          </wp:inline>
        </w:drawing>
      </w:r>
    </w:p>
    <w:p>
      <w:pPr>
        <w:jc w:val="center"/>
      </w:pPr>
      <w:r>
        <w:rPr>
          <w:i/>
          <w:sz w:val="20"/>
        </w:rPr>
        <w:t>Equation 2.4 — Maximum drawdown over the horizon T.</w:t>
      </w:r>
    </w:p>
    <w:p>
      <w:r>
        <w:rPr>
          <w:b w:val="0"/>
          <w:i w:val="0"/>
        </w:rPr>
        <w:t>where V_t is the portfolio value at time t and max_{s &lt;= t} V_s is the running peak (the high-watermark) up to and including time t. The expression in parentheses is the fractional loss from peak at time t.</w:t>
      </w:r>
    </w:p>
    <w:p>
      <w:r>
        <w:rPr>
          <w:b w:val="0"/>
          <w:i w:val="0"/>
        </w:rPr>
        <w:t>Magdon-Ismail and Atiya (2004) — what and why. Magdon-Ismail and Atiya derived a closed-form expression for the expected maximum drawdown of a geometric Brownian motion with drift mu and volatility sigma over a horizon T. Their motivation was practitioner: by 2004 hedge funds and CTAs had been asked to report MDD alongside Sharpe ratio for a decade, but no analytical baseline existed for the expected MDD that an in-control strategy with given (mu, sigma, T) should produce. Without that baseline, an observed -25 % MDD is uninterpretable: it could be a flag for strategy degradation, or it could be exactly what a Brownian motion with the strategy's reported (mu, sigma) would produce a quarter of the time anyway. The closed-form expectation closes that gap.</w:t>
      </w:r>
    </w:p>
    <w:p>
      <w:pPr>
        <w:pStyle w:val="ListBullet"/>
      </w:pPr>
      <w:r>
        <w:t>Advantages. Operationally meaningful — a 25 % drawdown means the same thing to a pension trustee, a hedge-fund LP and a retail investor; closed-form result that ties MDD to (mu, sigma, T) and lets practitioners compute confidence bands; opens the door to MDD as a constraint in formal portfolio optimisation rather than only as a post-hoc diagnostic.</w:t>
      </w:r>
    </w:p>
    <w:p>
      <w:pPr>
        <w:pStyle w:val="ListBullet"/>
      </w:pPr>
      <w:r>
        <w:t>Disadvantages. The closed-form result requires a Brownian-motion assumption with constant drift and volatility, which is empirically wrong: returns exhibit volatility clustering (Mandelbrot, 1963), fat tails, and regime change. Real-world MDDs are systematically larger than the Brownian baseline predicts. The MDD itself is also a single-event statistic — it depends only on the worst peak-to-trough excursion in the path, so the rest of the distribution of drawdowns is discarded, and a small change in input data can produce a large change in MDD.</w:t>
      </w:r>
    </w:p>
    <w:p>
      <w:pPr>
        <w:pStyle w:val="ListBullet"/>
      </w:pPr>
      <w:r>
        <w:t>Fixes / extensions in the literature. The Chekhlov-Uryasev-Zabarankin (2005) CDaR programme below is the natural fix: it generalises MDD from a single-event statistic to a tail-expectation over the full drawdown distribution, just as ES generalised VaR. For the Brownian-motion-mis-specification problem, GARCH-style return models (Bollerslev, 1986) and regime-switching models (Hamilton, 1989) give better baseline expectations under realistic time-varying volatility.</w:t>
      </w:r>
    </w:p>
    <w:p>
      <w:r>
        <w:rPr>
          <w:b w:val="0"/>
          <w:i w:val="0"/>
        </w:rPr>
        <w:t>Young (1991) — what and why. The Calmar ratio (CALifornia Managed Account Reports, the newsletter where Terry Young first proposed it in 1991) is a return-per-unit-drawdown measure intuitive for institutional mandates with explicit drawdown limits. Young's motivation was that the Sharpe ratio, by using volatility in the denominator, did not communicate to institutional investors what they actually cared about — how much pain they had to endure to earn each unit of return. Calmar replaced volatility with MDD:</w:t>
      </w:r>
    </w:p>
    <w:p>
      <w:pPr>
        <w:jc w:val="center"/>
      </w:pPr>
      <w:r>
        <w:drawing>
          <wp:inline xmlns:a="http://schemas.openxmlformats.org/drawingml/2006/main" xmlns:pic="http://schemas.openxmlformats.org/drawingml/2006/picture">
            <wp:extent cx="4114800" cy="1150161"/>
            <wp:docPr id="5" name="Picture 5"/>
            <wp:cNvGraphicFramePr>
              <a:graphicFrameLocks noChangeAspect="1"/>
            </wp:cNvGraphicFramePr>
            <a:graphic>
              <a:graphicData uri="http://schemas.openxmlformats.org/drawingml/2006/picture">
                <pic:pic>
                  <pic:nvPicPr>
                    <pic:cNvPr id="0" name="eq_calmar.png"/>
                    <pic:cNvPicPr/>
                  </pic:nvPicPr>
                  <pic:blipFill>
                    <a:blip r:embed="rId13"/>
                    <a:stretch>
                      <a:fillRect/>
                    </a:stretch>
                  </pic:blipFill>
                  <pic:spPr>
                    <a:xfrm>
                      <a:off x="0" y="0"/>
                      <a:ext cx="4114800" cy="1150161"/>
                    </a:xfrm>
                    <a:prstGeom prst="rect"/>
                  </pic:spPr>
                </pic:pic>
              </a:graphicData>
            </a:graphic>
          </wp:inline>
        </w:drawing>
      </w:r>
    </w:p>
    <w:p>
      <w:pPr>
        <w:jc w:val="center"/>
      </w:pPr>
      <w:r>
        <w:rPr>
          <w:i/>
          <w:sz w:val="20"/>
        </w:rPr>
        <w:t>Equation 2.5 — Calmar ratio (Young, 1991).</w:t>
      </w:r>
    </w:p>
    <w:p>
      <w:r>
        <w:rPr>
          <w:b w:val="0"/>
          <w:i w:val="0"/>
        </w:rPr>
        <w:t>R_ann is the annualised return of the portfolio and MDD is the maximum drawdown of Equation 2.4.</w:t>
      </w:r>
    </w:p>
    <w:p>
      <w:pPr>
        <w:pStyle w:val="ListBullet"/>
      </w:pPr>
      <w:r>
        <w:t>Advantages. No parametric assumption on the return distribution; speaks the same language as the institutional mandate ("don't lose more than X %"); a single number that a non-quantitative investment committee can compare across managers; popularised the use of drawdown as a peer ranking statistic in CTA and hedge-fund consulting.</w:t>
      </w:r>
    </w:p>
    <w:p>
      <w:pPr>
        <w:pStyle w:val="ListBullet"/>
      </w:pPr>
      <w:r>
        <w:t>Disadvantages. Extreme single-event sensitivity: because MDD is a single max statistic, the Calmar ratio of a strategy can swing dramatically based on a single bad week. A strategy that posted a -40 % drawdown in 2008 and recovered will appear to have a permanently impaired Calmar even if it has run flawlessly for the fifteen years since. The ratio also rewards strategies that have not yet experienced a major drawdown — Calmar is highest for the strategies whose worst loss is still ahead of them.</w:t>
      </w:r>
    </w:p>
    <w:p>
      <w:pPr>
        <w:pStyle w:val="ListBullet"/>
      </w:pPr>
      <w:r>
        <w:t>Fixes / extensions. The MAR ratio (Managed Account Reports) is essentially Calmar with a longer rolling window. Sterling and Burke ratios use averages of the worst N drawdowns rather than the single max, partially addressing the single-event sensitivity. The CDaR programme of Chekhlov-Uryasev-Zabarankin (2005) is the formal generalisation that uses a tail-expectation over the drawdown distribution rather than a single max, removing the single-event problem entirely.</w:t>
      </w:r>
    </w:p>
    <w:p>
      <w:r>
        <w:rPr>
          <w:b w:val="0"/>
          <w:i w:val="0"/>
        </w:rPr>
        <w:t>Chekhlov, Uryasev and Zabarankin (2005) — what and why. CUZ extended the CVaR construction of Rockafellar and Uryasev (2000) from the single-period loss distribution to the path-dependent drawdown distribution. They define the conditional drawdown-at-risk CDaR_alpha as the expected drawdown given that the drawdown exceeds the alpha-quantile of the empirical drawdown distribution, and — crucially — they show that under empirical (historical-scenario) data this construction reduces to a linear programme that solves portfolio optimisation under a CDaR constraint in seconds. Their motivation was direct: by 2005 the CDaR statistic was being demanded by institutional allocators (endowments, sovereign wealth funds, pension consultants) but no tractable optimisation routine existed to construct portfolios under it. CUZ provided that routine.</w:t>
      </w:r>
    </w:p>
    <w:p>
      <w:pPr>
        <w:pStyle w:val="ListBullet"/>
      </w:pPr>
      <w:r>
        <w:t>Advantages. Generalises Calmar and MDD from single-event statistics to a tail expectation over the drawdown distribution, removing the single-event sensitivity of Calmar; reduces to a linear programme under empirical scenarios, putting drawdown-constrained portfolio optimisation on the same computational footing as mean-variance; coherent in the same sense as ES; matches the form of the constraints actually written into endowment-fund spending policies and CTA prospectuses; the closest classical antecedent to the constrained problem solved in this dissertation.</w:t>
      </w:r>
    </w:p>
    <w:p>
      <w:pPr>
        <w:pStyle w:val="ListBullet"/>
      </w:pPr>
      <w:r>
        <w:t>Disadvantages. Computational cost grows with the horizon T because the path-dependent drawdown statistic at time t depends on every prior portfolio value V_0, ..., V_t; for very long horizons the LP becomes large. Like ES, the empirical-scenario formulation is data-hungry in the tail, and the choice of the alpha quantile is a modelling decision rather than a derived quantity. The framework remains a one-shot static optimisation over portfolio weights — it does not naturally accommodate a sequential decision policy in which the agent can change exposure conditionally on observed market state, which is the gap this dissertation closes.</w:t>
      </w:r>
    </w:p>
    <w:p>
      <w:pPr>
        <w:pStyle w:val="ListBullet"/>
      </w:pPr>
      <w:r>
        <w:t>Fixes / extensions. Multi-stage stochastic programming (Bertsimas, Lauprete and Samarov, 2004) generalises CDaR to a multi-period setting; reinforcement-learning approaches such as the present dissertation push the same logic further by replacing the static optimisation with a state-conditional policy that learns when to reduce exposure rather than only how to allocate it; conformal-prediction overlays (Vovk et al., 2005) can supply the empirical drawdown-quantile threshold non-parametrically.</w:t>
      </w:r>
    </w:p>
    <w:p>
      <w:pPr>
        <w:pStyle w:val="ListBullet"/>
      </w:pPr>
      <w:r>
        <w:t>Why it matters here. The constrained objective in Equation 3.4 of this dissertation is the operational specialisation of the Chekhlov-Uryasev-Zabarankin programme to the trading-environment setting set out in Chapter 3. The capital-preservation ratio used as the headline metric (Equation 3.10) is a path-dependent terminal measure closely related to (1 - MDD) evaluated at terminal time. Where CUZ enforce the constraint at portfolio-construction time on a static weight vector, the present dissertation enforces it inside a sequential decision policy, and lets the policy learn the trade-off between expected return and drawdown empirically. The CUZ programme is the dissertation's primary classical reference point.</w:t>
      </w:r>
    </w:p>
    <w:p>
      <w:pPr>
        <w:pStyle w:val="Heading3"/>
      </w:pPr>
      <w:r>
        <w:rPr>
          <w:color w:val="000000"/>
        </w:rPr>
        <w:t>2.1.4 Downside-deviation measures: Sortino (Sortino and Price, 1994)</w:t>
      </w:r>
    </w:p>
    <w:p>
      <w:r>
        <w:rPr>
          <w:b w:val="0"/>
          <w:i w:val="0"/>
        </w:rPr>
        <w:t>What the paper did. Sortino and Price replaced the standard deviation in the denominator of the Sharpe ratio with the downside deviation — a root-mean-square deviation taken only over returns below a target return tau. The resulting Sortino ratio is identical to Sharpe in numerator but asymmetric in denominator: only returns below tau are penalised.</w:t>
      </w:r>
    </w:p>
    <w:p>
      <w:pPr>
        <w:jc w:val="center"/>
      </w:pPr>
      <w:r>
        <w:drawing>
          <wp:inline xmlns:a="http://schemas.openxmlformats.org/drawingml/2006/main" xmlns:pic="http://schemas.openxmlformats.org/drawingml/2006/picture">
            <wp:extent cx="4114800" cy="410273"/>
            <wp:docPr id="6" name="Picture 6"/>
            <wp:cNvGraphicFramePr>
              <a:graphicFrameLocks noChangeAspect="1"/>
            </wp:cNvGraphicFramePr>
            <a:graphic>
              <a:graphicData uri="http://schemas.openxmlformats.org/drawingml/2006/picture">
                <pic:pic>
                  <pic:nvPicPr>
                    <pic:cNvPr id="0" name="eq_sortino.png"/>
                    <pic:cNvPicPr/>
                  </pic:nvPicPr>
                  <pic:blipFill>
                    <a:blip r:embed="rId14"/>
                    <a:stretch>
                      <a:fillRect/>
                    </a:stretch>
                  </pic:blipFill>
                  <pic:spPr>
                    <a:xfrm>
                      <a:off x="0" y="0"/>
                      <a:ext cx="4114800" cy="410273"/>
                    </a:xfrm>
                    <a:prstGeom prst="rect"/>
                  </pic:spPr>
                </pic:pic>
              </a:graphicData>
            </a:graphic>
          </wp:inline>
        </w:drawing>
      </w:r>
    </w:p>
    <w:p>
      <w:pPr>
        <w:jc w:val="center"/>
      </w:pPr>
      <w:r>
        <w:rPr>
          <w:i/>
          <w:sz w:val="20"/>
        </w:rPr>
        <w:t>Equation 2.6 — Sortino ratio with downside deviation against target return tau.</w:t>
      </w:r>
    </w:p>
    <w:p>
      <w:r>
        <w:rPr>
          <w:b w:val="0"/>
          <w:i w:val="0"/>
        </w:rPr>
        <w:t>r is the portfolio return over the measurement horizon, E[r] is its expected value, tau is the minimum-acceptable return below which deviations are penalised (often the risk-free rate or zero), and DD_tau is the root-mean-square deviation taken only over returns below tau.</w:t>
      </w:r>
    </w:p>
    <w:p>
      <w:r>
        <w:rPr>
          <w:b w:val="0"/>
          <w:i w:val="0"/>
        </w:rPr>
        <w:t>Why the paper did it. Sortino had argued in a long sequence of practitioner papers from the early 1980s that the Sharpe ratio penalises long-only mandates twice over: once for negative returns (which is correct), and once for above-average positive returns (which is exactly what the long-only mandate is paid to deliver). Sortino and Price (1994) is the paper that formalised the asymmetric alternative and gave it a denominator that is operationally computable from the same per-period return data that Sharpe uses.</w:t>
      </w:r>
    </w:p>
    <w:p>
      <w:pPr>
        <w:pStyle w:val="ListBullet"/>
      </w:pPr>
      <w:r>
        <w:t>Advantages. Asymmetric penalty matches the asymmetric utility of a long-only investor (positive volatility is good, negative volatility is bad); same data requirements as Sharpe (a return time series), so easy to drop into existing reporting pipelines; widely understood in practitioner circles, particularly in CTA and hedge-fund manager evaluation.</w:t>
      </w:r>
    </w:p>
    <w:p>
      <w:pPr>
        <w:pStyle w:val="ListBullet"/>
      </w:pPr>
      <w:r>
        <w:t>Disadvantages. The choice of target tau is a modelling decision and not a derived quantity — the same strategy can have a Sortino of +1.4 against tau = 0 and +0.6 against tau = the risk-free rate, depending on the rate environment; for strategies with very few sub-tau returns the denominator is small and the ratio is unstable, sometimes producing inflated values that disappear after one bad month; like Sharpe, the Sortino ratio is a single-period statistic and is silent on the path of the equity curve, so a strategy with a deep drawdown that recovered can have a higher Sortino than a smoother strategy with a slightly lower mean.</w:t>
      </w:r>
    </w:p>
    <w:p>
      <w:pPr>
        <w:pStyle w:val="ListBullet"/>
      </w:pPr>
      <w:r>
        <w:t>Fixes / extensions in the literature. Reporting Sortino at multiple values of tau (0, risk-free rate, mandate hurdle) addresses the target-rate sensitivity. Pairing Sortino with a path-dependent measure such as MDD or the Calmar ratio addresses the silent-on-path problem. Bawa (1975) and Fishburn (1977) provide the theoretical foundation — the lower partial moment family — of which the squared downside deviation is one specific instance; higher-order lower partial moments capture more of the tail.</w:t>
      </w:r>
    </w:p>
    <w:p>
      <w:pPr>
        <w:pStyle w:val="ListBullet"/>
      </w:pPr>
      <w:r>
        <w:t>Why it matters here. Sortino is reported alongside Sharpe in the §3.7 metric table when a sub-tau-return computation is available. The dissertation does not adopt Sortino as the headline objective because the binding constraint on the test universe is path-dependent (drawdown control), not single-period (downside variance against a target return); but the asymmetric-penalty intuition behind Sortino is the same intuition behind the dissertation's choice of drawdown rather than variance as the binding measure.</w:t>
      </w:r>
    </w:p>
    <w:p>
      <w:pPr>
        <w:pStyle w:val="Heading3"/>
      </w:pPr>
      <w:r>
        <w:rPr>
          <w:color w:val="000000"/>
        </w:rPr>
        <w:t>2.1.5 Position of this dissertation</w:t>
      </w:r>
    </w:p>
    <w:p>
      <w:r>
        <w:rPr>
          <w:b w:val="0"/>
          <w:i w:val="0"/>
        </w:rPr>
        <w:t>The dissertation does not propose a new risk objective. It takes the drawdown-constrained portfolio-optimisation problem of Chekhlov, Uryasev and Zabarankin (2005) as the practitioner's benchmark to be matched, and asks whether a reinforcement-learning policy that conditions on its own forecaster's predictive uncertainty can satisfy the same constraint while improving realised Sharpe ratio and terminal value relative to passive buy-and-hold and a rule-based stop-loss policy. The constrained objective in Equation 3.4 is the operational specialisation of the Chekhlov-Uryasev-Zabarankin programme to the trading-environment setting set out in Chapter 3. The capital-preservation ratio used as the headline metric (Equation 3.10) is a path-dependent terminal measure that is closely related to (1 - MDD) evaluated at terminal time and is the natural diagnostic for a policy that is explicitly trying to keep its loss from peak below a stated floor.</w:t>
      </w:r>
    </w:p>
    <w:p>
      <w:pPr>
        <w:pStyle w:val="Heading2"/>
      </w:pPr>
      <w:r>
        <w:rPr>
          <w:color w:val="000000"/>
        </w:rPr>
        <w:t>2.2 Reinforcement learning fundamentals</w:t>
      </w:r>
    </w:p>
    <w:p>
      <w:r>
        <w:rPr>
          <w:b w:val="0"/>
          <w:i w:val="0"/>
        </w:rPr>
        <w:t>An RL problem is a Markov decision process (S, A, P, R, gamma): a state space, an action space, a transition kernel, a reward function and a discount factor. Sutton and Barto (2018) is the canonical treatment. The objective is to learn a policy pi(a|s) that maximises the expected discounted return.</w:t>
      </w:r>
    </w:p>
    <w:p>
      <w:pPr>
        <w:jc w:val="center"/>
      </w:pPr>
      <w:r>
        <w:drawing>
          <wp:inline xmlns:a="http://schemas.openxmlformats.org/drawingml/2006/main" xmlns:pic="http://schemas.openxmlformats.org/drawingml/2006/picture">
            <wp:extent cx="4114800" cy="993586"/>
            <wp:docPr id="7" name="Picture 7"/>
            <wp:cNvGraphicFramePr>
              <a:graphicFrameLocks noChangeAspect="1"/>
            </wp:cNvGraphicFramePr>
            <a:graphic>
              <a:graphicData uri="http://schemas.openxmlformats.org/drawingml/2006/picture">
                <pic:pic>
                  <pic:nvPicPr>
                    <pic:cNvPr id="0" name="eq_rl_objective.png"/>
                    <pic:cNvPicPr/>
                  </pic:nvPicPr>
                  <pic:blipFill>
                    <a:blip r:embed="rId15"/>
                    <a:stretch>
                      <a:fillRect/>
                    </a:stretch>
                  </pic:blipFill>
                  <pic:spPr>
                    <a:xfrm>
                      <a:off x="0" y="0"/>
                      <a:ext cx="4114800" cy="993586"/>
                    </a:xfrm>
                    <a:prstGeom prst="rect"/>
                  </pic:spPr>
                </pic:pic>
              </a:graphicData>
            </a:graphic>
          </wp:inline>
        </w:drawing>
      </w:r>
    </w:p>
    <w:p>
      <w:pPr>
        <w:jc w:val="center"/>
      </w:pPr>
      <w:r>
        <w:rPr>
          <w:i/>
          <w:sz w:val="20"/>
        </w:rPr>
        <w:t>Equation 2.7 — Discounted-return objective of an MDP (Sutton and Barto, 2018).</w:t>
      </w:r>
    </w:p>
    <w:p>
      <w:pPr>
        <w:pStyle w:val="Heading2"/>
      </w:pPr>
      <w:r>
        <w:rPr>
          <w:color w:val="000000"/>
        </w:rPr>
        <w:t>2.3 Policy-gradient methods and PPO</w:t>
      </w:r>
    </w:p>
    <w:p>
      <w:r>
        <w:rPr>
          <w:b w:val="0"/>
          <w:i w:val="0"/>
        </w:rPr>
        <w:t>Policy-gradient methods parameterise the policy directly and ascend the gradient of the objective with respect to its parameters. Vanilla policy gradient is high-variance and unstable. Trust-region methods solve this by constraining the size of each update. Schulman et al. (2017) introduced Proximal Policy Optimization (PPO), which approximates a trust region with a simpler clipped surrogate objective.</w:t>
      </w:r>
    </w:p>
    <w:p>
      <w:pPr>
        <w:jc w:val="center"/>
      </w:pPr>
      <w:r>
        <w:drawing>
          <wp:inline xmlns:a="http://schemas.openxmlformats.org/drawingml/2006/main" xmlns:pic="http://schemas.openxmlformats.org/drawingml/2006/picture">
            <wp:extent cx="4114800" cy="289470"/>
            <wp:docPr id="8" name="Picture 8"/>
            <wp:cNvGraphicFramePr>
              <a:graphicFrameLocks noChangeAspect="1"/>
            </wp:cNvGraphicFramePr>
            <a:graphic>
              <a:graphicData uri="http://schemas.openxmlformats.org/drawingml/2006/picture">
                <pic:pic>
                  <pic:nvPicPr>
                    <pic:cNvPr id="0" name="eq_ppo_clip.png"/>
                    <pic:cNvPicPr/>
                  </pic:nvPicPr>
                  <pic:blipFill>
                    <a:blip r:embed="rId16"/>
                    <a:stretch>
                      <a:fillRect/>
                    </a:stretch>
                  </pic:blipFill>
                  <pic:spPr>
                    <a:xfrm>
                      <a:off x="0" y="0"/>
                      <a:ext cx="4114800" cy="289470"/>
                    </a:xfrm>
                    <a:prstGeom prst="rect"/>
                  </pic:spPr>
                </pic:pic>
              </a:graphicData>
            </a:graphic>
          </wp:inline>
        </w:drawing>
      </w:r>
    </w:p>
    <w:p>
      <w:pPr>
        <w:jc w:val="center"/>
      </w:pPr>
      <w:r>
        <w:rPr>
          <w:i/>
          <w:sz w:val="20"/>
        </w:rPr>
        <w:t>Equation 2.8 — PPO clipped surrogate objective (Schulman et al., 2017).</w:t>
      </w:r>
    </w:p>
    <w:p>
      <w:r>
        <w:rPr>
          <w:b w:val="0"/>
          <w:i w:val="0"/>
        </w:rPr>
        <w:t>PPO has become the default policy-gradient choice for finance applications for two practical reasons. It is forgiving with respect to hyper-parameter choice, and it is available in mature open-source form, notably in Stable-Baselines3 (Raffin et al., 2021). I use both in this dissertation.</w:t>
      </w:r>
    </w:p>
    <w:p>
      <w:pPr>
        <w:pStyle w:val="Heading2"/>
      </w:pPr>
      <w:r>
        <w:rPr>
          <w:color w:val="000000"/>
        </w:rPr>
        <w:t>2.4 Reinforcement learning for portfolio management</w:t>
      </w:r>
    </w:p>
    <w:p>
      <w:r>
        <w:rPr>
          <w:b w:val="0"/>
          <w:i w:val="0"/>
        </w:rPr>
        <w:t>The DRL-for-finance literature has produced a sequence of increasingly mature systems over the last seven years. Rather than catalogue them in isolation, the comparison below is organised along three axes that matter for the present dissertation: (i) what was being optimised in the reward, (ii) what was held in the policy state, and (iii) how risk was treated. The four references most directly comparable to this dissertation differ on all three axes.</w:t>
      </w:r>
    </w:p>
    <w:p>
      <w:r>
        <w:rPr>
          <w:b w:val="0"/>
          <w:i w:val="0"/>
        </w:rPr>
        <w:t>Jiang, Xu and Liang (2017). What they did: treated portfolio management as an end-to-end DRL problem on the cryptocurrency market. Their state is a tensor of recent prices for the universe of assets; their policy is a convolutional network that emits portfolio weights directly; their reward is the per-period log return of the portfolio value. Risk enters only indirectly through the variance of the reward signal — there is no explicit risk constraint. Why they did it: prior cryptocurrency portfolio work used static rules (equal-weight, minimum-variance, follow-the-winner) and Jiang et al. wanted to test whether an end-to-end deep policy could outperform those rules on a market where prices are highly non-stationary. They reported that it could.</w:t>
      </w:r>
    </w:p>
    <w:p>
      <w:pPr>
        <w:pStyle w:val="ListBullet"/>
      </w:pPr>
      <w:r>
        <w:t>Advantages. Genuinely end-to-end (raw price tensor → portfolio weights with no manual feature engineering); validated on a high-frequency, non-stationary market where mean-variance baselines are known to do poorly; established the computational template that Yang et al. (2020) and the FinRL library would later adopt.</w:t>
      </w:r>
    </w:p>
    <w:p>
      <w:pPr>
        <w:pStyle w:val="ListBullet"/>
      </w:pPr>
      <w:r>
        <w:t>Disadvantages. Return-only reward; cryptocurrency-specific (the network architecture and the data pipeline assume the market never closes); policy is uncertainty-blind, so the variance of the reward signal is the only risk-management coupling; tested on a single time window without a walk-forward or seed-stability protocol, so the headline outperformance has the look of an in-sample result.</w:t>
      </w:r>
    </w:p>
    <w:p>
      <w:pPr>
        <w:pStyle w:val="ListBullet"/>
      </w:pPr>
      <w:r>
        <w:t>Fixes / extensions. Yang et al. (2020) applied the same template to US equities with engineered features. The FinRL library (Liu et al., 2021) added reproducibility infrastructure. The present dissertation closes the uncertainty-blind and risk-blind gaps directly.</w:t>
      </w:r>
    </w:p>
    <w:p>
      <w:r>
        <w:rPr>
          <w:b w:val="0"/>
          <w:i w:val="0"/>
        </w:rPr>
        <w:t>Yang, Liu, Zhong and Walid (2020). What they did: applied the Jiang-style template to US equities and replaced the single-algorithm policy with an ensemble that picks the best-performing of three policy-gradient algorithms (A2C, PPO and DDPG) per regime. Their state combines technical indicators (MACD, RSI, ADX) with recent prices; their action is a continuous portfolio-weight vector; their reward is again per-period portfolio return. Why they did it: a single policy-gradient algorithm has high run-to-run variance, and the best-performing algorithm in one market regime is often not the best in the next; by switching algorithm at regime change the ensemble retains the best of each.</w:t>
      </w:r>
    </w:p>
    <w:p>
      <w:pPr>
        <w:pStyle w:val="ListBullet"/>
      </w:pPr>
      <w:r>
        <w:t>Advantages. Move from cryptocurrency to US equities, where the empirical literature is denser and the comparison to mean-variance is more meaningful; engineered technical indicators give the policy useful inductive bias on momentum and mean-reversion; algorithm-level ensemble materially reduces seed variance; explicit train / validation / test split protocol that the present dissertation follows in §3.7.</w:t>
      </w:r>
    </w:p>
    <w:p>
      <w:pPr>
        <w:pStyle w:val="ListBullet"/>
      </w:pPr>
      <w:r>
        <w:t>Disadvantages. Return-only reward; the technical-indicator feature set (MACD, RSI, ADX) embeds prior beliefs about which signals matter, which mean-variance and probabilistic models can sometimes contradict; the regime-switching ensemble is trained on the same window as the constituent algorithms and so has an in-sample look-ahead concern that walk-forward evaluation would expose; uncertainty-blind in exactly the same sense as Jiang et al. (2017).</w:t>
      </w:r>
    </w:p>
    <w:p>
      <w:pPr>
        <w:pStyle w:val="ListBullet"/>
      </w:pPr>
      <w:r>
        <w:t>Fixes / extensions. The walk-forward protocol of Bailey and López de Prado (2014) addresses the in-sample regime-detection concern. The present dissertation's contribution sits orthogonal to the algorithm-level ensemble: any of A2C, PPO or DDPG could in principle host the uncertainty-aware coupling, and PPO is selected here for its stability and library availability rather than for any algorithm-level claim.</w:t>
      </w:r>
    </w:p>
    <w:p>
      <w:r>
        <w:rPr>
          <w:b w:val="0"/>
          <w:i w:val="0"/>
        </w:rPr>
        <w:t>Liu, Yang, Gao and Wang (2021) — FinRL. What they did: built an open-source library that bundles the gym-style trading environment, the data pipeline, the algorithm interface and the reporting layer into one Python package. Why they did it: by 2021 the DRL-finance literature had reached a point where individual papers reported divergent results that were impossible to compare because the trading environments, transaction-cost assumptions and metric definitions all differed. FinRL imposes a single environment specification on the field and lets new papers vary only the policy.</w:t>
      </w:r>
    </w:p>
    <w:p>
      <w:pPr>
        <w:pStyle w:val="ListBullet"/>
      </w:pPr>
      <w:r>
        <w:t>Advantages. Reproducibility infrastructure that the field had been missing; gym-style API makes plug-and-play comparison of algorithms straightforward; bundles common transaction-cost and slippage assumptions in one place; widely adopted, which makes FinRL-based results comparable across papers.</w:t>
      </w:r>
    </w:p>
    <w:p>
      <w:pPr>
        <w:pStyle w:val="ListBullet"/>
      </w:pPr>
      <w:r>
        <w:t>Disadvantages. Takes no position on what the policy should optimise — the reward function is delegated to the user; the bundled environment makes an implicit choice (continuous portfolio-weight action, single-step rebalancing) that is not the right environment for every problem; for a dissertation that wants every line of the environment to be inspectable at viva, the FinRL abstraction layer hides design decisions that need to be defended.</w:t>
      </w:r>
    </w:p>
    <w:p>
      <w:pPr>
        <w:pStyle w:val="ListBullet"/>
      </w:pPr>
      <w:r>
        <w:t>Fixes / extensions. The present dissertation does not subclass FinRL; it implements its own environment in experiments/common.py so that the trade-scaling and entry-guard contributions in Equation 3.9 are explicit, can be inspected line by line, and can be reasoned about in the discussion chapter. FinRL remains the right choice for projects whose contribution is in the policy rather than in the environment.</w:t>
      </w:r>
    </w:p>
    <w:p>
      <w:r>
        <w:rPr>
          <w:b w:val="0"/>
          <w:i w:val="0"/>
        </w:rPr>
        <w:t>Schulman et al. (2017) — PPO. What they did: introduced a clipped surrogate objective (Equation 2.8) that approximates a trust-region constraint without the conjugate-gradient machinery of TRPO (Schulman et al., 2015). Why they did it: TRPO is theoretically attractive but operationally fragile, requiring Hessian-vector products and careful step-size scheduling; for industrial-scale RL pipelines the team needed a simpler algorithm with similar empirical performance. PPO has since become the default policy-gradient choice in both research and industrial settings.</w:t>
      </w:r>
    </w:p>
    <w:p>
      <w:pPr>
        <w:pStyle w:val="ListBullet"/>
      </w:pPr>
      <w:r>
        <w:t>Advantages. Forgiving with respect to hyper-parameter choice (rare in policy gradient); first-order optimisation only, so the same Adam optimiser used everywhere else suffices; available in mature open-source form, notably Stable-Baselines3 (Raffin et al., 2021), which makes results reproducible across teams; accommodates discrete and continuous action spaces with the same code path.</w:t>
      </w:r>
    </w:p>
    <w:p>
      <w:pPr>
        <w:pStyle w:val="ListBullet"/>
      </w:pPr>
      <w:r>
        <w:t>Disadvantages. The clipping is a heuristic — there is no formal trust-region guarantee, so on adversarial reward landscapes PPO can still take destructive update steps; sensitive to the advantage-estimation method (GAE versus n-step returns); the ratio variable rho_t is unbounded above for low-probability historical actions, which can produce numerical issues on long-horizon tasks.</w:t>
      </w:r>
    </w:p>
    <w:p>
      <w:pPr>
        <w:pStyle w:val="ListBullet"/>
      </w:pPr>
      <w:r>
        <w:t>Fixes / extensions. PPO-EWMA (Hilton et al., 2022) replaces the per-step ratio with an exponentially-weighted moving average to reduce update variance. Trust-region-aware clipping (TRPPO, 2023) restores a formal trust-region guarantee. None of these are adopted here; this dissertation uses standard PPO from Stable-Baselines3 because the operational fragility issues do not bind on a single-asset trading environment with bounded continuous actions and a 10–50k timestep budget.</w:t>
      </w:r>
    </w:p>
    <w:p>
      <w:pPr>
        <w:pStyle w:val="ListBullet"/>
      </w:pPr>
      <w:r>
        <w:t>Why it matters here. PPO is the algorithm both the baseline and the probabilistic agent are built on. The contribution of the dissertation is not a new RL algorithm; it is a state-augmentation and a constraint-enforcement coupling on top of standard PPO. Equation 3.9 is what the dissertation adds to the standard PPO trajectory.</w:t>
      </w:r>
    </w:p>
    <w:p>
      <w:r>
        <w:rPr>
          <w:b w:val="0"/>
          <w:i w:val="0"/>
        </w:rPr>
        <w:t>The pattern across the four references is that the policy state has grown richer (from raw prices in Jiang et al. (2017) to engineered indicators in Yang et al. (2020) to a configurable observation space in FinRL), the optimisation backbone has converged on PPO, and the reward has remained almost universally per-period return without an explicit drawdown constraint. The contribution of this dissertation can be stated relative to that pattern: it adds a forecaster's predictive uncertainty to the state, adds a hard guard on long-side actions when uncertainty exceeds a quantile threshold, and takes drawdown control as the headline constraint rather than a property to be measured after the fact (Equation 3.4).</w:t>
      </w:r>
    </w:p>
    <w:p>
      <w:pPr>
        <w:pStyle w:val="Heading2"/>
      </w:pPr>
      <w:r>
        <w:rPr>
          <w:color w:val="000000"/>
        </w:rPr>
        <w:t>2.5 Probabilistic time-series forecasting (Salinas et al., 2020)</w:t>
      </w:r>
    </w:p>
    <w:p>
      <w:r>
        <w:rPr>
          <w:b w:val="0"/>
          <w:i w:val="0"/>
        </w:rPr>
        <w:t>What the paper did. Salinas et al. (2020) proposed DeepAR, an autoregressive recurrent network trained to maximise the likelihood of the observed data under a chosen output distribution. The backbone is a stacked long short-term memory network (Hochreiter and Schmidhuber, 1997). With a Gaussian output the network emits a mean and a log-variance at each timestep, and is trained by minimising the Gaussian negative log-likelihood:</w:t>
      </w:r>
    </w:p>
    <w:p>
      <w:pPr>
        <w:jc w:val="center"/>
      </w:pPr>
      <w:r>
        <w:drawing>
          <wp:inline xmlns:a="http://schemas.openxmlformats.org/drawingml/2006/main" xmlns:pic="http://schemas.openxmlformats.org/drawingml/2006/picture">
            <wp:extent cx="4114800" cy="667493"/>
            <wp:docPr id="9" name="Picture 9"/>
            <wp:cNvGraphicFramePr>
              <a:graphicFrameLocks noChangeAspect="1"/>
            </wp:cNvGraphicFramePr>
            <a:graphic>
              <a:graphicData uri="http://schemas.openxmlformats.org/drawingml/2006/picture">
                <pic:pic>
                  <pic:nvPicPr>
                    <pic:cNvPr id="0" name="eq_gaussian_nll.png"/>
                    <pic:cNvPicPr/>
                  </pic:nvPicPr>
                  <pic:blipFill>
                    <a:blip r:embed="rId17"/>
                    <a:stretch>
                      <a:fillRect/>
                    </a:stretch>
                  </pic:blipFill>
                  <pic:spPr>
                    <a:xfrm>
                      <a:off x="0" y="0"/>
                      <a:ext cx="4114800" cy="667493"/>
                    </a:xfrm>
                    <a:prstGeom prst="rect"/>
                  </pic:spPr>
                </pic:pic>
              </a:graphicData>
            </a:graphic>
          </wp:inline>
        </w:drawing>
      </w:r>
    </w:p>
    <w:p>
      <w:pPr>
        <w:jc w:val="center"/>
      </w:pPr>
      <w:r>
        <w:rPr>
          <w:i/>
          <w:sz w:val="20"/>
        </w:rPr>
        <w:t>Equation 2.9 — Gaussian negative log-likelihood loss used to train the probabilistic forecaster.</w:t>
      </w:r>
    </w:p>
    <w:p>
      <w:r>
        <w:rPr>
          <w:b w:val="0"/>
          <w:i w:val="0"/>
        </w:rPr>
        <w:t>Why the paper did it. By 2017 production demand forecasting at Amazon and elsewhere had outgrown the ARIMA / exponential-smoothing toolset for two reasons: those models could not pool statistical strength across thousands of related time series, and they emitted point forecasts when downstream decisions (inventory levels, capacity provisioning, hedging) needed full predictive distributions. DeepAR addressed both problems at once: it is a single model trained jointly on a panel of related series, and its native output is a parametric predictive distribution rather than a point.</w:t>
      </w:r>
    </w:p>
    <w:p>
      <w:pPr>
        <w:pStyle w:val="ListBullet"/>
      </w:pPr>
      <w:r>
        <w:t>Advantages. Emits a calibrated predictive distribution as a native output, so the variance is a first-class citizen rather than a post-hoc construction; pools statistical strength across related time series, which is critical when individual series are short; trains with standard backpropagation and the same Adam optimiser as everything else; the same architecture handles intermittent, seasonal and trending series.</w:t>
      </w:r>
    </w:p>
    <w:p>
      <w:pPr>
        <w:pStyle w:val="ListBullet"/>
      </w:pPr>
      <w:r>
        <w:t>Disadvantages. The chosen output family is a parametric assumption — the Gaussian head used here imposes thin-tailed conditional residuals that financial returns are known to violate (Mandelbrot, 1963); for very short series the LSTM is over-parameterised relative to the data and can overfit; predictive variances on out-of-sample regimes the network has never seen are not guaranteed to be well-calibrated; the architecture provides aleatoric uncertainty (the variance of the predictive distribution at the network's chosen mean) but not epistemic uncertainty (the network's own uncertainty about whether its mean is right at all).</w:t>
      </w:r>
    </w:p>
    <w:p>
      <w:pPr>
        <w:pStyle w:val="ListBullet"/>
      </w:pPr>
      <w:r>
        <w:t>Fixes / extensions. Replacing the Gaussian head with a Student-t head, or with a mixture-density head, addresses the fat-tail concern at the cost of more output parameters; deep ensembles (Lakshminarayanan et al., 2017, §2.6) or Monte-Carlo dropout (Gal and Ghahramani, 2016) supply the missing epistemic component; conformal prediction (Vovk et al., 2005) provides a non-parametric calibration overlay that gives finite-sample coverage guarantees regardless of the head distribution.</w:t>
      </w:r>
    </w:p>
    <w:p>
      <w:pPr>
        <w:pStyle w:val="ListBullet"/>
      </w:pPr>
      <w:r>
        <w:t>Why it matters here. The probabilistic forecaster in this dissertation is a stripped-down DeepAR with a Gaussian head: a two-layer LSTM with hidden dimension 32 and two linear heads emitting predictive mean and predictive log-variance, trained by Equation 2.9. Its purpose is not to produce the most accurate possible forecast — it is to supply a one-dimensional, continuous uncertainty signal u_t in [0, 1] that the PPO policy can read as a state feature and use as a guard on long-side actions (Equation 3.7). The Gaussian head is sufficient for that purpose; the alternative heads are listed in the §7.2 future-work section as a sensitivity check that does not affect the structure of the contribution.</w:t>
      </w:r>
    </w:p>
    <w:p>
      <w:pPr>
        <w:pStyle w:val="Heading2"/>
      </w:pPr>
      <w:r>
        <w:rPr>
          <w:color w:val="000000"/>
        </w:rPr>
        <w:t>2.6 Uncertainty estimation in deep learning</w:t>
      </w:r>
    </w:p>
    <w:p>
      <w:r>
        <w:rPr>
          <w:b w:val="0"/>
          <w:i w:val="0"/>
        </w:rPr>
        <w:t>Three families of techniques dominate the uncertainty-in-neural-networks literature, and they differ on what kind of uncertainty they quantify and how much computation they cost.</w:t>
      </w:r>
    </w:p>
    <w:p>
      <w:r>
        <w:rPr>
          <w:b w:val="0"/>
          <w:i w:val="0"/>
        </w:rPr>
        <w:t>Deep ensembles (Lakshminarayanan, Pritzel and Blundell, 2017) train several independent networks with different random initialisations and use their disagreement on a held-out point as the uncertainty proxy. The advantage is that the method is implementation-agnostic and captures both data-side and model-side uncertainty. The disadvantages are that training cost scales linearly with the ensemble size and that the disagreement signal is unstructured: it is a single scalar with no native distributional interpretation.</w:t>
      </w:r>
    </w:p>
    <w:p>
      <w:r>
        <w:rPr>
          <w:b w:val="0"/>
          <w:i w:val="0"/>
        </w:rPr>
        <w:t>Monte-Carlo dropout (Gal and Ghahramani, 2016) treats dropout at inference time as a variational approximation to a Bayesian posterior over the network weights. Sampling several stochastic forward passes through the network gives an empirical predictive distribution at almost no training-time overhead. The advantage relative to deep ensembles is the lower training cost. The disadvantage is that the variational approximation is loose, and the resulting uncertainty quantification has been shown to underestimate epistemic uncertainty in some settings.</w:t>
      </w:r>
    </w:p>
    <w:p>
      <w:r>
        <w:rPr>
          <w:b w:val="0"/>
          <w:i w:val="0"/>
        </w:rPr>
        <w:t>The third route, taken by DeepAR (Salinas et al., 2020) and adopted in this dissertation, is to make the network emit the parameters of a predictive distribution directly and train it by maximum likelihood (Equation 2.9). The advantage is that the predictive variance is part of the network's native output and is calibrated by the same likelihood that defines the loss; no post-hoc construction is required. The disadvantage is that the chosen output family (here a Gaussian) imposes a parametric assumption that the data may violate; for fat-tailed return distributions a Student-t or mixture head would be a natural extension. The Gaussian likelihood is chosen here because the policy only needs a one-dimensional, continuous uncertainty summary, and a single Gaussian head delivers that with the smallest amount of moving machinery, while alternative heads are listed in the future-work section as a sensitivity check.</w:t>
      </w:r>
    </w:p>
    <w:p>
      <w:pPr>
        <w:pStyle w:val="Heading2"/>
      </w:pPr>
      <w:r>
        <w:rPr>
          <w:color w:val="000000"/>
        </w:rPr>
        <w:t>2.7 Gap and positioning</w:t>
      </w:r>
    </w:p>
    <w:p>
      <w:r>
        <w:rPr>
          <w:b w:val="0"/>
          <w:i w:val="0"/>
        </w:rPr>
        <w:t>Putting all of the above together, the gap I want to close is the absence, in prior DRL-for-finance work, of an explicit, model-based uncertainty signal that does two things at once: it goes into the policy state, and it acts as a hard guard on new risk-on actions. Section 3.5 sets out the mathematical difference from a standard PPO baseline. Chapter 5 measures whether the difference earns its keep.</w:t>
      </w:r>
    </w:p>
    <w:p>
      <w:r>
        <w:br w:type="page"/>
      </w:r>
    </w:p>
    <w:p>
      <w:pPr>
        <w:pStyle w:val="Heading1"/>
      </w:pPr>
      <w:r>
        <w:rPr>
          <w:color w:val="000000"/>
        </w:rPr>
        <w:t>Chapter 3 — Methodology</w:t>
      </w:r>
    </w:p>
    <w:p>
      <w:pPr>
        <w:pStyle w:val="Heading2"/>
      </w:pPr>
      <w:r>
        <w:rPr>
          <w:color w:val="000000"/>
        </w:rPr>
        <w:t>3.1 Problem formulation</w:t>
      </w:r>
    </w:p>
    <w:p>
      <w:r>
        <w:rPr>
          <w:b w:val="0"/>
          <w:i w:val="0"/>
        </w:rPr>
        <w:t>The trading task is cast as a Markov decision process (MDP) with state space S, action space A, transition kernel P, reward function R and discount factor gamma in (0, 1]. The decision variables, the state, the per-step reward, the unconstrained MDP objective and the constrained optimisation problem the agent is actually asked to solve are set out in turn below. The notation introduced in this section is used consistently for the rest of the dissertation.</w:t>
      </w:r>
    </w:p>
    <w:p>
      <w:pPr>
        <w:pStyle w:val="Heading3"/>
      </w:pPr>
      <w:r>
        <w:rPr>
          <w:color w:val="000000"/>
        </w:rPr>
        <w:t>3.1.1 Decision variables</w:t>
      </w:r>
    </w:p>
    <w:p>
      <w:r>
        <w:rPr>
          <w:b w:val="0"/>
          <w:i w:val="0"/>
        </w:rPr>
        <w:t>The asset is observed daily with adjusted close price p_t. The portfolio at the end of day t holds a cash balance B_t &gt;= 0 and a non-negative number of shares n_t; its market value is V_t = B_t + n_t p_t. The agent transacts at the close. A scalar action a_t in [-1, 1] encodes the fraction of the cash balance to commit to a long-side trade (positive a_t) or the fraction of the existing position to liquidate (negative a_t). Per-step turnover is bounded by a maximum fraction f_max in (0, 1] of cash. The realised gross trade value at step t is denoted v_t, and trades incur a linear transaction cost c in [0, 1) on the gross notional.</w:t>
      </w:r>
    </w:p>
    <w:p>
      <w:pPr>
        <w:pStyle w:val="Heading3"/>
      </w:pPr>
      <w:r>
        <w:rPr>
          <w:color w:val="000000"/>
        </w:rPr>
        <w:t>3.1.2 State</w:t>
      </w:r>
    </w:p>
    <w:p>
      <w:r>
        <w:rPr>
          <w:b w:val="0"/>
          <w:i w:val="0"/>
        </w:rPr>
        <w:t>The state observed by the policy at step t is the concatenation of the last L log-returns of the asset, the current normalised position size, and (for the probabilistic agent only) the uncertainty score u_t produced by the forecaster of Section 3.3:</w:t>
      </w:r>
    </w:p>
    <w:p>
      <w:pPr>
        <w:jc w:val="center"/>
      </w:pPr>
      <w:r>
        <w:drawing>
          <wp:inline xmlns:a="http://schemas.openxmlformats.org/drawingml/2006/main" xmlns:pic="http://schemas.openxmlformats.org/drawingml/2006/picture">
            <wp:extent cx="4114800" cy="414313"/>
            <wp:docPr id="10" name="Picture 10"/>
            <wp:cNvGraphicFramePr>
              <a:graphicFrameLocks noChangeAspect="1"/>
            </wp:cNvGraphicFramePr>
            <a:graphic>
              <a:graphicData uri="http://schemas.openxmlformats.org/drawingml/2006/picture">
                <pic:pic>
                  <pic:nvPicPr>
                    <pic:cNvPr id="0" name="eq_state.png"/>
                    <pic:cNvPicPr/>
                  </pic:nvPicPr>
                  <pic:blipFill>
                    <a:blip r:embed="rId18"/>
                    <a:stretch>
                      <a:fillRect/>
                    </a:stretch>
                  </pic:blipFill>
                  <pic:spPr>
                    <a:xfrm>
                      <a:off x="0" y="0"/>
                      <a:ext cx="4114800" cy="414313"/>
                    </a:xfrm>
                    <a:prstGeom prst="rect"/>
                  </pic:spPr>
                </pic:pic>
              </a:graphicData>
            </a:graphic>
          </wp:inline>
        </w:drawing>
      </w:r>
    </w:p>
    <w:p>
      <w:pPr>
        <w:jc w:val="center"/>
      </w:pPr>
      <w:r>
        <w:rPr>
          <w:i/>
          <w:sz w:val="20"/>
        </w:rPr>
        <w:t>Equation 3.1 — State observed by the policy.</w:t>
      </w:r>
    </w:p>
    <w:p>
      <w:r>
        <w:rPr>
          <w:b w:val="0"/>
          <w:i w:val="0"/>
        </w:rPr>
        <w:t>where r_t = log(p_t / p_{t-1}) is the daily log return, L is the lookback length (L = 20 throughout), pi_t is the position size as a multiple of the cash balance, and u_t in [0, 1] is the unit-interval uncertainty score from Section 3.4. For the baseline policy u_t is replaced by a constant zero so that the two policies share an identical state-space dimension and the comparison stays controlled.</w:t>
      </w:r>
    </w:p>
    <w:p>
      <w:pPr>
        <w:pStyle w:val="Heading3"/>
      </w:pPr>
      <w:r>
        <w:rPr>
          <w:color w:val="000000"/>
        </w:rPr>
        <w:t>3.1.3 Per-step reward</w:t>
      </w:r>
    </w:p>
    <w:p>
      <w:r>
        <w:rPr>
          <w:b w:val="0"/>
          <w:i w:val="0"/>
        </w:rPr>
        <w:t>The reward is the scaled log-growth of portfolio value:</w:t>
      </w:r>
    </w:p>
    <w:p>
      <w:pPr>
        <w:jc w:val="center"/>
      </w:pPr>
      <w:r>
        <w:drawing>
          <wp:inline xmlns:a="http://schemas.openxmlformats.org/drawingml/2006/main" xmlns:pic="http://schemas.openxmlformats.org/drawingml/2006/picture">
            <wp:extent cx="4114800" cy="460063"/>
            <wp:docPr id="11" name="Picture 11"/>
            <wp:cNvGraphicFramePr>
              <a:graphicFrameLocks noChangeAspect="1"/>
            </wp:cNvGraphicFramePr>
            <a:graphic>
              <a:graphicData uri="http://schemas.openxmlformats.org/drawingml/2006/picture">
                <pic:pic>
                  <pic:nvPicPr>
                    <pic:cNvPr id="0" name="eq_reward.png"/>
                    <pic:cNvPicPr/>
                  </pic:nvPicPr>
                  <pic:blipFill>
                    <a:blip r:embed="rId19"/>
                    <a:stretch>
                      <a:fillRect/>
                    </a:stretch>
                  </pic:blipFill>
                  <pic:spPr>
                    <a:xfrm>
                      <a:off x="0" y="0"/>
                      <a:ext cx="4114800" cy="460063"/>
                    </a:xfrm>
                    <a:prstGeom prst="rect"/>
                  </pic:spPr>
                </pic:pic>
              </a:graphicData>
            </a:graphic>
          </wp:inline>
        </w:drawing>
      </w:r>
    </w:p>
    <w:p>
      <w:pPr>
        <w:jc w:val="center"/>
      </w:pPr>
      <w:r>
        <w:rPr>
          <w:i/>
          <w:sz w:val="20"/>
        </w:rPr>
        <w:t>Equation 3.2 — Per-step reward, with cash B_t and shares n_t at price p_t.</w:t>
      </w:r>
    </w:p>
    <w:p>
      <w:r>
        <w:rPr>
          <w:b w:val="0"/>
          <w:i w:val="0"/>
        </w:rPr>
        <w:t>The factor of 100 is a numerical convenience that puts daily log-growth into single-digit units; it does not change the optimal policy. Transaction costs enter through the cost-debited cash balance in V_{t+1}, so a trade that does not earn back its cost reduces the reward by construction; no separate cost-penalty term is needed in the reward.</w:t>
      </w:r>
    </w:p>
    <w:p>
      <w:pPr>
        <w:pStyle w:val="Heading3"/>
      </w:pPr>
      <w:r>
        <w:rPr>
          <w:color w:val="000000"/>
        </w:rPr>
        <w:t>3.1.4 Unconstrained MDP objective</w:t>
      </w:r>
    </w:p>
    <w:p>
      <w:r>
        <w:rPr>
          <w:b w:val="0"/>
          <w:i w:val="0"/>
        </w:rPr>
        <w:t>A policy pi_theta, parameterised by theta, is judged on the expected discounted return under that policy:</w:t>
      </w:r>
    </w:p>
    <w:p>
      <w:pPr>
        <w:jc w:val="center"/>
      </w:pPr>
      <w:r>
        <w:drawing>
          <wp:inline xmlns:a="http://schemas.openxmlformats.org/drawingml/2006/main" xmlns:pic="http://schemas.openxmlformats.org/drawingml/2006/picture">
            <wp:extent cx="4114800" cy="938981"/>
            <wp:docPr id="12" name="Picture 12"/>
            <wp:cNvGraphicFramePr>
              <a:graphicFrameLocks noChangeAspect="1"/>
            </wp:cNvGraphicFramePr>
            <a:graphic>
              <a:graphicData uri="http://schemas.openxmlformats.org/drawingml/2006/picture">
                <pic:pic>
                  <pic:nvPicPr>
                    <pic:cNvPr id="0" name="eq_mdp_objective.png"/>
                    <pic:cNvPicPr/>
                  </pic:nvPicPr>
                  <pic:blipFill>
                    <a:blip r:embed="rId20"/>
                    <a:stretch>
                      <a:fillRect/>
                    </a:stretch>
                  </pic:blipFill>
                  <pic:spPr>
                    <a:xfrm>
                      <a:off x="0" y="0"/>
                      <a:ext cx="4114800" cy="938981"/>
                    </a:xfrm>
                    <a:prstGeom prst="rect"/>
                  </pic:spPr>
                </pic:pic>
              </a:graphicData>
            </a:graphic>
          </wp:inline>
        </w:drawing>
      </w:r>
    </w:p>
    <w:p>
      <w:pPr>
        <w:jc w:val="center"/>
      </w:pPr>
      <w:r>
        <w:rPr>
          <w:i/>
          <w:sz w:val="20"/>
        </w:rPr>
        <w:t>Equation 3.3 — Unconstrained MDP discounted-return objective.</w:t>
      </w:r>
    </w:p>
    <w:p>
      <w:r>
        <w:rPr>
          <w:b w:val="0"/>
          <w:i w:val="0"/>
        </w:rPr>
        <w:t>where the expectation is taken over trajectories tau = (s_0, a_0, s_1, a_1, ..., s_T) sampled by following pi_theta in the trading environment, and gamma in (0, 1] is the discount factor (gamma = 0.99 throughout). This is the only quantity that PPO directly optimises, through the clipped surrogate of Equation 2.8.</w:t>
      </w:r>
    </w:p>
    <w:p>
      <w:pPr>
        <w:pStyle w:val="Heading3"/>
      </w:pPr>
      <w:r>
        <w:rPr>
          <w:color w:val="000000"/>
        </w:rPr>
        <w:t>3.1.5 Constrained objective</w:t>
      </w:r>
    </w:p>
    <w:p>
      <w:r>
        <w:rPr>
          <w:b w:val="0"/>
          <w:i w:val="0"/>
        </w:rPr>
        <w:t>The objective this dissertation actually studies is constrained: the agent must earn risk-adjusted return on the test trajectory while keeping its loss from peak below a stated floor. Formally,</w:t>
      </w:r>
    </w:p>
    <w:p>
      <w:pPr>
        <w:jc w:val="center"/>
      </w:pPr>
      <w:r>
        <w:drawing>
          <wp:inline xmlns:a="http://schemas.openxmlformats.org/drawingml/2006/main" xmlns:pic="http://schemas.openxmlformats.org/drawingml/2006/picture">
            <wp:extent cx="4114800" cy="377837"/>
            <wp:docPr id="13" name="Picture 13"/>
            <wp:cNvGraphicFramePr>
              <a:graphicFrameLocks noChangeAspect="1"/>
            </wp:cNvGraphicFramePr>
            <a:graphic>
              <a:graphicData uri="http://schemas.openxmlformats.org/drawingml/2006/picture">
                <pic:pic>
                  <pic:nvPicPr>
                    <pic:cNvPr id="0" name="eq_constrained_objective.png"/>
                    <pic:cNvPicPr/>
                  </pic:nvPicPr>
                  <pic:blipFill>
                    <a:blip r:embed="rId21"/>
                    <a:stretch>
                      <a:fillRect/>
                    </a:stretch>
                  </pic:blipFill>
                  <pic:spPr>
                    <a:xfrm>
                      <a:off x="0" y="0"/>
                      <a:ext cx="4114800" cy="377837"/>
                    </a:xfrm>
                    <a:prstGeom prst="rect"/>
                  </pic:spPr>
                </pic:pic>
              </a:graphicData>
            </a:graphic>
          </wp:inline>
        </w:drawing>
      </w:r>
    </w:p>
    <w:p>
      <w:pPr>
        <w:jc w:val="center"/>
      </w:pPr>
      <w:r>
        <w:rPr>
          <w:i/>
          <w:sz w:val="20"/>
        </w:rPr>
        <w:t>Equation 3.4 — Constrained optimisation problem solved in this dissertation.</w:t>
      </w:r>
    </w:p>
    <w:p>
      <w:r>
        <w:rPr>
          <w:b w:val="0"/>
          <w:i w:val="0"/>
        </w:rPr>
        <w:t>where alpha in (0, 1] is the preservation floor (alpha = 0.95 in the headline experiment), Pres is the capital-preservation ratio against the running high-watermark, and the second constraint bounds per-step turnover by the maximum trade fraction f_max. Transaction costs are absorbed through V_{t+1} in Equation 3.2 and so do not appear as a separate constraint. The headline empirical question of this dissertation is whether the policy of Section 3.5 satisfies the preservation constraint while improving J relative to passive buy-and-hold and the rule-based stop-loss comparator on the held-out test window.</w:t>
      </w:r>
    </w:p>
    <w:p>
      <w:pPr>
        <w:pStyle w:val="Heading3"/>
      </w:pPr>
      <w:r>
        <w:rPr>
          <w:color w:val="000000"/>
        </w:rPr>
        <w:t>3.1.6 Soft enforcement of the preservation constraint</w:t>
      </w:r>
    </w:p>
    <w:p>
      <w:r>
        <w:rPr>
          <w:b w:val="0"/>
          <w:i w:val="0"/>
        </w:rPr>
        <w:t>Imposing the preservation constraint as a Lagrangian penalty during training was experimented with in early prototypes and found to be unstable. The constraint is path-dependent: it depends on the running future maximum of the trajectory, which the policy cannot observe in advance. When violations are penalised after the fact the gradient signal arrives too late to be useful for credit assignment, and PPO's clipped surrogate compounds the difficulty by limiting how aggressively the policy may move per update. The design adopted in this dissertation, set out in detail in Section 3.5, instead enforces the constraint implicitly through two modifications of the realised trade size: a shrink by (1 - u_t) with a floor s_min, and a hard guard that zeros out new long-side trades when the uncertainty score exceeds a quantile threshold tau. The hyper-parameters s_min and tau are chosen on the train and validation windows so that the preservation constraint is satisfied empirically. Constraint satisfaction on the held-out test window is then a post-hoc check that the implicit enforcement carries over to data the policy has not seen.</w:t>
      </w:r>
    </w:p>
    <w:p>
      <w:pPr>
        <w:pStyle w:val="Heading2"/>
      </w:pPr>
      <w:r>
        <w:rPr>
          <w:color w:val="000000"/>
        </w:rPr>
        <w:t>3.2 Data and preprocessing</w:t>
      </w:r>
    </w:p>
    <w:p>
      <w:r>
        <w:rPr>
          <w:b w:val="0"/>
          <w:i w:val="0"/>
        </w:rPr>
        <w:t>Daily adjusted close prices come from Yahoo Finance via the yfinance Python package. The Phase-1 test universe is a 70-ticker diversified-equity universe consisting of 41 single-name US large-cap equities (spanning technology, payments and financial services, healthcare, consumer and industrials) and 29 exchange-traded funds (covering broad-market indices, sector SPDRs, dividend ETFs, thematic exposures and commodity funds). The full ticker list is materialised as the named group fiyins_portfolio in experiments/configs/dissertation_protocol.json and is pinned to the protocol so the test universe is fixed and reproducible. SPY is presented in §5.3 and §5.4 as a representative single-ticker case study before §5.5 expands the analysis to the full universe. Two shock windows are fixed in the protocol and used during stress evaluation: the COVID crash (February to June 2020) and the onset of the Russia-Ukraine war (February to September 2022). The price series is converted to log-returns and the LSTM forecaster sees supervised sequences of length L = 20.</w:t>
      </w:r>
    </w:p>
    <w:p>
      <w:pPr>
        <w:jc w:val="center"/>
      </w:pPr>
      <w:r>
        <w:drawing>
          <wp:inline xmlns:a="http://schemas.openxmlformats.org/drawingml/2006/main" xmlns:pic="http://schemas.openxmlformats.org/drawingml/2006/picture">
            <wp:extent cx="4114800" cy="227687"/>
            <wp:docPr id="14" name="Picture 14"/>
            <wp:cNvGraphicFramePr>
              <a:graphicFrameLocks noChangeAspect="1"/>
            </wp:cNvGraphicFramePr>
            <a:graphic>
              <a:graphicData uri="http://schemas.openxmlformats.org/drawingml/2006/picture">
                <pic:pic>
                  <pic:nvPicPr>
                    <pic:cNvPr id="0" name="eq_returns_seq.png"/>
                    <pic:cNvPicPr/>
                  </pic:nvPicPr>
                  <pic:blipFill>
                    <a:blip r:embed="rId22"/>
                    <a:stretch>
                      <a:fillRect/>
                    </a:stretch>
                  </pic:blipFill>
                  <pic:spPr>
                    <a:xfrm>
                      <a:off x="0" y="0"/>
                      <a:ext cx="4114800" cy="227687"/>
                    </a:xfrm>
                    <a:prstGeom prst="rect"/>
                  </pic:spPr>
                </pic:pic>
              </a:graphicData>
            </a:graphic>
          </wp:inline>
        </w:drawing>
      </w:r>
    </w:p>
    <w:p>
      <w:pPr>
        <w:jc w:val="center"/>
      </w:pPr>
      <w:r>
        <w:rPr>
          <w:i/>
          <w:sz w:val="20"/>
        </w:rPr>
        <w:t>Equation 3.5 — Log-returns and supervised sequence construction.</w:t>
      </w:r>
    </w:p>
    <w:p>
      <w:pPr>
        <w:pStyle w:val="Heading2"/>
      </w:pPr>
      <w:r>
        <w:rPr>
          <w:color w:val="000000"/>
        </w:rPr>
        <w:t>3.3 Probabilistic forecaster</w:t>
      </w:r>
    </w:p>
    <w:p>
      <w:r>
        <w:rPr>
          <w:b w:val="0"/>
          <w:i w:val="0"/>
        </w:rPr>
        <w:t>The forecaster is a two-layer LSTM with hidden dimension 32, followed by two linear heads. One head emits the predictive mean, the other emits the log of the predictive variance:</w:t>
      </w:r>
    </w:p>
    <w:p>
      <w:pPr>
        <w:jc w:val="center"/>
      </w:pPr>
      <w:r>
        <w:drawing>
          <wp:inline xmlns:a="http://schemas.openxmlformats.org/drawingml/2006/main" xmlns:pic="http://schemas.openxmlformats.org/drawingml/2006/picture">
            <wp:extent cx="4114800" cy="247231"/>
            <wp:docPr id="15" name="Picture 15"/>
            <wp:cNvGraphicFramePr>
              <a:graphicFrameLocks noChangeAspect="1"/>
            </wp:cNvGraphicFramePr>
            <a:graphic>
              <a:graphicData uri="http://schemas.openxmlformats.org/drawingml/2006/picture">
                <pic:pic>
                  <pic:nvPicPr>
                    <pic:cNvPr id="0" name="eq_lstm_arch.png"/>
                    <pic:cNvPicPr/>
                  </pic:nvPicPr>
                  <pic:blipFill>
                    <a:blip r:embed="rId23"/>
                    <a:stretch>
                      <a:fillRect/>
                    </a:stretch>
                  </pic:blipFill>
                  <pic:spPr>
                    <a:xfrm>
                      <a:off x="0" y="0"/>
                      <a:ext cx="4114800" cy="247231"/>
                    </a:xfrm>
                    <a:prstGeom prst="rect"/>
                  </pic:spPr>
                </pic:pic>
              </a:graphicData>
            </a:graphic>
          </wp:inline>
        </w:drawing>
      </w:r>
    </w:p>
    <w:p>
      <w:pPr>
        <w:jc w:val="center"/>
      </w:pPr>
      <w:r>
        <w:rPr>
          <w:i/>
          <w:sz w:val="20"/>
        </w:rPr>
        <w:t>Equation 3.6 — DeepAR-style LSTM architecture used in this dissertation.</w:t>
      </w:r>
    </w:p>
    <w:p>
      <w:r>
        <w:rPr>
          <w:b w:val="0"/>
          <w:i w:val="0"/>
        </w:rPr>
        <w:t>Training uses the Gaussian NLL loss from Equation 2.9, optimised with Adam at learning rate 1e-3 for 20 epochs.</w:t>
      </w:r>
    </w:p>
    <w:p>
      <w:pPr>
        <w:pStyle w:val="Heading2"/>
      </w:pPr>
      <w:r>
        <w:rPr>
          <w:color w:val="000000"/>
        </w:rPr>
        <w:t>3.4 Uncertainty score</w:t>
      </w:r>
    </w:p>
    <w:p>
      <w:r>
        <w:rPr>
          <w:b w:val="0"/>
          <w:i w:val="0"/>
        </w:rPr>
        <w:t>At inference time the predictive standard deviation is min-max normalised across the test window into a unit-interval uncertainty score u_t in [0, 1]:</w:t>
      </w:r>
    </w:p>
    <w:p>
      <w:pPr>
        <w:jc w:val="center"/>
      </w:pPr>
      <w:r>
        <w:drawing>
          <wp:inline xmlns:a="http://schemas.openxmlformats.org/drawingml/2006/main" xmlns:pic="http://schemas.openxmlformats.org/drawingml/2006/picture">
            <wp:extent cx="4114800" cy="724268"/>
            <wp:docPr id="16" name="Picture 16"/>
            <wp:cNvGraphicFramePr>
              <a:graphicFrameLocks noChangeAspect="1"/>
            </wp:cNvGraphicFramePr>
            <a:graphic>
              <a:graphicData uri="http://schemas.openxmlformats.org/drawingml/2006/picture">
                <pic:pic>
                  <pic:nvPicPr>
                    <pic:cNvPr id="0" name="eq_uncertainty.png"/>
                    <pic:cNvPicPr/>
                  </pic:nvPicPr>
                  <pic:blipFill>
                    <a:blip r:embed="rId24"/>
                    <a:stretch>
                      <a:fillRect/>
                    </a:stretch>
                  </pic:blipFill>
                  <pic:spPr>
                    <a:xfrm>
                      <a:off x="0" y="0"/>
                      <a:ext cx="4114800" cy="724268"/>
                    </a:xfrm>
                    <a:prstGeom prst="rect"/>
                  </pic:spPr>
                </pic:pic>
              </a:graphicData>
            </a:graphic>
          </wp:inline>
        </w:drawing>
      </w:r>
    </w:p>
    <w:p>
      <w:pPr>
        <w:jc w:val="center"/>
      </w:pPr>
      <w:r>
        <w:rPr>
          <w:i/>
          <w:sz w:val="20"/>
        </w:rPr>
        <w:t>Equation 3.7 — Normalisation that produces the uncertainty score consumed by the policy.</w:t>
      </w:r>
    </w:p>
    <w:p>
      <w:pPr>
        <w:pStyle w:val="Heading2"/>
      </w:pPr>
      <w:r>
        <w:rPr>
          <w:color w:val="000000"/>
        </w:rPr>
        <w:t>3.5 Trading environment and the contribution</w:t>
      </w:r>
    </w:p>
    <w:p>
      <w:r>
        <w:rPr>
          <w:b w:val="0"/>
          <w:i w:val="0"/>
        </w:rPr>
        <w:t>Both agents share the same gymnasium-compatible environment. The only mathematical difference between them is two extra terms in the trade-size computation that the probabilistic agent uses. With cash balance B_t, max trade fraction f_max = 0.10, raw policy action a_t in [-1, 1], uncertainty u_t in [0, 1], threshold tau set at the 80th percentile of u_t, and minimum scale s_min = 0.10, the baseline trade size is</w:t>
      </w:r>
    </w:p>
    <w:p>
      <w:pPr>
        <w:jc w:val="center"/>
      </w:pPr>
      <w:r>
        <w:drawing>
          <wp:inline xmlns:a="http://schemas.openxmlformats.org/drawingml/2006/main" xmlns:pic="http://schemas.openxmlformats.org/drawingml/2006/picture">
            <wp:extent cx="4114800" cy="752889"/>
            <wp:docPr id="17" name="Picture 17"/>
            <wp:cNvGraphicFramePr>
              <a:graphicFrameLocks noChangeAspect="1"/>
            </wp:cNvGraphicFramePr>
            <a:graphic>
              <a:graphicData uri="http://schemas.openxmlformats.org/drawingml/2006/picture">
                <pic:pic>
                  <pic:nvPicPr>
                    <pic:cNvPr id="0" name="eq_baseline_trade.png"/>
                    <pic:cNvPicPr/>
                  </pic:nvPicPr>
                  <pic:blipFill>
                    <a:blip r:embed="rId25"/>
                    <a:stretch>
                      <a:fillRect/>
                    </a:stretch>
                  </pic:blipFill>
                  <pic:spPr>
                    <a:xfrm>
                      <a:off x="0" y="0"/>
                      <a:ext cx="4114800" cy="752889"/>
                    </a:xfrm>
                    <a:prstGeom prst="rect"/>
                  </pic:spPr>
                </pic:pic>
              </a:graphicData>
            </a:graphic>
          </wp:inline>
        </w:drawing>
      </w:r>
    </w:p>
    <w:p>
      <w:pPr>
        <w:jc w:val="center"/>
      </w:pPr>
      <w:r>
        <w:rPr>
          <w:i/>
          <w:sz w:val="20"/>
        </w:rPr>
        <w:t>Equation 3.8 — Baseline PPO trade size.</w:t>
      </w:r>
    </w:p>
    <w:p>
      <w:r>
        <w:rPr>
          <w:b w:val="0"/>
          <w:i w:val="0"/>
        </w:rPr>
        <w:t>and the probabilistic trade size is</w:t>
      </w:r>
    </w:p>
    <w:p>
      <w:pPr>
        <w:jc w:val="center"/>
      </w:pPr>
      <w:r>
        <w:drawing>
          <wp:inline xmlns:a="http://schemas.openxmlformats.org/drawingml/2006/main" xmlns:pic="http://schemas.openxmlformats.org/drawingml/2006/picture">
            <wp:extent cx="4114800" cy="215205"/>
            <wp:docPr id="18" name="Picture 18"/>
            <wp:cNvGraphicFramePr>
              <a:graphicFrameLocks noChangeAspect="1"/>
            </wp:cNvGraphicFramePr>
            <a:graphic>
              <a:graphicData uri="http://schemas.openxmlformats.org/drawingml/2006/picture">
                <pic:pic>
                  <pic:nvPicPr>
                    <pic:cNvPr id="0" name="eq_probabilistic_trade.png"/>
                    <pic:cNvPicPr/>
                  </pic:nvPicPr>
                  <pic:blipFill>
                    <a:blip r:embed="rId26"/>
                    <a:stretch>
                      <a:fillRect/>
                    </a:stretch>
                  </pic:blipFill>
                  <pic:spPr>
                    <a:xfrm>
                      <a:off x="0" y="0"/>
                      <a:ext cx="4114800" cy="215205"/>
                    </a:xfrm>
                    <a:prstGeom prst="rect"/>
                  </pic:spPr>
                </pic:pic>
              </a:graphicData>
            </a:graphic>
          </wp:inline>
        </w:drawing>
      </w:r>
    </w:p>
    <w:p>
      <w:pPr>
        <w:jc w:val="center"/>
      </w:pPr>
      <w:r>
        <w:rPr>
          <w:i/>
          <w:sz w:val="20"/>
        </w:rPr>
        <w:t>Equation 3.9 — Probabilistic PPO trade size with the trade-scaling factor and the risk-on guard.</w:t>
      </w:r>
    </w:p>
    <w:p>
      <w:r>
        <w:rPr>
          <w:b w:val="0"/>
          <w:i w:val="0"/>
        </w:rPr>
        <w:t>Equation 3.9 is the mathematical contribution of this dissertation. The first extra factor, the trade-scaling term, shrinks every trade in proportion to the current forecast uncertainty, with the floor s_min stopping the agent from being silenced entirely on a quiet day. The second term is a hard guard: once uncertainty exceeds tau, no new long-side risk may be added. The agent can still de-risk by selling.</w:t>
      </w:r>
    </w:p>
    <w:p>
      <w:pPr>
        <w:jc w:val="center"/>
      </w:pPr>
      <w:r>
        <w:drawing>
          <wp:inline xmlns:a="http://schemas.openxmlformats.org/drawingml/2006/main" xmlns:pic="http://schemas.openxmlformats.org/drawingml/2006/picture">
            <wp:extent cx="5029200" cy="1508760"/>
            <wp:docPr id="19" name="Picture 19"/>
            <wp:cNvGraphicFramePr>
              <a:graphicFrameLocks noChangeAspect="1"/>
            </wp:cNvGraphicFramePr>
            <a:graphic>
              <a:graphicData uri="http://schemas.openxmlformats.org/drawingml/2006/picture">
                <pic:pic>
                  <pic:nvPicPr>
                    <pic:cNvPr id="0" name="uncertainty_signal.png"/>
                    <pic:cNvPicPr/>
                  </pic:nvPicPr>
                  <pic:blipFill>
                    <a:blip r:embed="rId27"/>
                    <a:stretch>
                      <a:fillRect/>
                    </a:stretch>
                  </pic:blipFill>
                  <pic:spPr>
                    <a:xfrm>
                      <a:off x="0" y="0"/>
                      <a:ext cx="5029200" cy="1508760"/>
                    </a:xfrm>
                    <a:prstGeom prst="rect"/>
                  </pic:spPr>
                </pic:pic>
              </a:graphicData>
            </a:graphic>
          </wp:inline>
        </w:drawing>
      </w:r>
    </w:p>
    <w:p>
      <w:pPr>
        <w:jc w:val="center"/>
      </w:pPr>
      <w:r>
        <w:rPr>
          <w:i/>
          <w:sz w:val="20"/>
        </w:rPr>
        <w:t>Figure 3.1 — Normalised forecast uncertainty u_t over the test window; the 80th-percentile threshold tau is the gate above which new buys are blocked.</w:t>
      </w:r>
    </w:p>
    <w:p>
      <w:pPr>
        <w:pStyle w:val="Heading2"/>
      </w:pPr>
      <w:r>
        <w:rPr>
          <w:color w:val="000000"/>
        </w:rPr>
        <w:t>3.6 Baseline PPO</w:t>
      </w:r>
    </w:p>
    <w:p>
      <w:r>
        <w:rPr>
          <w:b w:val="0"/>
          <w:i w:val="0"/>
        </w:rPr>
        <w:t>The baseline agent is identical in every other respect. Same observation window, same reward, same hyper-parameters (learning rate 3e-4, n_steps 512, batch size 64, n_epochs 5, total time-steps 10 000), and the same Stable-Baselines3 PPO solver with an MLP policy. What it does not have is the uncertainty coordinate in the state and the two extra factors in Equation 3.9.</w:t>
      </w:r>
    </w:p>
    <w:p>
      <w:pPr>
        <w:pStyle w:val="Heading2"/>
      </w:pPr>
      <w:r>
        <w:rPr>
          <w:color w:val="000000"/>
        </w:rPr>
        <w:t>3.7 Evaluation protocol</w:t>
      </w:r>
    </w:p>
    <w:p>
      <w:r>
        <w:rPr>
          <w:b w:val="0"/>
          <w:i w:val="0"/>
        </w:rPr>
        <w:t>The protocol fixes the train, validation and test splits (2009 to 2018, 2019 to 2021, and 2022 to 2025). Three random seeds {7, 19, 42} are used for both the baseline and the probabilistic agent. Benchmarks are a buy-and-hold of SPY taken at the start of the test window, and an all-cash position. The metric set is: final portfolio value, annualised return and volatility, Sharpe ratio, maximum drawdown, the 95 % Value-at-Risk and the rate at which the realised log-return falls below it, and the capital-preservation ratio against the running high-watermark.</w:t>
      </w:r>
    </w:p>
    <w:p>
      <w:pPr>
        <w:jc w:val="center"/>
      </w:pPr>
      <w:r>
        <w:drawing>
          <wp:inline xmlns:a="http://schemas.openxmlformats.org/drawingml/2006/main" xmlns:pic="http://schemas.openxmlformats.org/drawingml/2006/picture">
            <wp:extent cx="4114800" cy="504417"/>
            <wp:docPr id="20" name="Picture 20"/>
            <wp:cNvGraphicFramePr>
              <a:graphicFrameLocks noChangeAspect="1"/>
            </wp:cNvGraphicFramePr>
            <a:graphic>
              <a:graphicData uri="http://schemas.openxmlformats.org/drawingml/2006/picture">
                <pic:pic>
                  <pic:nvPicPr>
                    <pic:cNvPr id="0" name="eq_preservation.png"/>
                    <pic:cNvPicPr/>
                  </pic:nvPicPr>
                  <pic:blipFill>
                    <a:blip r:embed="rId28"/>
                    <a:stretch>
                      <a:fillRect/>
                    </a:stretch>
                  </pic:blipFill>
                  <pic:spPr>
                    <a:xfrm>
                      <a:off x="0" y="0"/>
                      <a:ext cx="4114800" cy="504417"/>
                    </a:xfrm>
                    <a:prstGeom prst="rect"/>
                  </pic:spPr>
                </pic:pic>
              </a:graphicData>
            </a:graphic>
          </wp:inline>
        </w:drawing>
      </w:r>
    </w:p>
    <w:p>
      <w:pPr>
        <w:jc w:val="center"/>
      </w:pPr>
      <w:r>
        <w:rPr>
          <w:i/>
          <w:sz w:val="20"/>
        </w:rPr>
        <w:t>Equation 3.10 — Capital-preservation ratio against the running high-watermark.</w:t>
      </w:r>
    </w:p>
    <w:p>
      <w:r>
        <w:br w:type="page"/>
      </w:r>
    </w:p>
    <w:p>
      <w:pPr>
        <w:pStyle w:val="Heading1"/>
      </w:pPr>
      <w:r>
        <w:rPr>
          <w:color w:val="000000"/>
        </w:rPr>
        <w:t>Chapter 4 — Implementation</w:t>
      </w:r>
    </w:p>
    <w:p>
      <w:pPr>
        <w:pStyle w:val="Heading2"/>
      </w:pPr>
      <w:r>
        <w:rPr>
          <w:color w:val="000000"/>
        </w:rPr>
        <w:t>4.1 Software stack</w:t>
      </w:r>
    </w:p>
    <w:p>
      <w:pPr>
        <w:pStyle w:val="ListBullet"/>
      </w:pPr>
      <w:r>
        <w:t>Reinforcement learning: Stable-Baselines3 (PPO) on top of gymnasium.</w:t>
      </w:r>
    </w:p>
    <w:p>
      <w:pPr>
        <w:pStyle w:val="ListBullet"/>
      </w:pPr>
      <w:r>
        <w:t>Probabilistic forecaster: PyTorch (an LSTM with two linear heads, trained with Gaussian NLL).</w:t>
      </w:r>
    </w:p>
    <w:p>
      <w:pPr>
        <w:pStyle w:val="ListBullet"/>
      </w:pPr>
      <w:r>
        <w:t>Data: yfinance for daily adjusted close prices and pandas for tabular handling.</w:t>
      </w:r>
    </w:p>
    <w:p>
      <w:pPr>
        <w:pStyle w:val="ListBullet"/>
      </w:pPr>
      <w:r>
        <w:t>Reporting: matplotlib for figures, small Python scripts for the metric tables and the supervisor pack, and nbconvert for the walkthrough-notebook PDF.</w:t>
      </w:r>
    </w:p>
    <w:p>
      <w:pPr>
        <w:pStyle w:val="Heading2"/>
      </w:pPr>
      <w:r>
        <w:rPr>
          <w:color w:val="000000"/>
        </w:rPr>
        <w:t>4.2 Repository structure</w:t>
      </w:r>
    </w:p>
    <w:p>
      <w:pPr>
        <w:pStyle w:val="ListBullet"/>
      </w:pPr>
      <w:r>
        <w:t>experiments/configs/dissertation_protocol.json: the single source of truth for the protocol (splits, seeds, metric list and agent hyper-parameters).</w:t>
      </w:r>
    </w:p>
    <w:p>
      <w:pPr>
        <w:pStyle w:val="ListBullet"/>
      </w:pPr>
      <w:r>
        <w:t>experiments/common.py: environment, metric computation, data fetch and seed helpers.</w:t>
      </w:r>
    </w:p>
    <w:p>
      <w:pPr>
        <w:pStyle w:val="ListBullet"/>
      </w:pPr>
      <w:r>
        <w:t>experiments/run_baseline.py, run_probabilistic_agent.py, run_benchmarks.py: the three runners that produce the seeded artifacts.</w:t>
      </w:r>
    </w:p>
    <w:p>
      <w:pPr>
        <w:pStyle w:val="ListBullet"/>
      </w:pPr>
      <w:r>
        <w:t>experiments/results/: the generated CSV and JSON metric files and the equity-curve series.</w:t>
      </w:r>
    </w:p>
    <w:p>
      <w:pPr>
        <w:pStyle w:val="ListBullet"/>
      </w:pPr>
      <w:r>
        <w:t>reports/build_supervisor_pack.py, generate_dissertation_report.py, plot_dissertation_visuals.py and build_main_dissertation_docx.py: the reporting layer.</w:t>
      </w:r>
    </w:p>
    <w:p>
      <w:pPr>
        <w:pStyle w:val="ListBullet"/>
      </w:pPr>
      <w:r>
        <w:t>Dissertation_Walkthrough.ipynb: a single-file end-to-end walkthrough that I prepared for supervisor review.</w:t>
      </w:r>
    </w:p>
    <w:p>
      <w:pPr>
        <w:pStyle w:val="Heading2"/>
      </w:pPr>
      <w:r>
        <w:rPr>
          <w:color w:val="000000"/>
        </w:rPr>
        <w:t>4.3 Reproducibility</w:t>
      </w:r>
    </w:p>
    <w:p>
      <w:r>
        <w:rPr>
          <w:b w:val="0"/>
          <w:i w:val="0"/>
        </w:rPr>
        <w:t>Reproducibility is something I treated as a hard requirement rather than a nice-to-have. Every script reads the protocol JSON. The seeds {7, 19, 42} are set globally before each run. Results land in time-stamped JSON and CSV files. The reporting layer always picks up the latest results, which means a single re-run automatically refreshes the supervisor pack, the figures and the dissertation tables.</w:t>
      </w:r>
    </w:p>
    <w:p>
      <w:r>
        <w:br w:type="page"/>
      </w:r>
    </w:p>
    <w:p>
      <w:pPr>
        <w:pStyle w:val="Heading1"/>
      </w:pPr>
      <w:r>
        <w:rPr>
          <w:color w:val="000000"/>
        </w:rPr>
        <w:t>Chapter 5 — Results</w:t>
      </w:r>
    </w:p>
    <w:p>
      <w:pPr>
        <w:pStyle w:val="Heading2"/>
      </w:pPr>
      <w:r>
        <w:rPr>
          <w:color w:val="000000"/>
        </w:rPr>
        <w:t>5.1 Experimental setup</w:t>
      </w:r>
    </w:p>
    <w:p>
      <w:r>
        <w:rPr>
          <w:b w:val="0"/>
          <w:i w:val="0"/>
        </w:rPr>
        <w:t>The numbers below are means across the three seeds for the two seeded agents, and deterministic curves for the benchmarks. Everything is on the held-out test window, 1 January 2022 to 31 December 2025. The chapter is structured in two halves: §5.3 and §5.4 present a deep-dive single-ticker case study on SPY (the most-traded broad-market index ETF, used here as a canonical representative); §5.5 then expands the comparison to the full 70-ticker diversified-equity test universe defined in §3.2 and is the headline robustness evidence. Figure 5.1 shows the SPY adjusted-close series used in the §5.3 / §5.4 case study.</w:t>
      </w:r>
    </w:p>
    <w:p>
      <w:pPr>
        <w:jc w:val="center"/>
      </w:pPr>
      <w:r>
        <w:drawing>
          <wp:inline xmlns:a="http://schemas.openxmlformats.org/drawingml/2006/main" xmlns:pic="http://schemas.openxmlformats.org/drawingml/2006/picture">
            <wp:extent cx="5029200" cy="2011680"/>
            <wp:docPr id="21" name="Picture 21"/>
            <wp:cNvGraphicFramePr>
              <a:graphicFrameLocks noChangeAspect="1"/>
            </wp:cNvGraphicFramePr>
            <a:graphic>
              <a:graphicData uri="http://schemas.openxmlformats.org/drawingml/2006/picture">
                <pic:pic>
                  <pic:nvPicPr>
                    <pic:cNvPr id="0" name="dataset_spy_close.png"/>
                    <pic:cNvPicPr/>
                  </pic:nvPicPr>
                  <pic:blipFill>
                    <a:blip r:embed="rId29"/>
                    <a:stretch>
                      <a:fillRect/>
                    </a:stretch>
                  </pic:blipFill>
                  <pic:spPr>
                    <a:xfrm>
                      <a:off x="0" y="0"/>
                      <a:ext cx="5029200" cy="2011680"/>
                    </a:xfrm>
                    <a:prstGeom prst="rect"/>
                  </pic:spPr>
                </pic:pic>
              </a:graphicData>
            </a:graphic>
          </wp:inline>
        </w:drawing>
      </w:r>
    </w:p>
    <w:p>
      <w:pPr>
        <w:jc w:val="center"/>
      </w:pPr>
      <w:r>
        <w:rPr>
          <w:i/>
          <w:sz w:val="20"/>
        </w:rPr>
        <w:t>Figure 5.1 — SPY daily adjusted close on the test window 2022 to 2025.</w:t>
      </w:r>
    </w:p>
    <w:p>
      <w:pPr>
        <w:pStyle w:val="Heading2"/>
      </w:pPr>
      <w:r>
        <w:rPr>
          <w:color w:val="000000"/>
        </w:rPr>
        <w:t>5.2 Forecast uncertainty in the test window</w:t>
      </w:r>
    </w:p>
    <w:p>
      <w:r>
        <w:rPr>
          <w:b w:val="0"/>
          <w:i w:val="0"/>
        </w:rPr>
        <w:t>Figure 3.1 already shows the normalised uncertainty signal that the probabilistic agent consumes. The high-uncertainty bands cluster around regions of elevated realised volatility, which is what one would hope to see if the forecaster has picked up anything useful. Numerical summaries (minimum, mean, maximum and the 80th-percentile threshold tau) are printed at run time in the walkthrough notebook.</w:t>
      </w:r>
    </w:p>
    <w:p>
      <w:pPr>
        <w:pStyle w:val="Heading2"/>
      </w:pPr>
      <w:r>
        <w:rPr>
          <w:color w:val="000000"/>
        </w:rPr>
        <w:t>5.3 Aggregate comparison table</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tcPr>
          <w:p>
            <w:r>
              <w:rPr>
                <w:b/>
              </w:rPr>
              <w:t>Agent</w:t>
            </w:r>
          </w:p>
        </w:tc>
        <w:tc>
          <w:tcPr>
            <w:tcW w:type="dxa" w:w="1568"/>
            <w:vAlign w:val="center"/>
          </w:tcPr>
          <w:p>
            <w:r>
              <w:rPr>
                <w:b/>
              </w:rPr>
              <w:t>Final value (USD)</w:t>
            </w:r>
          </w:p>
        </w:tc>
        <w:tc>
          <w:tcPr>
            <w:tcW w:type="dxa" w:w="1568"/>
            <w:vAlign w:val="center"/>
          </w:tcPr>
          <w:p>
            <w:r>
              <w:rPr>
                <w:b/>
              </w:rPr>
              <w:t>Sharpe</w:t>
            </w:r>
          </w:p>
        </w:tc>
        <w:tc>
          <w:tcPr>
            <w:tcW w:type="dxa" w:w="1568"/>
            <w:vAlign w:val="center"/>
          </w:tcPr>
          <w:p>
            <w:r>
              <w:rPr>
                <w:b/>
              </w:rPr>
              <w:t>Max DD</w:t>
            </w:r>
          </w:p>
        </w:tc>
        <w:tc>
          <w:tcPr>
            <w:tcW w:type="dxa" w:w="1568"/>
            <w:vAlign w:val="center"/>
          </w:tcPr>
          <w:p>
            <w:r>
              <w:rPr>
                <w:b/>
              </w:rPr>
              <w:t>VaR-95 viol.</w:t>
            </w:r>
          </w:p>
        </w:tc>
        <w:tc>
          <w:tcPr>
            <w:tcW w:type="dxa" w:w="1568"/>
            <w:vAlign w:val="center"/>
          </w:tcPr>
          <w:p>
            <w:r>
              <w:rPr>
                <w:b/>
              </w:rPr>
              <w:t>Preservation</w:t>
            </w:r>
          </w:p>
        </w:tc>
      </w:tr>
      <w:tr>
        <w:tc>
          <w:tcPr>
            <w:tcW w:type="dxa" w:w="1568"/>
            <w:vAlign w:val="center"/>
          </w:tcPr>
          <w:p>
            <w:r>
              <w:t>Baseline PPO</w:t>
            </w:r>
          </w:p>
        </w:tc>
        <w:tc>
          <w:tcPr>
            <w:tcW w:type="dxa" w:w="1568"/>
            <w:vAlign w:val="center"/>
          </w:tcPr>
          <w:p>
            <w:r>
              <w:t>$985,463</w:t>
            </w:r>
          </w:p>
        </w:tc>
        <w:tc>
          <w:tcPr>
            <w:tcW w:type="dxa" w:w="1568"/>
            <w:vAlign w:val="center"/>
          </w:tcPr>
          <w:p>
            <w:r>
              <w:t>-0.4285</w:t>
            </w:r>
          </w:p>
        </w:tc>
        <w:tc>
          <w:tcPr>
            <w:tcW w:type="dxa" w:w="1568"/>
            <w:vAlign w:val="center"/>
          </w:tcPr>
          <w:p>
            <w:r>
              <w:t>0.0209</w:t>
            </w:r>
          </w:p>
        </w:tc>
        <w:tc>
          <w:tcPr>
            <w:tcW w:type="dxa" w:w="1568"/>
            <w:vAlign w:val="center"/>
          </w:tcPr>
          <w:p>
            <w:r>
              <w:t>0.0105</w:t>
            </w:r>
          </w:p>
        </w:tc>
        <w:tc>
          <w:tcPr>
            <w:tcW w:type="dxa" w:w="1568"/>
            <w:vAlign w:val="center"/>
          </w:tcPr>
          <w:p>
            <w:r>
              <w:t>0.9811</w:t>
            </w:r>
          </w:p>
        </w:tc>
      </w:tr>
      <w:tr>
        <w:tc>
          <w:tcPr>
            <w:tcW w:type="dxa" w:w="1568"/>
            <w:vAlign w:val="center"/>
          </w:tcPr>
          <w:p>
            <w:r>
              <w:t>Probabilistic PPO</w:t>
            </w:r>
          </w:p>
        </w:tc>
        <w:tc>
          <w:tcPr>
            <w:tcW w:type="dxa" w:w="1568"/>
            <w:vAlign w:val="center"/>
          </w:tcPr>
          <w:p>
            <w:r>
              <w:t>$1,597,558</w:t>
            </w:r>
          </w:p>
        </w:tc>
        <w:tc>
          <w:tcPr>
            <w:tcW w:type="dxa" w:w="1568"/>
            <w:vAlign w:val="center"/>
          </w:tcPr>
          <w:p>
            <w:r>
              <w:t>+0.7250</w:t>
            </w:r>
          </w:p>
        </w:tc>
        <w:tc>
          <w:tcPr>
            <w:tcW w:type="dxa" w:w="1568"/>
            <w:vAlign w:val="center"/>
          </w:tcPr>
          <w:p>
            <w:r>
              <w:t>0.1978</w:t>
            </w:r>
          </w:p>
        </w:tc>
        <w:tc>
          <w:tcPr>
            <w:tcW w:type="dxa" w:w="1568"/>
            <w:vAlign w:val="center"/>
          </w:tcPr>
          <w:p>
            <w:r>
              <w:t>0.0500</w:t>
            </w:r>
          </w:p>
        </w:tc>
        <w:tc>
          <w:tcPr>
            <w:tcW w:type="dxa" w:w="1568"/>
            <w:vAlign w:val="center"/>
          </w:tcPr>
          <w:p>
            <w:r>
              <w:t>0.9965</w:t>
            </w:r>
          </w:p>
        </w:tc>
      </w:tr>
      <w:tr>
        <w:tc>
          <w:tcPr>
            <w:tcW w:type="dxa" w:w="1568"/>
            <w:vAlign w:val="center"/>
          </w:tcPr>
          <w:p>
            <w:r>
              <w:t>Rule-based stop-loss (5%)</w:t>
            </w:r>
          </w:p>
        </w:tc>
        <w:tc>
          <w:tcPr>
            <w:tcW w:type="dxa" w:w="1568"/>
            <w:vAlign w:val="center"/>
          </w:tcPr>
          <w:p>
            <w:r>
              <w:t>$1,233,202</w:t>
            </w:r>
          </w:p>
        </w:tc>
        <w:tc>
          <w:tcPr>
            <w:tcW w:type="dxa" w:w="1568"/>
            <w:vAlign w:val="center"/>
          </w:tcPr>
          <w:p>
            <w:r>
              <w:t>+0.4237</w:t>
            </w:r>
          </w:p>
        </w:tc>
        <w:tc>
          <w:tcPr>
            <w:tcW w:type="dxa" w:w="1568"/>
            <w:vAlign w:val="center"/>
          </w:tcPr>
          <w:p>
            <w:r>
              <w:t>0.2523</w:t>
            </w:r>
          </w:p>
        </w:tc>
        <w:tc>
          <w:tcPr>
            <w:tcW w:type="dxa" w:w="1568"/>
            <w:vAlign w:val="center"/>
          </w:tcPr>
          <w:p>
            <w:r>
              <w:t>0.0500</w:t>
            </w:r>
          </w:p>
        </w:tc>
        <w:tc>
          <w:tcPr>
            <w:tcW w:type="dxa" w:w="1568"/>
            <w:vAlign w:val="center"/>
          </w:tcPr>
          <w:p>
            <w:r>
              <w:t>0.9905</w:t>
            </w:r>
          </w:p>
        </w:tc>
      </w:tr>
      <w:tr>
        <w:tc>
          <w:tcPr>
            <w:tcW w:type="dxa" w:w="1568"/>
            <w:vAlign w:val="center"/>
          </w:tcPr>
          <w:p>
            <w:r>
              <w:t>Rule-based stop-loss (10%)</w:t>
            </w:r>
          </w:p>
        </w:tc>
        <w:tc>
          <w:tcPr>
            <w:tcW w:type="dxa" w:w="1568"/>
            <w:vAlign w:val="center"/>
          </w:tcPr>
          <w:p>
            <w:r>
              <w:t>$1,241,164</w:t>
            </w:r>
          </w:p>
        </w:tc>
        <w:tc>
          <w:tcPr>
            <w:tcW w:type="dxa" w:w="1568"/>
            <w:vAlign w:val="center"/>
          </w:tcPr>
          <w:p>
            <w:r>
              <w:t>+0.4085</w:t>
            </w:r>
          </w:p>
        </w:tc>
        <w:tc>
          <w:tcPr>
            <w:tcW w:type="dxa" w:w="1568"/>
            <w:vAlign w:val="center"/>
          </w:tcPr>
          <w:p>
            <w:r>
              <w:t>0.2995</w:t>
            </w:r>
          </w:p>
        </w:tc>
        <w:tc>
          <w:tcPr>
            <w:tcW w:type="dxa" w:w="1568"/>
            <w:vAlign w:val="center"/>
          </w:tcPr>
          <w:p>
            <w:r>
              <w:t>0.0500</w:t>
            </w:r>
          </w:p>
        </w:tc>
        <w:tc>
          <w:tcPr>
            <w:tcW w:type="dxa" w:w="1568"/>
            <w:vAlign w:val="center"/>
          </w:tcPr>
          <w:p>
            <w:r>
              <w:t>0.9951</w:t>
            </w:r>
          </w:p>
        </w:tc>
      </w:tr>
      <w:tr>
        <w:tc>
          <w:tcPr>
            <w:tcW w:type="dxa" w:w="1568"/>
            <w:vAlign w:val="center"/>
          </w:tcPr>
          <w:p>
            <w:r>
              <w:t>Buy-and-hold (SPY)</w:t>
            </w:r>
          </w:p>
        </w:tc>
        <w:tc>
          <w:tcPr>
            <w:tcW w:type="dxa" w:w="1568"/>
            <w:vAlign w:val="center"/>
          </w:tcPr>
          <w:p>
            <w:r>
              <w:t>$1,520,354</w:t>
            </w:r>
          </w:p>
        </w:tc>
        <w:tc>
          <w:tcPr>
            <w:tcW w:type="dxa" w:w="1568"/>
            <w:vAlign w:val="center"/>
          </w:tcPr>
          <w:p>
            <w:r>
              <w:t>+0.5867</w:t>
            </w:r>
          </w:p>
        </w:tc>
        <w:tc>
          <w:tcPr>
            <w:tcW w:type="dxa" w:w="1568"/>
            <w:vAlign w:val="center"/>
          </w:tcPr>
          <w:p>
            <w:r>
              <w:t>0.2450</w:t>
            </w:r>
          </w:p>
        </w:tc>
        <w:tc>
          <w:tcPr>
            <w:tcW w:type="dxa" w:w="1568"/>
            <w:vAlign w:val="center"/>
          </w:tcPr>
          <w:p>
            <w:r>
              <w:t>0.0500</w:t>
            </w:r>
          </w:p>
        </w:tc>
        <w:tc>
          <w:tcPr>
            <w:tcW w:type="dxa" w:w="1568"/>
            <w:vAlign w:val="center"/>
          </w:tcPr>
          <w:p>
            <w:r>
              <w:t>0.9951</w:t>
            </w:r>
          </w:p>
        </w:tc>
      </w:tr>
      <w:tr>
        <w:tc>
          <w:tcPr>
            <w:tcW w:type="dxa" w:w="1568"/>
            <w:vAlign w:val="center"/>
          </w:tcPr>
          <w:p>
            <w:r>
              <w:t>All-cash</w:t>
            </w:r>
          </w:p>
        </w:tc>
        <w:tc>
          <w:tcPr>
            <w:tcW w:type="dxa" w:w="1568"/>
            <w:vAlign w:val="center"/>
          </w:tcPr>
          <w:p>
            <w:r>
              <w:t>$1,000,000</w:t>
            </w:r>
          </w:p>
        </w:tc>
        <w:tc>
          <w:tcPr>
            <w:tcW w:type="dxa" w:w="1568"/>
            <w:vAlign w:val="center"/>
          </w:tcPr>
          <w:p>
            <w:r>
              <w:t>+0.0000</w:t>
            </w:r>
          </w:p>
        </w:tc>
        <w:tc>
          <w:tcPr>
            <w:tcW w:type="dxa" w:w="1568"/>
            <w:vAlign w:val="center"/>
          </w:tcPr>
          <w:p>
            <w:r>
              <w:t>0.0000</w:t>
            </w:r>
          </w:p>
        </w:tc>
        <w:tc>
          <w:tcPr>
            <w:tcW w:type="dxa" w:w="1568"/>
            <w:vAlign w:val="center"/>
          </w:tcPr>
          <w:p>
            <w:r>
              <w:t>0.0000</w:t>
            </w:r>
          </w:p>
        </w:tc>
        <w:tc>
          <w:tcPr>
            <w:tcW w:type="dxa" w:w="1568"/>
            <w:vAlign w:val="center"/>
          </w:tcPr>
          <w:p>
            <w:r>
              <w:t>1.0000</w:t>
            </w:r>
          </w:p>
        </w:tc>
      </w:tr>
    </w:tbl>
    <w:p>
      <w:r>
        <w:rPr>
          <w:b w:val="0"/>
          <w:i w:val="0"/>
        </w:rPr>
        <w:t>The table above gives the headline result of the dissertation. Reading row by row: the baseline PPO ends roughly at initial capital with a slightly negative Sharpe; it neither earns return above cash nor compounds enough to test the preservation constraint in earnest. The probabilistic PPO finishes meaningfully above passive buy-and-hold on terminal value, with a Sharpe ratio of 0.85 (more than double either rule-based comparator's) and a terminal preservation ratio of 0.9965 across all three seeds. The two rule-based stop-loss policies, despite their reputation as risk-control devices, end with the largest maximum drawdowns of any non-baseline policy in the table (0.25 and 0.30 respectively): the trailing stop fires only after the drawdown has already happened, the moving-average re-entry rule is slow to re-engage, and the policy sits in cash through much of the post-2022 recovery. Their terminal preservation ratios are nonetheless above 0.99, because they do eventually re-enter and recover. Buy-and-hold itself participates fully in the upside, has a Sharpe of 0.59, and ends with a terminal preservation of 0.995, but it rides through a 24.5 % drawdown in 2022 along the way. The all-cash benchmark is constant by construction and is included as a sanity check on the metric definitions, not as a serious competitor. Section 6.2 discusses the distinction between terminal and path-based preservation in detail.</w:t>
      </w:r>
    </w:p>
    <w:p>
      <w:pPr>
        <w:pStyle w:val="Heading2"/>
      </w:pPr>
      <w:r>
        <w:rPr>
          <w:color w:val="000000"/>
        </w:rPr>
        <w:t>5.4 Equity curves and drawdown</w:t>
      </w:r>
    </w:p>
    <w:p>
      <w:pPr>
        <w:jc w:val="center"/>
      </w:pPr>
      <w:r>
        <w:drawing>
          <wp:inline xmlns:a="http://schemas.openxmlformats.org/drawingml/2006/main" xmlns:pic="http://schemas.openxmlformats.org/drawingml/2006/picture">
            <wp:extent cx="5029200" cy="2011680"/>
            <wp:docPr id="22" name="Picture 22"/>
            <wp:cNvGraphicFramePr>
              <a:graphicFrameLocks noChangeAspect="1"/>
            </wp:cNvGraphicFramePr>
            <a:graphic>
              <a:graphicData uri="http://schemas.openxmlformats.org/drawingml/2006/picture">
                <pic:pic>
                  <pic:nvPicPr>
                    <pic:cNvPr id="0" name="equity_curve_comparison.png"/>
                    <pic:cNvPicPr/>
                  </pic:nvPicPr>
                  <pic:blipFill>
                    <a:blip r:embed="rId30"/>
                    <a:stretch>
                      <a:fillRect/>
                    </a:stretch>
                  </pic:blipFill>
                  <pic:spPr>
                    <a:xfrm>
                      <a:off x="0" y="0"/>
                      <a:ext cx="5029200" cy="2011680"/>
                    </a:xfrm>
                    <a:prstGeom prst="rect"/>
                  </pic:spPr>
                </pic:pic>
              </a:graphicData>
            </a:graphic>
          </wp:inline>
        </w:drawing>
      </w:r>
    </w:p>
    <w:p>
      <w:pPr>
        <w:jc w:val="center"/>
      </w:pPr>
      <w:r>
        <w:rPr>
          <w:i/>
          <w:sz w:val="20"/>
        </w:rPr>
        <w:t>Figure 5.2 — Equity curves on the test window: baseline PPO (blue), probabilistic PPO (red), buy-and-hold (green).</w:t>
      </w:r>
    </w:p>
    <w:p>
      <w:pPr>
        <w:jc w:val="center"/>
      </w:pPr>
      <w:r>
        <w:drawing>
          <wp:inline xmlns:a="http://schemas.openxmlformats.org/drawingml/2006/main" xmlns:pic="http://schemas.openxmlformats.org/drawingml/2006/picture">
            <wp:extent cx="5029200" cy="2514600"/>
            <wp:docPr id="23" name="Picture 23"/>
            <wp:cNvGraphicFramePr>
              <a:graphicFrameLocks noChangeAspect="1"/>
            </wp:cNvGraphicFramePr>
            <a:graphic>
              <a:graphicData uri="http://schemas.openxmlformats.org/drawingml/2006/picture">
                <pic:pic>
                  <pic:nvPicPr>
                    <pic:cNvPr id="0" name="final_value_comparison.png"/>
                    <pic:cNvPicPr/>
                  </pic:nvPicPr>
                  <pic:blipFill>
                    <a:blip r:embed="rId31"/>
                    <a:stretch>
                      <a:fillRect/>
                    </a:stretch>
                  </pic:blipFill>
                  <pic:spPr>
                    <a:xfrm>
                      <a:off x="0" y="0"/>
                      <a:ext cx="5029200" cy="2514600"/>
                    </a:xfrm>
                    <a:prstGeom prst="rect"/>
                  </pic:spPr>
                </pic:pic>
              </a:graphicData>
            </a:graphic>
          </wp:inline>
        </w:drawing>
      </w:r>
    </w:p>
    <w:p>
      <w:pPr>
        <w:jc w:val="center"/>
      </w:pPr>
      <w:r>
        <w:rPr>
          <w:i/>
          <w:sz w:val="20"/>
        </w:rPr>
        <w:t>Figure 5.3 — Final-value comparison across baseline PPO, probabilistic PPO and buy-and-hold.</w:t>
      </w:r>
    </w:p>
    <w:p>
      <w:pPr>
        <w:pStyle w:val="Heading2"/>
      </w:pPr>
      <w:r>
        <w:rPr>
          <w:color w:val="000000"/>
        </w:rPr>
        <w:t>5.5 Multi-ticker robustness across the 70-ticker test universe</w:t>
      </w:r>
    </w:p>
    <w:p>
      <w:r>
        <w:rPr>
          <w:b w:val="0"/>
          <w:i w:val="0"/>
        </w:rPr>
        <w:t>The §5.3 single-ticker numbers establish the headline result on SPY as a representative broad-market index. A natural follow-up question is whether the same ranking holds when the protocol is applied to a heterogeneous, real-world equity universe rather than to a single liquid index ETF. Table 5.2 reports aggregate metrics for the four agents across the 70-ticker diversified-equity test universe defined in §3.2 — 41 single-name US large-cap equities spanning technology, payments and financial services, healthcare, consumer and industrials, plus 29 exchange-traded funds covering broad-market indices, sector SPDRs, dividend ETFs, thematic exposures (solar, copper miners, biotech) and commodity funds (gold, silver, platinum). All values are means across the 70 tickers on the test window 2022–2025; the RL agents are averaged first across three random seeds per ticker and then across tickers.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Strategy</w:t>
            </w:r>
          </w:p>
        </w:tc>
        <w:tc>
          <w:tcPr>
            <w:tcW w:type="dxa" w:w="1568"/>
          </w:tcPr>
          <w:p>
            <w:r>
              <w:rPr>
                <w:b/>
              </w:rPr>
              <w:t>Mean final value</w:t>
            </w:r>
          </w:p>
        </w:tc>
        <w:tc>
          <w:tcPr>
            <w:tcW w:type="dxa" w:w="1568"/>
          </w:tcPr>
          <w:p>
            <w:r>
              <w:rPr>
                <w:b/>
              </w:rPr>
              <w:t>Mean Sharpe</w:t>
            </w:r>
          </w:p>
        </w:tc>
        <w:tc>
          <w:tcPr>
            <w:tcW w:type="dxa" w:w="1568"/>
          </w:tcPr>
          <w:p>
            <w:r>
              <w:rPr>
                <w:b/>
              </w:rPr>
              <w:t>Mean MDD</w:t>
            </w:r>
          </w:p>
        </w:tc>
        <w:tc>
          <w:tcPr>
            <w:tcW w:type="dxa" w:w="1568"/>
          </w:tcPr>
          <w:p>
            <w:r>
              <w:rPr>
                <w:b/>
              </w:rPr>
              <w:t>MDD &lt; B&amp;H</w:t>
            </w:r>
          </w:p>
        </w:tc>
        <w:tc>
          <w:tcPr>
            <w:tcW w:type="dxa" w:w="1568"/>
          </w:tcPr>
          <w:p>
            <w:r>
              <w:rPr>
                <w:b/>
              </w:rPr>
              <w:t>Final &gt; B&amp;H</w:t>
            </w:r>
          </w:p>
        </w:tc>
      </w:tr>
      <w:tr>
        <w:tc>
          <w:tcPr>
            <w:tcW w:type="dxa" w:w="1568"/>
          </w:tcPr>
          <w:p>
            <w:r>
              <w:t>Passive buy-and-hold</w:t>
            </w:r>
          </w:p>
        </w:tc>
        <w:tc>
          <w:tcPr>
            <w:tcW w:type="dxa" w:w="1568"/>
          </w:tcPr>
          <w:p>
            <w:r>
              <w:t>$2,099,838</w:t>
            </w:r>
          </w:p>
        </w:tc>
        <w:tc>
          <w:tcPr>
            <w:tcW w:type="dxa" w:w="1568"/>
          </w:tcPr>
          <w:p>
            <w:r>
              <w:t>+0.54</w:t>
            </w:r>
          </w:p>
        </w:tc>
        <w:tc>
          <w:tcPr>
            <w:tcW w:type="dxa" w:w="1568"/>
          </w:tcPr>
          <w:p>
            <w:r>
              <w:t>0.370</w:t>
            </w:r>
          </w:p>
        </w:tc>
        <w:tc>
          <w:tcPr>
            <w:tcW w:type="dxa" w:w="1568"/>
          </w:tcPr>
          <w:p>
            <w:r>
              <w:t>—</w:t>
            </w:r>
          </w:p>
        </w:tc>
        <w:tc>
          <w:tcPr>
            <w:tcW w:type="dxa" w:w="1568"/>
          </w:tcPr>
          <w:p>
            <w:r>
              <w:t>—</w:t>
            </w:r>
          </w:p>
        </w:tc>
      </w:tr>
      <w:tr>
        <w:tc>
          <w:tcPr>
            <w:tcW w:type="dxa" w:w="1568"/>
          </w:tcPr>
          <w:p>
            <w:r>
              <w:t>Manual 5% trailing stop</w:t>
            </w:r>
          </w:p>
        </w:tc>
        <w:tc>
          <w:tcPr>
            <w:tcW w:type="dxa" w:w="1568"/>
          </w:tcPr>
          <w:p>
            <w:r>
              <w:t>$1,531,163</w:t>
            </w:r>
          </w:p>
        </w:tc>
        <w:tc>
          <w:tcPr>
            <w:tcW w:type="dxa" w:w="1568"/>
          </w:tcPr>
          <w:p>
            <w:r>
              <w:t>+0.36</w:t>
            </w:r>
          </w:p>
        </w:tc>
        <w:tc>
          <w:tcPr>
            <w:tcW w:type="dxa" w:w="1568"/>
          </w:tcPr>
          <w:p>
            <w:r>
              <w:t>0.305</w:t>
            </w:r>
          </w:p>
        </w:tc>
        <w:tc>
          <w:tcPr>
            <w:tcW w:type="dxa" w:w="1568"/>
          </w:tcPr>
          <w:p>
            <w:r>
              <w:t>44/70</w:t>
            </w:r>
          </w:p>
        </w:tc>
        <w:tc>
          <w:tcPr>
            <w:tcW w:type="dxa" w:w="1568"/>
          </w:tcPr>
          <w:p>
            <w:r>
              <w:t>6/70</w:t>
            </w:r>
          </w:p>
        </w:tc>
      </w:tr>
      <w:tr>
        <w:tc>
          <w:tcPr>
            <w:tcW w:type="dxa" w:w="1568"/>
          </w:tcPr>
          <w:p>
            <w:r>
              <w:t>Baseline PPO (no uncertainty)</w:t>
            </w:r>
          </w:p>
        </w:tc>
        <w:tc>
          <w:tcPr>
            <w:tcW w:type="dxa" w:w="1568"/>
          </w:tcPr>
          <w:p>
            <w:r>
              <w:t>$989,430</w:t>
            </w:r>
          </w:p>
        </w:tc>
        <w:tc>
          <w:tcPr>
            <w:tcW w:type="dxa" w:w="1568"/>
          </w:tcPr>
          <w:p>
            <w:r>
              <w:t>-0.23</w:t>
            </w:r>
          </w:p>
        </w:tc>
        <w:tc>
          <w:tcPr>
            <w:tcW w:type="dxa" w:w="1568"/>
          </w:tcPr>
          <w:p>
            <w:r>
              <w:t>0.033</w:t>
            </w:r>
          </w:p>
        </w:tc>
        <w:tc>
          <w:tcPr>
            <w:tcW w:type="dxa" w:w="1568"/>
          </w:tcPr>
          <w:p>
            <w:r>
              <w:t>—</w:t>
            </w:r>
          </w:p>
        </w:tc>
        <w:tc>
          <w:tcPr>
            <w:tcW w:type="dxa" w:w="1568"/>
          </w:tcPr>
          <w:p>
            <w:r>
              <w:t>—</w:t>
            </w:r>
          </w:p>
        </w:tc>
      </w:tr>
      <w:tr>
        <w:tc>
          <w:tcPr>
            <w:tcW w:type="dxa" w:w="1568"/>
          </w:tcPr>
          <w:p>
            <w:r>
              <w:rPr>
                <w:b/>
              </w:rPr>
              <w:t>Probabilistic PPO (this work)</w:t>
            </w:r>
          </w:p>
        </w:tc>
        <w:tc>
          <w:tcPr>
            <w:tcW w:type="dxa" w:w="1568"/>
          </w:tcPr>
          <w:p>
            <w:r>
              <w:rPr>
                <w:b/>
              </w:rPr>
              <w:t>$1,998,817</w:t>
            </w:r>
          </w:p>
        </w:tc>
        <w:tc>
          <w:tcPr>
            <w:tcW w:type="dxa" w:w="1568"/>
          </w:tcPr>
          <w:p>
            <w:r>
              <w:rPr>
                <w:b/>
              </w:rPr>
              <w:t>+0.60</w:t>
            </w:r>
          </w:p>
        </w:tc>
        <w:tc>
          <w:tcPr>
            <w:tcW w:type="dxa" w:w="1568"/>
          </w:tcPr>
          <w:p>
            <w:r>
              <w:rPr>
                <w:b/>
              </w:rPr>
              <w:t>0.225</w:t>
            </w:r>
          </w:p>
        </w:tc>
        <w:tc>
          <w:tcPr>
            <w:tcW w:type="dxa" w:w="1568"/>
          </w:tcPr>
          <w:p>
            <w:r>
              <w:rPr>
                <w:b/>
              </w:rPr>
              <w:t>70/70</w:t>
            </w:r>
          </w:p>
        </w:tc>
        <w:tc>
          <w:tcPr>
            <w:tcW w:type="dxa" w:w="1568"/>
          </w:tcPr>
          <w:p>
            <w:r>
              <w:rPr>
                <w:b/>
              </w:rPr>
              <w:t>25/70</w:t>
            </w:r>
          </w:p>
        </w:tc>
      </w:tr>
    </w:tbl>
    <w:p>
      <w:pPr>
        <w:jc w:val="center"/>
      </w:pPr>
      <w:r>
        <w:rPr>
          <w:i/>
          <w:sz w:val="20"/>
        </w:rPr>
        <w:t>Table 5.2 — Aggregate four-agent comparison across the 70-ticker test universe on the 2022–2025 test window. Means are unweighted across tickers; the RL agents are averaged across three seeds per ticker first. The win counts in the last two columns are vs passive buy-and-hold on the same ticker. The full per-ticker table is in Appendix B.</w:t>
      </w:r>
    </w:p>
    <w:p>
      <w:r>
        <w:rPr>
          <w:b w:val="0"/>
          <w:i w:val="0"/>
        </w:rPr>
        <w:t>Five observations follow, listed honestly because the aggregate table is the most informative single piece of evidence in the dissertation.</w:t>
      </w:r>
    </w:p>
    <w:p>
      <w:pPr>
        <w:pStyle w:val="ListBullet"/>
      </w:pPr>
      <w:r>
        <w:t>First, the probabilistic agent reduced maximum drawdown versus passive buy-and-hold on 70 of 70 tickers — i.e. on the entire universe. The mean drawdown across the 70 tickers fell from 37.0 % (buy-and-hold) to 22.5 % (probabilistic agent), an absolute reduction of 14.5 percentage points and a relative reduction of 39 %. The 100 % ticker-coverage of the drawdown-reduction result is the strongest single number in the dissertation and the direct empirical answer to the question of whether the methodology delivers the constraint it was designed to deliver.</w:t>
      </w:r>
    </w:p>
    <w:p>
      <w:pPr>
        <w:pStyle w:val="ListBullet"/>
      </w:pPr>
      <w:r>
        <w:t>Second, the cost of that drawdown control on the universe was a give-up of approximately 4.8 % in mean terminal value — about $101 thousand on a $1 million notional. This is exactly the trade institutional risk officers, endowment managers and hedge-fund risk committees are asked to make every quarter (Markowitz 1952; Chekhlov, Uryasev and Zabarankin 2005). A 39 % cut in mean drawdown for a sub-5 % give-up in mean terminal value is, by any of those frameworks, an attractive contract.</w:t>
      </w:r>
    </w:p>
    <w:p>
      <w:pPr>
        <w:pStyle w:val="ListBullet"/>
      </w:pPr>
      <w:r>
        <w:t>Third, against the manually-tuned 5 % trailing stop the probabilistic agent won on 61 of 70 tickers in terminal value (87 %) and on essentially every ticker in Sharpe ratio. This is the empirical answer to the supervisor's challenge that an AI agent's advantage over a manual stop-loss rule must be measured rather than asserted: on the diversified equity universe, in 87 % of cases, the probabilistic agent strictly outperforms the textbook trailing stop in terminal value.</w:t>
      </w:r>
    </w:p>
    <w:p>
      <w:pPr>
        <w:pStyle w:val="ListBullet"/>
      </w:pPr>
      <w:r>
        <w:t>Fourth, the manual 5 % trailing stop earns more than passive buy-and-hold on only 6 of 70 tickers in terminal value. In the other 64 cases — sometimes by hundreds of thousands of dollars — the textbook trailing stop is strictly worse than no action at all. The heterogeneity itself is a finding: a practitioner who calibrates a single trailing-stop rule and rolls it out across a heterogeneous book will systematically underperform the no-action baseline on most of that book.</w:t>
      </w:r>
    </w:p>
    <w:p>
      <w:pPr>
        <w:pStyle w:val="ListBullet"/>
      </w:pPr>
      <w:r>
        <w:t>Fifth, the baseline PPO is a controlled lower bound. Without the uncertainty signal it converges to a near-cash policy on the majority of tickers and finishes at or just below initial capital on average; it is reproduced here only to demonstrate that the headline result is causally attributable to the probabilistic-forecaster signal rather than to a generic policy-gradient artefact.</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B&amp;H final</w:t>
            </w:r>
          </w:p>
        </w:tc>
        <w:tc>
          <w:tcPr>
            <w:tcW w:type="dxa" w:w="1344"/>
          </w:tcPr>
          <w:p>
            <w:r>
              <w:rPr>
                <w:b/>
              </w:rPr>
              <w:t>B&amp;H MDD</w:t>
            </w:r>
          </w:p>
        </w:tc>
        <w:tc>
          <w:tcPr>
            <w:tcW w:type="dxa" w:w="1344"/>
          </w:tcPr>
          <w:p>
            <w:r>
              <w:rPr>
                <w:b/>
              </w:rPr>
              <w:t>Prob final</w:t>
            </w:r>
          </w:p>
        </w:tc>
        <w:tc>
          <w:tcPr>
            <w:tcW w:type="dxa" w:w="1344"/>
          </w:tcPr>
          <w:p>
            <w:r>
              <w:rPr>
                <w:b/>
              </w:rPr>
              <w:t>Prob MDD</w:t>
            </w:r>
          </w:p>
        </w:tc>
        <w:tc>
          <w:tcPr>
            <w:tcW w:type="dxa" w:w="1344"/>
          </w:tcPr>
          <w:p>
            <w:r>
              <w:rPr>
                <w:b/>
              </w:rPr>
              <w:t>Prob Sharpe</w:t>
            </w:r>
          </w:p>
        </w:tc>
        <w:tc>
          <w:tcPr>
            <w:tcW w:type="dxa" w:w="1344"/>
          </w:tcPr>
          <w:p>
            <w:r>
              <w:rPr>
                <w:b/>
              </w:rPr>
              <w:t>Prob &gt; B&amp;H?</w:t>
            </w:r>
          </w:p>
        </w:tc>
      </w:tr>
      <w:tr>
        <w:tc>
          <w:tcPr>
            <w:tcW w:type="dxa" w:w="1344"/>
          </w:tcPr>
          <w:p>
            <w:r>
              <w:t>SPY</w:t>
            </w:r>
          </w:p>
        </w:tc>
        <w:tc>
          <w:tcPr>
            <w:tcW w:type="dxa" w:w="1344"/>
          </w:tcPr>
          <w:p>
            <w:r>
              <w:t>$1,520,354</w:t>
            </w:r>
          </w:p>
        </w:tc>
        <w:tc>
          <w:tcPr>
            <w:tcW w:type="dxa" w:w="1344"/>
          </w:tcPr>
          <w:p>
            <w:r>
              <w:t>24.5%</w:t>
            </w:r>
          </w:p>
        </w:tc>
        <w:tc>
          <w:tcPr>
            <w:tcW w:type="dxa" w:w="1344"/>
          </w:tcPr>
          <w:p>
            <w:r>
              <w:t>$1,610,579</w:t>
            </w:r>
          </w:p>
        </w:tc>
        <w:tc>
          <w:tcPr>
            <w:tcW w:type="dxa" w:w="1344"/>
          </w:tcPr>
          <w:p>
            <w:r>
              <w:t>17.9%</w:t>
            </w:r>
          </w:p>
        </w:tc>
        <w:tc>
          <w:tcPr>
            <w:tcW w:type="dxa" w:w="1344"/>
          </w:tcPr>
          <w:p>
            <w:r>
              <w:t>+0.85</w:t>
            </w:r>
          </w:p>
        </w:tc>
        <w:tc>
          <w:tcPr>
            <w:tcW w:type="dxa" w:w="1344"/>
          </w:tcPr>
          <w:p>
            <w:r>
              <w:t>WIN</w:t>
            </w:r>
          </w:p>
        </w:tc>
      </w:tr>
      <w:tr>
        <w:tc>
          <w:tcPr>
            <w:tcW w:type="dxa" w:w="1344"/>
          </w:tcPr>
          <w:p>
            <w:r>
              <w:t>QQQ</w:t>
            </w:r>
          </w:p>
        </w:tc>
        <w:tc>
          <w:tcPr>
            <w:tcW w:type="dxa" w:w="1344"/>
          </w:tcPr>
          <w:p>
            <w:r>
              <w:t>$1,581,472</w:t>
            </w:r>
          </w:p>
        </w:tc>
        <w:tc>
          <w:tcPr>
            <w:tcW w:type="dxa" w:w="1344"/>
          </w:tcPr>
          <w:p>
            <w:r>
              <w:t>34.8%</w:t>
            </w:r>
          </w:p>
        </w:tc>
        <w:tc>
          <w:tcPr>
            <w:tcW w:type="dxa" w:w="1344"/>
          </w:tcPr>
          <w:p>
            <w:r>
              <w:t>$1,755,374</w:t>
            </w:r>
          </w:p>
        </w:tc>
        <w:tc>
          <w:tcPr>
            <w:tcW w:type="dxa" w:w="1344"/>
          </w:tcPr>
          <w:p>
            <w:r>
              <w:t>22.0%</w:t>
            </w:r>
          </w:p>
        </w:tc>
        <w:tc>
          <w:tcPr>
            <w:tcW w:type="dxa" w:w="1344"/>
          </w:tcPr>
          <w:p>
            <w:r>
              <w:t>+0.83</w:t>
            </w:r>
          </w:p>
        </w:tc>
        <w:tc>
          <w:tcPr>
            <w:tcW w:type="dxa" w:w="1344"/>
          </w:tcPr>
          <w:p>
            <w:r>
              <w:t>WIN</w:t>
            </w:r>
          </w:p>
        </w:tc>
      </w:tr>
      <w:tr>
        <w:tc>
          <w:tcPr>
            <w:tcW w:type="dxa" w:w="1344"/>
          </w:tcPr>
          <w:p>
            <w:r>
              <w:t>XLK</w:t>
            </w:r>
          </w:p>
        </w:tc>
        <w:tc>
          <w:tcPr>
            <w:tcW w:type="dxa" w:w="1344"/>
          </w:tcPr>
          <w:p>
            <w:r>
              <w:t>$1,709,851</w:t>
            </w:r>
          </w:p>
        </w:tc>
        <w:tc>
          <w:tcPr>
            <w:tcW w:type="dxa" w:w="1344"/>
          </w:tcPr>
          <w:p>
            <w:r>
              <w:t>33.1%</w:t>
            </w:r>
          </w:p>
        </w:tc>
        <w:tc>
          <w:tcPr>
            <w:tcW w:type="dxa" w:w="1344"/>
          </w:tcPr>
          <w:p>
            <w:r>
              <w:t>$1,774,890</w:t>
            </w:r>
          </w:p>
        </w:tc>
        <w:tc>
          <w:tcPr>
            <w:tcW w:type="dxa" w:w="1344"/>
          </w:tcPr>
          <w:p>
            <w:r>
              <w:t>21.7%</w:t>
            </w:r>
          </w:p>
        </w:tc>
        <w:tc>
          <w:tcPr>
            <w:tcW w:type="dxa" w:w="1344"/>
          </w:tcPr>
          <w:p>
            <w:r>
              <w:t>+0.78</w:t>
            </w:r>
          </w:p>
        </w:tc>
        <w:tc>
          <w:tcPr>
            <w:tcW w:type="dxa" w:w="1344"/>
          </w:tcPr>
          <w:p>
            <w:r>
              <w:t>WIN</w:t>
            </w:r>
          </w:p>
        </w:tc>
      </w:tr>
      <w:tr>
        <w:tc>
          <w:tcPr>
            <w:tcW w:type="dxa" w:w="1344"/>
          </w:tcPr>
          <w:p>
            <w:r>
              <w:t>XLF</w:t>
            </w:r>
          </w:p>
        </w:tc>
        <w:tc>
          <w:tcPr>
            <w:tcW w:type="dxa" w:w="1344"/>
          </w:tcPr>
          <w:p>
            <w:r>
              <w:t>$1,495,550</w:t>
            </w:r>
          </w:p>
        </w:tc>
        <w:tc>
          <w:tcPr>
            <w:tcW w:type="dxa" w:w="1344"/>
          </w:tcPr>
          <w:p>
            <w:r>
              <w:t>25.8%</w:t>
            </w:r>
          </w:p>
        </w:tc>
        <w:tc>
          <w:tcPr>
            <w:tcW w:type="dxa" w:w="1344"/>
          </w:tcPr>
          <w:p>
            <w:r>
              <w:t>$1,530,610</w:t>
            </w:r>
          </w:p>
        </w:tc>
        <w:tc>
          <w:tcPr>
            <w:tcW w:type="dxa" w:w="1344"/>
          </w:tcPr>
          <w:p>
            <w:r>
              <w:t>18.7%</w:t>
            </w:r>
          </w:p>
        </w:tc>
        <w:tc>
          <w:tcPr>
            <w:tcW w:type="dxa" w:w="1344"/>
          </w:tcPr>
          <w:p>
            <w:r>
              <w:t>+0.71</w:t>
            </w:r>
          </w:p>
        </w:tc>
        <w:tc>
          <w:tcPr>
            <w:tcW w:type="dxa" w:w="1344"/>
          </w:tcPr>
          <w:p>
            <w:r>
              <w:t>WIN</w:t>
            </w:r>
          </w:p>
        </w:tc>
      </w:tr>
      <w:tr>
        <w:tc>
          <w:tcPr>
            <w:tcW w:type="dxa" w:w="1344"/>
          </w:tcPr>
          <w:p>
            <w:r>
              <w:t>SCHD</w:t>
            </w:r>
          </w:p>
        </w:tc>
        <w:tc>
          <w:tcPr>
            <w:tcW w:type="dxa" w:w="1344"/>
          </w:tcPr>
          <w:p>
            <w:r>
              <w:t>$1,187,232</w:t>
            </w:r>
          </w:p>
        </w:tc>
        <w:tc>
          <w:tcPr>
            <w:tcW w:type="dxa" w:w="1344"/>
          </w:tcPr>
          <w:p>
            <w:r>
              <w:t>16.8%</w:t>
            </w:r>
          </w:p>
        </w:tc>
        <w:tc>
          <w:tcPr>
            <w:tcW w:type="dxa" w:w="1344"/>
          </w:tcPr>
          <w:p>
            <w:r>
              <w:t>$1,128,366</w:t>
            </w:r>
          </w:p>
        </w:tc>
        <w:tc>
          <w:tcPr>
            <w:tcW w:type="dxa" w:w="1344"/>
          </w:tcPr>
          <w:p>
            <w:r>
              <w:t>12.2%</w:t>
            </w:r>
          </w:p>
        </w:tc>
        <w:tc>
          <w:tcPr>
            <w:tcW w:type="dxa" w:w="1344"/>
          </w:tcPr>
          <w:p>
            <w:r>
              <w:t>+0.10</w:t>
            </w:r>
          </w:p>
        </w:tc>
        <w:tc>
          <w:tcPr>
            <w:tcW w:type="dxa" w:w="1344"/>
          </w:tcPr>
          <w:p>
            <w:r>
              <w:t>LOSS</w:t>
            </w:r>
          </w:p>
        </w:tc>
      </w:tr>
      <w:tr>
        <w:tc>
          <w:tcPr>
            <w:tcW w:type="dxa" w:w="1344"/>
          </w:tcPr>
          <w:p>
            <w:r>
              <w:t>GLD</w:t>
            </w:r>
          </w:p>
        </w:tc>
        <w:tc>
          <w:tcPr>
            <w:tcW w:type="dxa" w:w="1344"/>
          </w:tcPr>
          <w:p>
            <w:r>
              <w:t>$2,369,690</w:t>
            </w:r>
          </w:p>
        </w:tc>
        <w:tc>
          <w:tcPr>
            <w:tcW w:type="dxa" w:w="1344"/>
          </w:tcPr>
          <w:p>
            <w:r>
              <w:t>21.0%</w:t>
            </w:r>
          </w:p>
        </w:tc>
        <w:tc>
          <w:tcPr>
            <w:tcW w:type="dxa" w:w="1344"/>
          </w:tcPr>
          <w:p>
            <w:r>
              <w:t>$2,310,967</w:t>
            </w:r>
          </w:p>
        </w:tc>
        <w:tc>
          <w:tcPr>
            <w:tcW w:type="dxa" w:w="1344"/>
          </w:tcPr>
          <w:p>
            <w:r>
              <w:t>17.1%</w:t>
            </w:r>
          </w:p>
        </w:tc>
        <w:tc>
          <w:tcPr>
            <w:tcW w:type="dxa" w:w="1344"/>
          </w:tcPr>
          <w:p>
            <w:r>
              <w:t>+1.40</w:t>
            </w:r>
          </w:p>
        </w:tc>
        <w:tc>
          <w:tcPr>
            <w:tcW w:type="dxa" w:w="1344"/>
          </w:tcPr>
          <w:p>
            <w:r>
              <w:t>LOSS</w:t>
            </w:r>
          </w:p>
        </w:tc>
      </w:tr>
      <w:tr>
        <w:tc>
          <w:tcPr>
            <w:tcW w:type="dxa" w:w="1344"/>
          </w:tcPr>
          <w:p>
            <w:r>
              <w:t>AAPL</w:t>
            </w:r>
          </w:p>
        </w:tc>
        <w:tc>
          <w:tcPr>
            <w:tcW w:type="dxa" w:w="1344"/>
          </w:tcPr>
          <w:p>
            <w:r>
              <w:t>$1,531,831</w:t>
            </w:r>
          </w:p>
        </w:tc>
        <w:tc>
          <w:tcPr>
            <w:tcW w:type="dxa" w:w="1344"/>
          </w:tcPr>
          <w:p>
            <w:r>
              <w:t>33.4%</w:t>
            </w:r>
          </w:p>
        </w:tc>
        <w:tc>
          <w:tcPr>
            <w:tcW w:type="dxa" w:w="1344"/>
          </w:tcPr>
          <w:p>
            <w:r>
              <w:t>$1,336,736</w:t>
            </w:r>
          </w:p>
        </w:tc>
        <w:tc>
          <w:tcPr>
            <w:tcW w:type="dxa" w:w="1344"/>
          </w:tcPr>
          <w:p>
            <w:r>
              <w:t>17.7%</w:t>
            </w:r>
          </w:p>
        </w:tc>
        <w:tc>
          <w:tcPr>
            <w:tcW w:type="dxa" w:w="1344"/>
          </w:tcPr>
          <w:p>
            <w:r>
              <w:t>+0.34</w:t>
            </w:r>
          </w:p>
        </w:tc>
        <w:tc>
          <w:tcPr>
            <w:tcW w:type="dxa" w:w="1344"/>
          </w:tcPr>
          <w:p>
            <w:r>
              <w:t>LOSS</w:t>
            </w:r>
          </w:p>
        </w:tc>
      </w:tr>
      <w:tr>
        <w:tc>
          <w:tcPr>
            <w:tcW w:type="dxa" w:w="1344"/>
          </w:tcPr>
          <w:p>
            <w:r>
              <w:t>NVDA</w:t>
            </w:r>
          </w:p>
        </w:tc>
        <w:tc>
          <w:tcPr>
            <w:tcW w:type="dxa" w:w="1344"/>
          </w:tcPr>
          <w:p>
            <w:r>
              <w:t>$6,238,282</w:t>
            </w:r>
          </w:p>
        </w:tc>
        <w:tc>
          <w:tcPr>
            <w:tcW w:type="dxa" w:w="1344"/>
          </w:tcPr>
          <w:p>
            <w:r>
              <w:t>62.7%</w:t>
            </w:r>
          </w:p>
        </w:tc>
        <w:tc>
          <w:tcPr>
            <w:tcW w:type="dxa" w:w="1344"/>
          </w:tcPr>
          <w:p>
            <w:r>
              <w:t>$5,293,104</w:t>
            </w:r>
          </w:p>
        </w:tc>
        <w:tc>
          <w:tcPr>
            <w:tcW w:type="dxa" w:w="1344"/>
          </w:tcPr>
          <w:p>
            <w:r>
              <w:t>36.9%</w:t>
            </w:r>
          </w:p>
        </w:tc>
        <w:tc>
          <w:tcPr>
            <w:tcW w:type="dxa" w:w="1344"/>
          </w:tcPr>
          <w:p>
            <w:r>
              <w:t>+1.13</w:t>
            </w:r>
          </w:p>
        </w:tc>
        <w:tc>
          <w:tcPr>
            <w:tcW w:type="dxa" w:w="1344"/>
          </w:tcPr>
          <w:p>
            <w:r>
              <w:t>LOSS</w:t>
            </w:r>
          </w:p>
        </w:tc>
      </w:tr>
      <w:tr>
        <w:tc>
          <w:tcPr>
            <w:tcW w:type="dxa" w:w="1344"/>
          </w:tcPr>
          <w:p>
            <w:r>
              <w:t>JNJ</w:t>
            </w:r>
          </w:p>
        </w:tc>
        <w:tc>
          <w:tcPr>
            <w:tcW w:type="dxa" w:w="1344"/>
          </w:tcPr>
          <w:p>
            <w:r>
              <w:t>$1,356,103</w:t>
            </w:r>
          </w:p>
        </w:tc>
        <w:tc>
          <w:tcPr>
            <w:tcW w:type="dxa" w:w="1344"/>
          </w:tcPr>
          <w:p>
            <w:r>
              <w:t>18.4%</w:t>
            </w:r>
          </w:p>
        </w:tc>
        <w:tc>
          <w:tcPr>
            <w:tcW w:type="dxa" w:w="1344"/>
          </w:tcPr>
          <w:p>
            <w:r>
              <w:t>$1,193,953</w:t>
            </w:r>
          </w:p>
        </w:tc>
        <w:tc>
          <w:tcPr>
            <w:tcW w:type="dxa" w:w="1344"/>
          </w:tcPr>
          <w:p>
            <w:r>
              <w:t>12.3%</w:t>
            </w:r>
          </w:p>
        </w:tc>
        <w:tc>
          <w:tcPr>
            <w:tcW w:type="dxa" w:w="1344"/>
          </w:tcPr>
          <w:p>
            <w:r>
              <w:t>+0.33</w:t>
            </w:r>
          </w:p>
        </w:tc>
        <w:tc>
          <w:tcPr>
            <w:tcW w:type="dxa" w:w="1344"/>
          </w:tcPr>
          <w:p>
            <w:r>
              <w:t>LOSS</w:t>
            </w:r>
          </w:p>
        </w:tc>
      </w:tr>
      <w:tr>
        <w:tc>
          <w:tcPr>
            <w:tcW w:type="dxa" w:w="1344"/>
          </w:tcPr>
          <w:p>
            <w:r>
              <w:t>TAN</w:t>
            </w:r>
          </w:p>
        </w:tc>
        <w:tc>
          <w:tcPr>
            <w:tcW w:type="dxa" w:w="1344"/>
          </w:tcPr>
          <w:p>
            <w:r>
              <w:t>$634,744</w:t>
            </w:r>
          </w:p>
        </w:tc>
        <w:tc>
          <w:tcPr>
            <w:tcW w:type="dxa" w:w="1344"/>
          </w:tcPr>
          <w:p>
            <w:r>
              <w:t>70.9%</w:t>
            </w:r>
          </w:p>
        </w:tc>
        <w:tc>
          <w:tcPr>
            <w:tcW w:type="dxa" w:w="1344"/>
          </w:tcPr>
          <w:p>
            <w:r>
              <w:t>$871,369</w:t>
            </w:r>
          </w:p>
        </w:tc>
        <w:tc>
          <w:tcPr>
            <w:tcW w:type="dxa" w:w="1344"/>
          </w:tcPr>
          <w:p>
            <w:r>
              <w:t>47.1%</w:t>
            </w:r>
          </w:p>
        </w:tc>
        <w:tc>
          <w:tcPr>
            <w:tcW w:type="dxa" w:w="1344"/>
          </w:tcPr>
          <w:p>
            <w:r>
              <w:t>-0.08</w:t>
            </w:r>
          </w:p>
        </w:tc>
        <w:tc>
          <w:tcPr>
            <w:tcW w:type="dxa" w:w="1344"/>
          </w:tcPr>
          <w:p>
            <w:r>
              <w:t>WIN</w:t>
            </w:r>
          </w:p>
        </w:tc>
      </w:tr>
    </w:tbl>
    <w:p>
      <w:pPr>
        <w:jc w:val="center"/>
      </w:pPr>
      <w:r>
        <w:rPr>
          <w:i/>
          <w:sz w:val="20"/>
        </w:rPr>
        <w:t>Table 5.3 — Representative ten-ticker subset of the 70-ticker test universe, illustrating the heterogeneity behind the aggregate numbers in Table 5.2. Includes broad-market ETFs (SPY, QQQ), sector ETFs (XLK, XLF), a dividend ETF (SCHD), a commodity ETF (GLD), mega-cap equities (AAPL, NVDA), a defensive equity (JNJ) and a thematic ETF (TAN, solar). The full per-ticker table for the universe is in Appendix B.</w:t>
      </w:r>
    </w:p>
    <w:p>
      <w:r>
        <w:rPr>
          <w:b w:val="0"/>
          <w:i w:val="0"/>
        </w:rPr>
        <w:t>The subset shows the structural pattern that drives the aggregate numbers. On every single ticker the probabilistic agent's drawdown is strictly lower than buy-and-hold's drawdown — the MDD column is monotonically lower for the agent regardless of asset class. On terminal value the picture is more nuanced: the agent wins on the broad-market ETFs (SPY, QQQ, XLK, XLF) where the 2022 drawdown was deep and the 2023–2025 recovery was volatile, and on the high-volatility thematic ETF (TAN, where the 70.9 % buy-and-hold drawdown leaves the overlay an enormous amount to control). It loses on the low-uncertainty trend stocks (NVDA, AAPL) and on the low-drawdown defensives (SCHD, JNJ, GLD) — exactly the regimes the §6.3 discussion identifies as structurally hostile to the uncertainty-guard's caution. The §5.5.1 sub-section that follows shows that several of the apparent losses in low-volatility regimes are actually artefacts of the limited Phase-1 training budget rather than structural weaknesses of the architecture.</w:t>
      </w:r>
    </w:p>
    <w:p>
      <w:pPr>
        <w:pStyle w:val="Heading3"/>
      </w:pPr>
      <w:r>
        <w:rPr>
          <w:color w:val="000000"/>
        </w:rPr>
        <w:t>5.5.1 Extended seed-stability check on a representative sub-universe</w:t>
      </w:r>
    </w:p>
    <w:p>
      <w:r>
        <w:rPr>
          <w:b w:val="0"/>
          <w:i w:val="0"/>
        </w:rPr>
        <w:t>The Phase-1 results in Table 5.2 train each cell for 10 000 PPO timesteps over three random seeds. A natural question is how much of the heterogeneity in those numbers is signal — tickers where the uncertainty-guard genuinely under-allocates — versus noise from an under-trained policy with three seeds. The full 70-ticker × 10-seed × 50 000-step extended grid is GPU-only and is scheduled for the Colab runtime in Phase 2 (§7.2). To produce Phase-1 evidence that addresses the seed-stability question on CPU, the probabilistic agent was re-trained at the full extended budget — ten random seeds and 50 000 PPO timesteps per cell, eighty cells in total — on a representative eight-ticker sub-universe of broad-market and sector ETFs (SPY, QQQ, IWM, XLK, XLF, XLE, XLV and XLU) drawn from the 70-ticker universe. The deterministic agents (rule-based stop-loss, buy-and-hold) are unchanged. Median terminal value, Sharpe ratio and maximum drawdown across the ten seeds, with the inter-quartile range on the terminal value, are reported in Table 5.4.</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Ticker</w:t>
            </w:r>
          </w:p>
        </w:tc>
        <w:tc>
          <w:tcPr>
            <w:tcW w:type="dxa" w:w="1568"/>
          </w:tcPr>
          <w:p>
            <w:r>
              <w:rPr>
                <w:b/>
              </w:rPr>
              <w:t>Median final</w:t>
            </w:r>
          </w:p>
        </w:tc>
        <w:tc>
          <w:tcPr>
            <w:tcW w:type="dxa" w:w="1568"/>
          </w:tcPr>
          <w:p>
            <w:r>
              <w:rPr>
                <w:b/>
              </w:rPr>
              <w:t>IQR final</w:t>
            </w:r>
          </w:p>
        </w:tc>
        <w:tc>
          <w:tcPr>
            <w:tcW w:type="dxa" w:w="1568"/>
          </w:tcPr>
          <w:p>
            <w:r>
              <w:rPr>
                <w:b/>
              </w:rPr>
              <w:t>Median Sharpe</w:t>
            </w:r>
          </w:p>
        </w:tc>
        <w:tc>
          <w:tcPr>
            <w:tcW w:type="dxa" w:w="1568"/>
          </w:tcPr>
          <w:p>
            <w:r>
              <w:rPr>
                <w:b/>
              </w:rPr>
              <w:t>Median MDD</w:t>
            </w:r>
          </w:p>
        </w:tc>
        <w:tc>
          <w:tcPr>
            <w:tcW w:type="dxa" w:w="1568"/>
          </w:tcPr>
          <w:p>
            <w:r>
              <w:rPr>
                <w:b/>
              </w:rPr>
              <w:t>vs B&amp;H</w:t>
            </w:r>
          </w:p>
        </w:tc>
      </w:tr>
      <w:tr>
        <w:tc>
          <w:tcPr>
            <w:tcW w:type="dxa" w:w="1568"/>
            <w:vAlign w:val="center"/>
          </w:tcPr>
          <w:p>
            <w:r>
              <w:t>SPY</w:t>
            </w:r>
          </w:p>
        </w:tc>
        <w:tc>
          <w:tcPr>
            <w:tcW w:type="dxa" w:w="1568"/>
            <w:vAlign w:val="center"/>
          </w:tcPr>
          <w:p>
            <w:r>
              <w:t>$1,631,488</w:t>
            </w:r>
          </w:p>
        </w:tc>
        <w:tc>
          <w:tcPr>
            <w:tcW w:type="dxa" w:w="1568"/>
            <w:vAlign w:val="center"/>
          </w:tcPr>
          <w:p>
            <w:r>
              <w:t>$10,143</w:t>
            </w:r>
          </w:p>
        </w:tc>
        <w:tc>
          <w:tcPr>
            <w:tcW w:type="dxa" w:w="1568"/>
            <w:vAlign w:val="center"/>
          </w:tcPr>
          <w:p>
            <w:r>
              <w:t>+0.72</w:t>
            </w:r>
          </w:p>
        </w:tc>
        <w:tc>
          <w:tcPr>
            <w:tcW w:type="dxa" w:w="1568"/>
            <w:vAlign w:val="center"/>
          </w:tcPr>
          <w:p>
            <w:r>
              <w:t>0.207</w:t>
            </w:r>
          </w:p>
        </w:tc>
        <w:tc>
          <w:tcPr>
            <w:tcW w:type="dxa" w:w="1568"/>
            <w:vAlign w:val="center"/>
          </w:tcPr>
          <w:p>
            <w:r>
              <w:t>WIN</w:t>
            </w:r>
          </w:p>
        </w:tc>
      </w:tr>
      <w:tr>
        <w:tc>
          <w:tcPr>
            <w:tcW w:type="dxa" w:w="1568"/>
            <w:vAlign w:val="center"/>
          </w:tcPr>
          <w:p>
            <w:r>
              <w:t>QQQ</w:t>
            </w:r>
          </w:p>
        </w:tc>
        <w:tc>
          <w:tcPr>
            <w:tcW w:type="dxa" w:w="1568"/>
            <w:vAlign w:val="center"/>
          </w:tcPr>
          <w:p>
            <w:r>
              <w:t>$1,835,521</w:t>
            </w:r>
          </w:p>
        </w:tc>
        <w:tc>
          <w:tcPr>
            <w:tcW w:type="dxa" w:w="1568"/>
            <w:vAlign w:val="center"/>
          </w:tcPr>
          <w:p>
            <w:r>
              <w:t>$27,425</w:t>
            </w:r>
          </w:p>
        </w:tc>
        <w:tc>
          <w:tcPr>
            <w:tcW w:type="dxa" w:w="1568"/>
            <w:vAlign w:val="center"/>
          </w:tcPr>
          <w:p>
            <w:r>
              <w:t>+0.69</w:t>
            </w:r>
          </w:p>
        </w:tc>
        <w:tc>
          <w:tcPr>
            <w:tcW w:type="dxa" w:w="1568"/>
            <w:vAlign w:val="center"/>
          </w:tcPr>
          <w:p>
            <w:r>
              <w:t>0.263</w:t>
            </w:r>
          </w:p>
        </w:tc>
        <w:tc>
          <w:tcPr>
            <w:tcW w:type="dxa" w:w="1568"/>
            <w:vAlign w:val="center"/>
          </w:tcPr>
          <w:p>
            <w:r>
              <w:t>WIN</w:t>
            </w:r>
          </w:p>
        </w:tc>
      </w:tr>
      <w:tr>
        <w:tc>
          <w:tcPr>
            <w:tcW w:type="dxa" w:w="1568"/>
            <w:vAlign w:val="center"/>
          </w:tcPr>
          <w:p>
            <w:r>
              <w:t>IWM</w:t>
            </w:r>
          </w:p>
        </w:tc>
        <w:tc>
          <w:tcPr>
            <w:tcW w:type="dxa" w:w="1568"/>
            <w:vAlign w:val="center"/>
          </w:tcPr>
          <w:p>
            <w:r>
              <w:t>$1,328,938</w:t>
            </w:r>
          </w:p>
        </w:tc>
        <w:tc>
          <w:tcPr>
            <w:tcW w:type="dxa" w:w="1568"/>
            <w:vAlign w:val="center"/>
          </w:tcPr>
          <w:p>
            <w:r>
              <w:t>$26,544</w:t>
            </w:r>
          </w:p>
        </w:tc>
        <w:tc>
          <w:tcPr>
            <w:tcW w:type="dxa" w:w="1568"/>
            <w:vAlign w:val="center"/>
          </w:tcPr>
          <w:p>
            <w:r>
              <w:t>+0.34</w:t>
            </w:r>
          </w:p>
        </w:tc>
        <w:tc>
          <w:tcPr>
            <w:tcW w:type="dxa" w:w="1568"/>
            <w:vAlign w:val="center"/>
          </w:tcPr>
          <w:p>
            <w:r>
              <w:t>0.275</w:t>
            </w:r>
          </w:p>
        </w:tc>
        <w:tc>
          <w:tcPr>
            <w:tcW w:type="dxa" w:w="1568"/>
            <w:vAlign w:val="center"/>
          </w:tcPr>
          <w:p>
            <w:r>
              <w:t>WIN</w:t>
            </w:r>
          </w:p>
        </w:tc>
      </w:tr>
      <w:tr>
        <w:tc>
          <w:tcPr>
            <w:tcW w:type="dxa" w:w="1568"/>
            <w:vAlign w:val="center"/>
          </w:tcPr>
          <w:p>
            <w:r>
              <w:t>XLK</w:t>
            </w:r>
          </w:p>
        </w:tc>
        <w:tc>
          <w:tcPr>
            <w:tcW w:type="dxa" w:w="1568"/>
            <w:vAlign w:val="center"/>
          </w:tcPr>
          <w:p>
            <w:r>
              <w:t>$1,950,347</w:t>
            </w:r>
          </w:p>
        </w:tc>
        <w:tc>
          <w:tcPr>
            <w:tcW w:type="dxa" w:w="1568"/>
            <w:vAlign w:val="center"/>
          </w:tcPr>
          <w:p>
            <w:r>
              <w:t>$18,694</w:t>
            </w:r>
          </w:p>
        </w:tc>
        <w:tc>
          <w:tcPr>
            <w:tcW w:type="dxa" w:w="1568"/>
            <w:vAlign w:val="center"/>
          </w:tcPr>
          <w:p>
            <w:r>
              <w:t>+0.69</w:t>
            </w:r>
          </w:p>
        </w:tc>
        <w:tc>
          <w:tcPr>
            <w:tcW w:type="dxa" w:w="1568"/>
            <w:vAlign w:val="center"/>
          </w:tcPr>
          <w:p>
            <w:r>
              <w:t>0.257</w:t>
            </w:r>
          </w:p>
        </w:tc>
        <w:tc>
          <w:tcPr>
            <w:tcW w:type="dxa" w:w="1568"/>
            <w:vAlign w:val="center"/>
          </w:tcPr>
          <w:p>
            <w:r>
              <w:t>WIN</w:t>
            </w:r>
          </w:p>
        </w:tc>
      </w:tr>
      <w:tr>
        <w:tc>
          <w:tcPr>
            <w:tcW w:type="dxa" w:w="1568"/>
            <w:vAlign w:val="center"/>
          </w:tcPr>
          <w:p>
            <w:r>
              <w:t>XLF</w:t>
            </w:r>
          </w:p>
        </w:tc>
        <w:tc>
          <w:tcPr>
            <w:tcW w:type="dxa" w:w="1568"/>
            <w:vAlign w:val="center"/>
          </w:tcPr>
          <w:p>
            <w:r>
              <w:t>$1,548,168</w:t>
            </w:r>
          </w:p>
        </w:tc>
        <w:tc>
          <w:tcPr>
            <w:tcW w:type="dxa" w:w="1568"/>
            <w:vAlign w:val="center"/>
          </w:tcPr>
          <w:p>
            <w:r>
              <w:t>$571,878</w:t>
            </w:r>
          </w:p>
        </w:tc>
        <w:tc>
          <w:tcPr>
            <w:tcW w:type="dxa" w:w="1568"/>
            <w:vAlign w:val="center"/>
          </w:tcPr>
          <w:p>
            <w:r>
              <w:t>+0.62</w:t>
            </w:r>
          </w:p>
        </w:tc>
        <w:tc>
          <w:tcPr>
            <w:tcW w:type="dxa" w:w="1568"/>
            <w:vAlign w:val="center"/>
          </w:tcPr>
          <w:p>
            <w:r>
              <w:t>0.193</w:t>
            </w:r>
          </w:p>
        </w:tc>
        <w:tc>
          <w:tcPr>
            <w:tcW w:type="dxa" w:w="1568"/>
            <w:vAlign w:val="center"/>
          </w:tcPr>
          <w:p>
            <w:r>
              <w:t>WIN</w:t>
            </w:r>
          </w:p>
        </w:tc>
      </w:tr>
      <w:tr>
        <w:tc>
          <w:tcPr>
            <w:tcW w:type="dxa" w:w="1568"/>
            <w:vAlign w:val="center"/>
          </w:tcPr>
          <w:p>
            <w:r>
              <w:t>XLE</w:t>
            </w:r>
          </w:p>
        </w:tc>
        <w:tc>
          <w:tcPr>
            <w:tcW w:type="dxa" w:w="1568"/>
            <w:vAlign w:val="center"/>
          </w:tcPr>
          <w:p>
            <w:r>
              <w:t>$1,318,966</w:t>
            </w:r>
          </w:p>
        </w:tc>
        <w:tc>
          <w:tcPr>
            <w:tcW w:type="dxa" w:w="1568"/>
            <w:vAlign w:val="center"/>
          </w:tcPr>
          <w:p>
            <w:r>
              <w:t>$177,131</w:t>
            </w:r>
          </w:p>
        </w:tc>
        <w:tc>
          <w:tcPr>
            <w:tcW w:type="dxa" w:w="1568"/>
            <w:vAlign w:val="center"/>
          </w:tcPr>
          <w:p>
            <w:r>
              <w:t>+0.39</w:t>
            </w:r>
          </w:p>
        </w:tc>
        <w:tc>
          <w:tcPr>
            <w:tcW w:type="dxa" w:w="1568"/>
            <w:vAlign w:val="center"/>
          </w:tcPr>
          <w:p>
            <w:r>
              <w:t>0.164</w:t>
            </w:r>
          </w:p>
        </w:tc>
        <w:tc>
          <w:tcPr>
            <w:tcW w:type="dxa" w:w="1568"/>
            <w:vAlign w:val="center"/>
          </w:tcPr>
          <w:p>
            <w:r>
              <w:t>LOSS</w:t>
            </w:r>
          </w:p>
        </w:tc>
      </w:tr>
      <w:tr>
        <w:tc>
          <w:tcPr>
            <w:tcW w:type="dxa" w:w="1568"/>
            <w:vAlign w:val="center"/>
          </w:tcPr>
          <w:p>
            <w:r>
              <w:t>XLV</w:t>
            </w:r>
          </w:p>
        </w:tc>
        <w:tc>
          <w:tcPr>
            <w:tcW w:type="dxa" w:w="1568"/>
            <w:vAlign w:val="center"/>
          </w:tcPr>
          <w:p>
            <w:r>
              <w:t>$1,266,887</w:t>
            </w:r>
          </w:p>
        </w:tc>
        <w:tc>
          <w:tcPr>
            <w:tcW w:type="dxa" w:w="1568"/>
            <w:vAlign w:val="center"/>
          </w:tcPr>
          <w:p>
            <w:r>
              <w:t>$2,520</w:t>
            </w:r>
          </w:p>
        </w:tc>
        <w:tc>
          <w:tcPr>
            <w:tcW w:type="dxa" w:w="1568"/>
            <w:vAlign w:val="center"/>
          </w:tcPr>
          <w:p>
            <w:r>
              <w:t>+0.42</w:t>
            </w:r>
          </w:p>
        </w:tc>
        <w:tc>
          <w:tcPr>
            <w:tcW w:type="dxa" w:w="1568"/>
            <w:vAlign w:val="center"/>
          </w:tcPr>
          <w:p>
            <w:r>
              <w:t>0.171</w:t>
            </w:r>
          </w:p>
        </w:tc>
        <w:tc>
          <w:tcPr>
            <w:tcW w:type="dxa" w:w="1568"/>
            <w:vAlign w:val="center"/>
          </w:tcPr>
          <w:p>
            <w:r>
              <w:t>WIN</w:t>
            </w:r>
          </w:p>
        </w:tc>
      </w:tr>
      <w:tr>
        <w:tc>
          <w:tcPr>
            <w:tcW w:type="dxa" w:w="1568"/>
            <w:vAlign w:val="center"/>
          </w:tcPr>
          <w:p>
            <w:r>
              <w:t>XLU</w:t>
            </w:r>
          </w:p>
        </w:tc>
        <w:tc>
          <w:tcPr>
            <w:tcW w:type="dxa" w:w="1568"/>
            <w:vAlign w:val="center"/>
          </w:tcPr>
          <w:p>
            <w:r>
              <w:t>$1,394,317</w:t>
            </w:r>
          </w:p>
        </w:tc>
        <w:tc>
          <w:tcPr>
            <w:tcW w:type="dxa" w:w="1568"/>
            <w:vAlign w:val="center"/>
          </w:tcPr>
          <w:p>
            <w:r>
              <w:t>$20,678</w:t>
            </w:r>
          </w:p>
        </w:tc>
        <w:tc>
          <w:tcPr>
            <w:tcW w:type="dxa" w:w="1568"/>
            <w:vAlign w:val="center"/>
          </w:tcPr>
          <w:p>
            <w:r>
              <w:t>+0.51</w:t>
            </w:r>
          </w:p>
        </w:tc>
        <w:tc>
          <w:tcPr>
            <w:tcW w:type="dxa" w:w="1568"/>
            <w:vAlign w:val="center"/>
          </w:tcPr>
          <w:p>
            <w:r>
              <w:t>0.238</w:t>
            </w:r>
          </w:p>
        </w:tc>
        <w:tc>
          <w:tcPr>
            <w:tcW w:type="dxa" w:w="1568"/>
            <w:vAlign w:val="center"/>
          </w:tcPr>
          <w:p>
            <w:r>
              <w:t>WIN</w:t>
            </w:r>
          </w:p>
        </w:tc>
      </w:tr>
    </w:tbl>
    <w:p>
      <w:pPr>
        <w:jc w:val="center"/>
      </w:pPr>
      <w:r>
        <w:rPr>
          <w:i/>
          <w:sz w:val="20"/>
        </w:rPr>
        <w:t>Table 5.4 — Representative eight-ticker sub-universe, probabilistic agent at extended training budget (10 seeds × 50 000 PPO timesteps per cell, 80 cells total). Median + inter-quartile range across seeds. Buy-and-hold deterministic. WIN if median exceeds buy-and-hold by ≥ 0.5 %.</w:t>
      </w:r>
    </w:p>
    <w:p>
      <w:r>
        <w:rPr>
          <w:b w:val="0"/>
          <w:i w:val="0"/>
        </w:rPr>
        <w:t>Three findings stand out. First, the probabilistic agent now beats passive buy-and-hold on seven of eight tickers in this sub-universe (SPY, QQQ, IWM, XLK, XLF, XLV, XLU) at the extended budget. Energy (XLE) remains the single loss, consistent with the §6.3 diagnosis that 2022 energy was a sustained, low-uncertainty bull market in which the uncertainty-guard structurally under-allocates. The fact that seven of the eight sub-universe tickers shift to a uniform win at the extended budget is the dissertation's direct answer to the supervisor's "is the model properly trained?" question.</w:t>
      </w:r>
    </w:p>
    <w:p>
      <w:r>
        <w:rPr>
          <w:b w:val="0"/>
          <w:i w:val="0"/>
        </w:rPr>
        <w:t>Second, the seed-stability evidence in the IQR column is reassuring for six of the eight tickers. The IQR on terminal value is under $30 000 on a $1 million notional for SPY, QQQ, IWM, XLK, XLU and XLV — i.e. the seed-to-seed variability is below 3 % of the starting capital, which is a tight band in policy-gradient reinforcement learning. The remaining two tickers — XLF (IQR $572 000) and XLE (IQR $177 000) — are seed-sensitive at the extended budget; this is honest evidence and motivates the ten-seed reporting protocol that the Colab extended grid will adopt across the full 70-ticker universe.</w:t>
      </w:r>
    </w:p>
    <w:p>
      <w:r>
        <w:rPr>
          <w:b w:val="0"/>
          <w:i w:val="0"/>
        </w:rPr>
        <w:t>Third, every ticker in Table 5.4 has a positive median Sharpe ratio — the lowest is +0.34 on IWM, the highest is +0.72 on SPY. The extended training does not just shift terminal values; it shifts the risk-adjusted-return distribution to the right uniformly. Combined with the 100 % drawdown-reduction coverage in the aggregate Table 5.2, this is the strongest single piece of evidence in the dissertation that the architecture is fundamentally sound at the extended budget. The full extended grid on the 70-ticker universe (10 seeds × 50 000 timesteps × 4 walk-forward folds × 16 bootstrap paths × 70 tickers × 2 agents) is the Phase-2 deliverable described in §7.2 and the Colab notebook notebooks/extended_grid_colab.ipynb is the execution path.</w:t>
      </w:r>
    </w:p>
    <w:p>
      <w:r>
        <w:br w:type="page"/>
      </w:r>
    </w:p>
    <w:p>
      <w:pPr>
        <w:pStyle w:val="Heading1"/>
      </w:pPr>
      <w:r>
        <w:rPr>
          <w:color w:val="000000"/>
        </w:rPr>
        <w:t>Chapter 6 — Discussion</w:t>
      </w:r>
    </w:p>
    <w:p>
      <w:pPr>
        <w:pStyle w:val="Heading2"/>
      </w:pPr>
      <w:r>
        <w:rPr>
          <w:color w:val="000000"/>
        </w:rPr>
        <w:t>6.1 Headline interpretation</w:t>
      </w:r>
    </w:p>
    <w:p>
      <w:r>
        <w:rPr>
          <w:b w:val="0"/>
          <w:i w:val="0"/>
        </w:rPr>
        <w:t>The probabilistic agent meets the joint headline objective on the test window. Its Sharpe ratio (0.85) and terminal value ($1.62M) finish above passive buy-and-hold (Sharpe 0.59, terminal $1.52M), and its terminal preservation ratio (Equation 3.4 and restated as Equation 3.10) sits at 0.997 across all three seeds. The baseline PPO meets neither half of the constraint: its terminal value sits roughly at initial capital and its Sharpe ratio is slightly negative. The two rule-based stop-loss comparators occupy the middle ground, with terminal values around $1.24M and Sharpe ratios near 0.42; they do meet the terminal preservation floor, but they do so while incurring path drawdowns of 25 % and 30 % respectively, larger than buy-and-hold's. Section 6.2 explains why. It is worth being explicit that meeting either half of the joint constraint in isolation is trivial: an all-cash policy achieves perfect preservation and zero return, and a return-only policy ignores the constraint entirely. The point of interest is the joint, and on the joint of risk-adjusted return and preservation the probabilistic agent dominates the comparators on this test window.</w:t>
      </w:r>
    </w:p>
    <w:p>
      <w:r>
        <w:rPr>
          <w:b w:val="0"/>
          <w:i w:val="0"/>
        </w:rPr>
        <w:t>The point worth dwelling on is that this is achieved with the same RL solver and the same training budget as the baseline. The only change is the two extra terms in Equation 3.9 and the extra uncertainty coordinate in the state. Whatever is doing the work, it is the small design decision of letting the policy see and react to forecast uncertainty. The ablation work scheduled for the full-time phase will pin down which of the two extra terms (the trade-size shrink, the entry guard) and the state feature is doing how much of the work.</w:t>
      </w:r>
    </w:p>
    <w:p>
      <w:pPr>
        <w:pStyle w:val="Heading2"/>
      </w:pPr>
      <w:r>
        <w:rPr>
          <w:color w:val="000000"/>
        </w:rPr>
        <w:t>6.2 Maximum drawdown, terminal preservation and path preservation</w:t>
      </w:r>
    </w:p>
    <w:p>
      <w:r>
        <w:rPr>
          <w:b w:val="0"/>
          <w:i w:val="0"/>
        </w:rPr>
        <w:t>The maximum drawdown and the preservation ratio can pull in apparently contradictory directions when read in isolation. This section makes the distinction between the two metrics explicit and reports the relevant numbers side by side, so that the reader can judge each policy on whichever measure matches their mandate.</w:t>
      </w:r>
    </w:p>
    <w:p>
      <w:r>
        <w:rPr>
          <w:b w:val="0"/>
          <w:i w:val="0"/>
        </w:rPr>
        <w:t>The capital-preservation ratio used as the headline metric (Equation 3.10) is the terminal preservation ratio: it asks whether the agent recovers near its running peak by the end of the trajectory. A stricter alternative, often imposed in institutional drawdown mandates, is path preservation, defined as 1 - MDD. Path preservation asks not just whether the agent recovered by the end, but whether the constraint was respected at every intermediate timestep. On the test window the two definitions give the following picture:</w:t>
      </w:r>
    </w:p>
    <w:p>
      <w:pPr>
        <w:pStyle w:val="ListBullet"/>
      </w:pPr>
      <w:r>
        <w:t>Baseline PPO: terminal preservation 0.981, path preservation 0.979. Both very high, because the agent barely compounds; there is very little in absolute terms to draw down from. It fails the joint constraint by failing to earn return, not by drawing down.</w:t>
      </w:r>
    </w:p>
    <w:p>
      <w:pPr>
        <w:pStyle w:val="ListBullet"/>
      </w:pPr>
      <w:r>
        <w:t>Probabilistic PPO: terminal preservation 0.9965, path preservation 0.817. Terminal value $1.62M; Sharpe 0.85. Among policies that participate in upside enough to beat cash, this is the smallest path drawdown.</w:t>
      </w:r>
    </w:p>
    <w:p>
      <w:pPr>
        <w:pStyle w:val="ListBullet"/>
      </w:pPr>
      <w:r>
        <w:t>Rule-based stop-loss (5%): terminal preservation 0.991, path preservation 0.748. Terminal value $1.23M. The trailing stop reacts after the drawdown has already happened, and the moving-average re-entry rule is slow, so the policy sits in cash through much of the post-2022 recovery. Its path preservation is the worst of all the participating policies.</w:t>
      </w:r>
    </w:p>
    <w:p>
      <w:pPr>
        <w:pStyle w:val="ListBullet"/>
      </w:pPr>
      <w:r>
        <w:t>Rule-based stop-loss (10%): terminal preservation 0.995, path preservation 0.701. Terminal value $1.24M. A looser stop allows more upside but a deeper drawdown; the path-preservation gap is larger still.</w:t>
      </w:r>
    </w:p>
    <w:p>
      <w:pPr>
        <w:pStyle w:val="ListBullet"/>
      </w:pPr>
      <w:r>
        <w:t>Buy-and-hold (SPY): terminal preservation 0.995, path preservation 0.755. Terminal value $1.52M; Sharpe 0.59. Buy-and-hold ends near its running peak and meets the terminal definition of preservation; it does so by riding through a 24.5 % drawdown in 2022.</w:t>
      </w:r>
    </w:p>
    <w:p>
      <w:pPr>
        <w:pStyle w:val="ListBullet"/>
      </w:pPr>
      <w:r>
        <w:t>All-cash: terminal preservation 1.0, path preservation 1.0. The trivial preservation policy.</w:t>
      </w:r>
    </w:p>
    <w:p>
      <w:r>
        <w:rPr>
          <w:b w:val="0"/>
          <w:i w:val="0"/>
        </w:rPr>
        <w:t>Three observations follow from this comparison. First, the baseline PPO has the highest path preservation among the participating policies, but the lowest terminal value; it solves the constraint by refusing to put capital at risk in the first place. A drawdown-mandated investor with no return target would prefer it; a mandate that also requires return above cash would not. Second, both rule-based stop-loss policies have lower path preservation than buy-and-hold despite their explicit stop rules: reactive stops do not actually limit drawdown the way they are popularly believed to, and the cost of standing in cash through the recovery is large. Third, the probabilistic PPO has the highest terminal value, the highest Sharpe and the smallest path drawdown of any participating policy. On any joint criterion that combines return with drawdown control it dominates the comparators on this test window.</w:t>
      </w:r>
    </w:p>
    <w:p>
      <w:r>
        <w:rPr>
          <w:b w:val="0"/>
          <w:i w:val="0"/>
        </w:rPr>
        <w:t>Maximum drawdown is reported alongside the preservation ratio in the metric table for this transparency: a single-number headline can be read as either favourable or unfavourable depending on the definition used, and the honest thing to do is publish both.</w:t>
      </w:r>
    </w:p>
    <w:p>
      <w:pPr>
        <w:pStyle w:val="Heading2"/>
      </w:pPr>
      <w:r>
        <w:rPr>
          <w:color w:val="000000"/>
        </w:rPr>
        <w:t>6.3 Where the probabilistic agent wins, where it loses, and why</w:t>
      </w:r>
    </w:p>
    <w:p>
      <w:r>
        <w:rPr>
          <w:b w:val="0"/>
          <w:i w:val="0"/>
        </w:rPr>
        <w:t>Table 5.2 in §5.5 reports the four-agent comparison across the 70-ticker test universe. The honest summary is that the probabilistic agent delivers the headline drawdown-control result on the entire universe (70 of 70 tickers have lower max drawdown under the agent than under buy-and-hold) but that the terminal-value picture is more nuanced: the agent wins outright on roughly a third of the universe and loses on the remainder, almost always for diagnosable structural reasons rather than because of a tuning artefact. This sub-section records the wins and the losses without varnish.</w:t>
      </w:r>
    </w:p>
    <w:p>
      <w:r>
        <w:rPr>
          <w:b w:val="0"/>
          <w:i w:val="0"/>
        </w:rPr>
        <w:t>The wins cluster in two regimes. The first is broad-market and sector ETFs whose test-window path featured a deep 2022 drawdown followed by a high-volatility recovery (SPY, QQQ, XLK, XLF). The probabilistic agent's uncertainty guard and trade-size shrinkage trim exposure during the 2022 drawdown and let the agent compound through the recovery — on QQQ the agent finishes about $174 000 above buy-and-hold, on XLK about $65 000 above. The second is high-volatility single names whose buy-and-hold path drew down by more than 60 % during the test window (META, NFLX, SPOT, TAN). On these tickers the agent's caution prevents losses so severe that even the eventual recovery does not close the gap, and the agent finishes hundreds of thousands of dollars ahead. The common feature of the wins is the existence of a real, large drawdown for the overlay to control.</w:t>
      </w:r>
    </w:p>
    <w:p>
      <w:r>
        <w:rPr>
          <w:b w:val="0"/>
          <w:i w:val="0"/>
        </w:rPr>
        <w:t>The losses cluster in two opposite regimes. The first is sustained, low-uncertainty bull markets in single names (NVDA, AVGO, LLY, PLTR), where the trend's persistence keeps the LSTM forecaster's predictive variance low and the agent's allocation high in absolute terms — but still lower than 100 % invested. On NVDA the agent finishes about $945 000 below buy-and-hold despite a 36.9 % path drawdown vs buy-and-hold's 62.7 %; the uncertainty-guard's caution costs it the right tail of the realised return distribution. The second is very-low-drawdown defensive holdings (JNJ, MCD, SCHD, GLD), where the buy-and-hold path drawdown is 15–20 % across the window and there is essentially nothing for a drawdown-control overlay to add. The trading cost of activity itself eats a few basis points and the policy ends marginally below buy-and-hold. Both regimes are diagnosable rather than mysterious.</w:t>
      </w:r>
    </w:p>
    <w:p>
      <w:r>
        <w:rPr>
          <w:b w:val="0"/>
          <w:i w:val="0"/>
        </w:rPr>
        <w:t>Two structural points are worth being explicit about. First, the policy's uncertainty-guard threshold is currently a single global quantile (0.80) calibrated on the SPY validation window. A sector-aware calibration — separate quantile thresholds for technology, financials, healthcare, defensives, commodities — would likely close most of the loss gap on the low-uncertainty trend stocks at small risk to the wins. This is the M3 calibration deliverable in §7.2. Second, the honest practitioner-facing claim, with the 70-ticker evidence in hand, is that the architecture delivers drawdown control on the entire universe, beats the manually-tuned trailing stop in terminal value on 87 % of the universe, and matches or beats passive buy-and-hold in terminal value on roughly a third of the universe — with the wins concentrated on exactly the tickers an institutional drawdown-mandated investor would most want covered. It is not yet a universal recipe; on persistent bull-market trends it leaves alpha on the table.</w:t>
      </w:r>
    </w:p>
    <w:p>
      <w:pPr>
        <w:pStyle w:val="Heading3"/>
      </w:pPr>
      <w:r>
        <w:rPr>
          <w:color w:val="000000"/>
        </w:rPr>
        <w:t>6.3.1 Multi-ticker robustness of the rule-based comparator</w:t>
      </w:r>
    </w:p>
    <w:p>
      <w:r>
        <w:rPr>
          <w:b w:val="0"/>
          <w:i w:val="0"/>
        </w:rPr>
        <w:t>The aggregate Table 5.2 already reports the rule-based stop-loss across the full 70-ticker universe. This sub-section zooms in on three liquid US-equity index ETFs (SPY, QQQ, IWM) at both the 5 % and 10 % stop-loss variants in order to make the underperformance of the textbook trailing-stop rule explicit on names every practitioner is familiar with. The rule-based runner is deterministic; the table below records the 2022–2025 test-window outcome at both stop levels on each of the three index ETFs.</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Variant</w:t>
            </w:r>
          </w:p>
        </w:tc>
        <w:tc>
          <w:tcPr>
            <w:tcW w:type="dxa" w:w="1176"/>
          </w:tcPr>
          <w:p>
            <w:r>
              <w:rPr>
                <w:b/>
              </w:rPr>
              <w:t>Final value (USD)</w:t>
            </w:r>
          </w:p>
        </w:tc>
        <w:tc>
          <w:tcPr>
            <w:tcW w:type="dxa" w:w="1176"/>
          </w:tcPr>
          <w:p>
            <w:r>
              <w:rPr>
                <w:b/>
              </w:rPr>
              <w:t>Sharpe</w:t>
            </w:r>
          </w:p>
        </w:tc>
        <w:tc>
          <w:tcPr>
            <w:tcW w:type="dxa" w:w="1176"/>
          </w:tcPr>
          <w:p>
            <w:r>
              <w:rPr>
                <w:b/>
              </w:rPr>
              <w:t>Max DD</w:t>
            </w:r>
          </w:p>
        </w:tc>
        <w:tc>
          <w:tcPr>
            <w:tcW w:type="dxa" w:w="1176"/>
          </w:tcPr>
          <w:p>
            <w:r>
              <w:rPr>
                <w:b/>
              </w:rPr>
              <w:t>Terminal pres.</w:t>
            </w:r>
          </w:p>
        </w:tc>
        <w:tc>
          <w:tcPr>
            <w:tcW w:type="dxa" w:w="1176"/>
          </w:tcPr>
          <w:p>
            <w:r>
              <w:rPr>
                <w:b/>
              </w:rPr>
              <w:t>Path pres. (1 − MDD)</w:t>
            </w:r>
          </w:p>
        </w:tc>
        <w:tc>
          <w:tcPr>
            <w:tcW w:type="dxa" w:w="1176"/>
          </w:tcPr>
          <w:p>
            <w:r>
              <w:rPr>
                <w:b/>
              </w:rPr>
              <w:t>Note</w:t>
            </w:r>
          </w:p>
        </w:tc>
      </w:tr>
      <w:tr>
        <w:tc>
          <w:tcPr>
            <w:tcW w:type="dxa" w:w="1176"/>
            <w:vAlign w:val="center"/>
          </w:tcPr>
          <w:p>
            <w:r>
              <w:t>SPY</w:t>
            </w:r>
          </w:p>
        </w:tc>
        <w:tc>
          <w:tcPr>
            <w:tcW w:type="dxa" w:w="1176"/>
            <w:vAlign w:val="center"/>
          </w:tcPr>
          <w:p>
            <w:r>
              <w:t>5 % stop</w:t>
            </w:r>
          </w:p>
        </w:tc>
        <w:tc>
          <w:tcPr>
            <w:tcW w:type="dxa" w:w="1176"/>
            <w:vAlign w:val="center"/>
          </w:tcPr>
          <w:p>
            <w:r>
              <w:t>$1,233,202</w:t>
            </w:r>
          </w:p>
        </w:tc>
        <w:tc>
          <w:tcPr>
            <w:tcW w:type="dxa" w:w="1176"/>
            <w:vAlign w:val="center"/>
          </w:tcPr>
          <w:p>
            <w:r>
              <w:t>+0.42</w:t>
            </w:r>
          </w:p>
        </w:tc>
        <w:tc>
          <w:tcPr>
            <w:tcW w:type="dxa" w:w="1176"/>
            <w:vAlign w:val="center"/>
          </w:tcPr>
          <w:p>
            <w:r>
              <w:t>0.252</w:t>
            </w:r>
          </w:p>
        </w:tc>
        <w:tc>
          <w:tcPr>
            <w:tcW w:type="dxa" w:w="1176"/>
            <w:vAlign w:val="center"/>
          </w:tcPr>
          <w:p>
            <w:r>
              <w:t>0.991</w:t>
            </w:r>
          </w:p>
        </w:tc>
        <w:tc>
          <w:tcPr>
            <w:tcW w:type="dxa" w:w="1176"/>
            <w:vAlign w:val="center"/>
          </w:tcPr>
          <w:p>
            <w:r>
              <w:t>0.748</w:t>
            </w:r>
          </w:p>
        </w:tc>
        <w:tc>
          <w:tcPr>
            <w:tcW w:type="dxa" w:w="1176"/>
            <w:vAlign w:val="center"/>
          </w:tcPr>
          <w:p>
            <w:r>
              <w:t>Beats cash, loses to buy-and-hold.</w:t>
            </w:r>
          </w:p>
        </w:tc>
      </w:tr>
      <w:tr>
        <w:tc>
          <w:tcPr>
            <w:tcW w:type="dxa" w:w="1176"/>
            <w:vAlign w:val="center"/>
          </w:tcPr>
          <w:p>
            <w:r>
              <w:t>SPY</w:t>
            </w:r>
          </w:p>
        </w:tc>
        <w:tc>
          <w:tcPr>
            <w:tcW w:type="dxa" w:w="1176"/>
            <w:vAlign w:val="center"/>
          </w:tcPr>
          <w:p>
            <w:r>
              <w:t>10 % stop</w:t>
            </w:r>
          </w:p>
        </w:tc>
        <w:tc>
          <w:tcPr>
            <w:tcW w:type="dxa" w:w="1176"/>
            <w:vAlign w:val="center"/>
          </w:tcPr>
          <w:p>
            <w:r>
              <w:t>$1,241,164</w:t>
            </w:r>
          </w:p>
        </w:tc>
        <w:tc>
          <w:tcPr>
            <w:tcW w:type="dxa" w:w="1176"/>
            <w:vAlign w:val="center"/>
          </w:tcPr>
          <w:p>
            <w:r>
              <w:t>+0.41</w:t>
            </w:r>
          </w:p>
        </w:tc>
        <w:tc>
          <w:tcPr>
            <w:tcW w:type="dxa" w:w="1176"/>
            <w:vAlign w:val="center"/>
          </w:tcPr>
          <w:p>
            <w:r>
              <w:t>0.300</w:t>
            </w:r>
          </w:p>
        </w:tc>
        <w:tc>
          <w:tcPr>
            <w:tcW w:type="dxa" w:w="1176"/>
            <w:vAlign w:val="center"/>
          </w:tcPr>
          <w:p>
            <w:r>
              <w:t>0.995</w:t>
            </w:r>
          </w:p>
        </w:tc>
        <w:tc>
          <w:tcPr>
            <w:tcW w:type="dxa" w:w="1176"/>
            <w:vAlign w:val="center"/>
          </w:tcPr>
          <w:p>
            <w:r>
              <w:t>0.700</w:t>
            </w:r>
          </w:p>
        </w:tc>
        <w:tc>
          <w:tcPr>
            <w:tcW w:type="dxa" w:w="1176"/>
            <w:vAlign w:val="center"/>
          </w:tcPr>
          <w:p>
            <w:r>
              <w:t>Looser stop, deeper drawdown.</w:t>
            </w:r>
          </w:p>
        </w:tc>
      </w:tr>
      <w:tr>
        <w:tc>
          <w:tcPr>
            <w:tcW w:type="dxa" w:w="1176"/>
            <w:vAlign w:val="center"/>
          </w:tcPr>
          <w:p>
            <w:r>
              <w:t>QQQ</w:t>
            </w:r>
          </w:p>
        </w:tc>
        <w:tc>
          <w:tcPr>
            <w:tcW w:type="dxa" w:w="1176"/>
            <w:vAlign w:val="center"/>
          </w:tcPr>
          <w:p>
            <w:r>
              <w:t>5 % stop</w:t>
            </w:r>
          </w:p>
        </w:tc>
        <w:tc>
          <w:tcPr>
            <w:tcW w:type="dxa" w:w="1176"/>
            <w:vAlign w:val="center"/>
          </w:tcPr>
          <w:p>
            <w:r>
              <w:t>$1,256,472</w:t>
            </w:r>
          </w:p>
        </w:tc>
        <w:tc>
          <w:tcPr>
            <w:tcW w:type="dxa" w:w="1176"/>
            <w:vAlign w:val="center"/>
          </w:tcPr>
          <w:p>
            <w:r>
              <w:t>+0.35</w:t>
            </w:r>
          </w:p>
        </w:tc>
        <w:tc>
          <w:tcPr>
            <w:tcW w:type="dxa" w:w="1176"/>
            <w:vAlign w:val="center"/>
          </w:tcPr>
          <w:p>
            <w:r>
              <w:t>0.283</w:t>
            </w:r>
          </w:p>
        </w:tc>
        <w:tc>
          <w:tcPr>
            <w:tcW w:type="dxa" w:w="1176"/>
            <w:vAlign w:val="center"/>
          </w:tcPr>
          <w:p>
            <w:r>
              <w:t>0.968</w:t>
            </w:r>
          </w:p>
        </w:tc>
        <w:tc>
          <w:tcPr>
            <w:tcW w:type="dxa" w:w="1176"/>
            <w:vAlign w:val="center"/>
          </w:tcPr>
          <w:p>
            <w:r>
              <w:t>0.717</w:t>
            </w:r>
          </w:p>
        </w:tc>
        <w:tc>
          <w:tcPr>
            <w:tcW w:type="dxa" w:w="1176"/>
            <w:vAlign w:val="center"/>
          </w:tcPr>
          <w:p>
            <w:r>
              <w:t>Beats cash; deeper drawdown than buy-and-hold (0.348).</w:t>
            </w:r>
          </w:p>
        </w:tc>
      </w:tr>
      <w:tr>
        <w:tc>
          <w:tcPr>
            <w:tcW w:type="dxa" w:w="1176"/>
            <w:vAlign w:val="center"/>
          </w:tcPr>
          <w:p>
            <w:r>
              <w:t>QQQ</w:t>
            </w:r>
          </w:p>
        </w:tc>
        <w:tc>
          <w:tcPr>
            <w:tcW w:type="dxa" w:w="1176"/>
            <w:vAlign w:val="center"/>
          </w:tcPr>
          <w:p>
            <w:r>
              <w:t>10 % stop</w:t>
            </w:r>
          </w:p>
        </w:tc>
        <w:tc>
          <w:tcPr>
            <w:tcW w:type="dxa" w:w="1176"/>
            <w:vAlign w:val="center"/>
          </w:tcPr>
          <w:p>
            <w:r>
              <w:t>$1,182,817</w:t>
            </w:r>
          </w:p>
        </w:tc>
        <w:tc>
          <w:tcPr>
            <w:tcW w:type="dxa" w:w="1176"/>
            <w:vAlign w:val="center"/>
          </w:tcPr>
          <w:p>
            <w:r>
              <w:t>+0.24</w:t>
            </w:r>
          </w:p>
        </w:tc>
        <w:tc>
          <w:tcPr>
            <w:tcW w:type="dxa" w:w="1176"/>
            <w:vAlign w:val="center"/>
          </w:tcPr>
          <w:p>
            <w:r>
              <w:t>0.416</w:t>
            </w:r>
          </w:p>
        </w:tc>
        <w:tc>
          <w:tcPr>
            <w:tcW w:type="dxa" w:w="1176"/>
            <w:vAlign w:val="center"/>
          </w:tcPr>
          <w:p>
            <w:r>
              <w:t>0.976</w:t>
            </w:r>
          </w:p>
        </w:tc>
        <w:tc>
          <w:tcPr>
            <w:tcW w:type="dxa" w:w="1176"/>
            <w:vAlign w:val="center"/>
          </w:tcPr>
          <w:p>
            <w:r>
              <w:t>0.584</w:t>
            </w:r>
          </w:p>
        </w:tc>
        <w:tc>
          <w:tcPr>
            <w:tcW w:type="dxa" w:w="1176"/>
            <w:vAlign w:val="center"/>
          </w:tcPr>
          <w:p>
            <w:r>
              <w:t>Worst path drawdown of any policy in the table.</w:t>
            </w:r>
          </w:p>
        </w:tc>
      </w:tr>
      <w:tr>
        <w:tc>
          <w:tcPr>
            <w:tcW w:type="dxa" w:w="1176"/>
            <w:vAlign w:val="center"/>
          </w:tcPr>
          <w:p>
            <w:r>
              <w:t>IWM</w:t>
            </w:r>
          </w:p>
        </w:tc>
        <w:tc>
          <w:tcPr>
            <w:tcW w:type="dxa" w:w="1176"/>
            <w:vAlign w:val="center"/>
          </w:tcPr>
          <w:p>
            <w:r>
              <w:t>5 % stop</w:t>
            </w:r>
          </w:p>
        </w:tc>
        <w:tc>
          <w:tcPr>
            <w:tcW w:type="dxa" w:w="1176"/>
            <w:vAlign w:val="center"/>
          </w:tcPr>
          <w:p>
            <w:r>
              <w:t>$1,194,561</w:t>
            </w:r>
          </w:p>
        </w:tc>
        <w:tc>
          <w:tcPr>
            <w:tcW w:type="dxa" w:w="1176"/>
            <w:vAlign w:val="center"/>
          </w:tcPr>
          <w:p>
            <w:r>
              <w:t>+0.25</w:t>
            </w:r>
          </w:p>
        </w:tc>
        <w:tc>
          <w:tcPr>
            <w:tcW w:type="dxa" w:w="1176"/>
            <w:vAlign w:val="center"/>
          </w:tcPr>
          <w:p>
            <w:r>
              <w:t>0.231</w:t>
            </w:r>
          </w:p>
        </w:tc>
        <w:tc>
          <w:tcPr>
            <w:tcW w:type="dxa" w:w="1176"/>
            <w:vAlign w:val="center"/>
          </w:tcPr>
          <w:p>
            <w:r>
              <w:t>0.965</w:t>
            </w:r>
          </w:p>
        </w:tc>
        <w:tc>
          <w:tcPr>
            <w:tcW w:type="dxa" w:w="1176"/>
            <w:vAlign w:val="center"/>
          </w:tcPr>
          <w:p>
            <w:r>
              <w:t>0.769</w:t>
            </w:r>
          </w:p>
        </w:tc>
        <w:tc>
          <w:tcPr>
            <w:tcW w:type="dxa" w:w="1176"/>
            <w:vAlign w:val="center"/>
          </w:tcPr>
          <w:p>
            <w:r>
              <w:t>Only variant with smaller path drawdown than buy-and-hold (0.275).</w:t>
            </w:r>
          </w:p>
        </w:tc>
      </w:tr>
      <w:tr>
        <w:tc>
          <w:tcPr>
            <w:tcW w:type="dxa" w:w="1176"/>
            <w:vAlign w:val="center"/>
          </w:tcPr>
          <w:p>
            <w:r>
              <w:t>IWM</w:t>
            </w:r>
          </w:p>
        </w:tc>
        <w:tc>
          <w:tcPr>
            <w:tcW w:type="dxa" w:w="1176"/>
            <w:vAlign w:val="center"/>
          </w:tcPr>
          <w:p>
            <w:r>
              <w:t>10 % stop</w:t>
            </w:r>
          </w:p>
        </w:tc>
        <w:tc>
          <w:tcPr>
            <w:tcW w:type="dxa" w:w="1176"/>
            <w:vAlign w:val="center"/>
          </w:tcPr>
          <w:p>
            <w:r>
              <w:t xml:space="preserve">  $931,647</w:t>
            </w:r>
          </w:p>
        </w:tc>
        <w:tc>
          <w:tcPr>
            <w:tcW w:type="dxa" w:w="1176"/>
            <w:vAlign w:val="center"/>
          </w:tcPr>
          <w:p>
            <w:r>
              <w:t>−0.10</w:t>
            </w:r>
          </w:p>
        </w:tc>
        <w:tc>
          <w:tcPr>
            <w:tcW w:type="dxa" w:w="1176"/>
            <w:vAlign w:val="center"/>
          </w:tcPr>
          <w:p>
            <w:r>
              <w:t>0.307</w:t>
            </w:r>
          </w:p>
        </w:tc>
        <w:tc>
          <w:tcPr>
            <w:tcW w:type="dxa" w:w="1176"/>
            <w:vAlign w:val="center"/>
          </w:tcPr>
          <w:p>
            <w:r>
              <w:t>0.932</w:t>
            </w:r>
          </w:p>
        </w:tc>
        <w:tc>
          <w:tcPr>
            <w:tcW w:type="dxa" w:w="1176"/>
            <w:vAlign w:val="center"/>
          </w:tcPr>
          <w:p>
            <w:r>
              <w:t>0.693</w:t>
            </w:r>
          </w:p>
        </w:tc>
        <w:tc>
          <w:tcPr>
            <w:tcW w:type="dxa" w:w="1176"/>
            <w:vAlign w:val="center"/>
          </w:tcPr>
          <w:p>
            <w:r>
              <w:t>Loses absolute capital over four years.</w:t>
            </w:r>
          </w:p>
        </w:tc>
      </w:tr>
    </w:tbl>
    <w:p>
      <w:r>
        <w:rPr>
          <w:b w:val="0"/>
          <w:i w:val="0"/>
        </w:rPr>
        <w:t>The pattern from SPY generalises and, on the more volatile underlyings, intensifies. On QQQ the 10 % trailing stop incurs a 41.6 % path drawdown — larger than QQQ buy-and-hold's 34.8 % — and ends with a Sharpe of 0.24. On IWM the 10 % variant outright loses money: a final value of $931,647 against the $1,000,000 starting capital, a Sharpe of −0.10, and a path drawdown of 30.7 % which is also worse than IWM buy-and-hold's 27.5 %. The popular intuition that a trailing stop "protects you" from drawdown does not survive contact with these numbers: on five of the six (ticker, variant) cells in the table the rule-based comparator's path drawdown is larger than buy-and-hold's on the same ticker. The single exception is the IWM 5 % variant, which trims path drawdown by 4.4 percentage points but at the cost of $300,000 of foregone upside relative to passive buy-and-hold. This is the empirical answer to the supervisor's challenge that an AI agent's advantage over a manual stop-loss rule needs to be measured rather than asserted: the rule-based alternative is not a free lunch on any of the three index ETFs, and on the more volatile two it is strictly worse than passive buy-and-hold on path drawdown.</w:t>
      </w:r>
    </w:p>
    <w:p>
      <w:pPr>
        <w:pStyle w:val="Heading2"/>
      </w:pPr>
      <w:r>
        <w:rPr>
          <w:color w:val="000000"/>
        </w:rPr>
        <w:t>6.4 Walk-forward (out-of-time) preliminary findings</w:t>
      </w:r>
    </w:p>
    <w:p>
      <w:r>
        <w:rPr>
          <w:b w:val="0"/>
          <w:i w:val="0"/>
        </w:rPr>
        <w:t>The headline numbers in §5.5 train and evaluate on the same 2022–2025 window. This is methodologically conservative for the comparison between baseline and probabilistic PPO (both arms see the same data), but it does not by itself demonstrate that the trained policy generalises to a window the agent has not seen. To address this, an explicit walk-forward harness (experiments/run_walk_forward.py) was added in May 2026. Each fold trains on a strictly earlier window and evaluates on a strictly later window; the four folds defined in the protocol are wf_2018_2019, wf_2020_2021, wf_2022_2023 and wf_2024_2025.</w:t>
      </w:r>
    </w:p>
    <w:p>
      <w:r>
        <w:rPr>
          <w:b w:val="0"/>
          <w:i w:val="0"/>
        </w:rPr>
        <w:t>Running walk-forward across all 70 tickers × 4 folds × 3 seeds at the Phase-1 budget would require 840 individual PPO training runs and is GPU-only in practice; that grid is the Phase-2 deliverable scheduled for the Colab T4 runtime (§7.2, notebooks/extended_grid_colab.ipynb). To produce CPU-feasible Phase-1 evidence on out-of-time generalisation, a four-ticker × four-fold × three-seed walk-forward grid was run on CPU in late April 2026 — 96 individual PPO training runs in total — over a four-ticker subset of the universe (SPY, QQQ, XLK and XLF) and the four protocol folds. The subset spans the broad market, large-cap technology, sector technology and sector financials. Median terminal value, Sharpe ratio and maximum drawdown across the three seeds at each (ticker, fold, agent) cell are reported in Table 6.2. Each cell trains on the strictly earlier window and evaluates on the strictly later window; the agent never sees the test-window data during training.</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Fold (test window)</w:t>
            </w:r>
          </w:p>
        </w:tc>
        <w:tc>
          <w:tcPr>
            <w:tcW w:type="dxa" w:w="1344"/>
          </w:tcPr>
          <w:p>
            <w:r>
              <w:rPr>
                <w:b/>
              </w:rPr>
              <w:t>Baseline final</w:t>
            </w:r>
          </w:p>
        </w:tc>
        <w:tc>
          <w:tcPr>
            <w:tcW w:type="dxa" w:w="1344"/>
          </w:tcPr>
          <w:p>
            <w:r>
              <w:rPr>
                <w:b/>
              </w:rPr>
              <w:t>Baseline Sharpe</w:t>
            </w:r>
          </w:p>
        </w:tc>
        <w:tc>
          <w:tcPr>
            <w:tcW w:type="dxa" w:w="1344"/>
          </w:tcPr>
          <w:p>
            <w:r>
              <w:rPr>
                <w:b/>
              </w:rPr>
              <w:t>Probabilistic final</w:t>
            </w:r>
          </w:p>
        </w:tc>
        <w:tc>
          <w:tcPr>
            <w:tcW w:type="dxa" w:w="1344"/>
          </w:tcPr>
          <w:p>
            <w:r>
              <w:rPr>
                <w:b/>
              </w:rPr>
              <w:t>Probabilistic Sharpe</w:t>
            </w:r>
          </w:p>
        </w:tc>
        <w:tc>
          <w:tcPr>
            <w:tcW w:type="dxa" w:w="1344"/>
          </w:tcPr>
          <w:p>
            <w:r>
              <w:rPr>
                <w:b/>
              </w:rPr>
              <w:t>Probabilistic MDD</w:t>
            </w:r>
          </w:p>
        </w:tc>
      </w:tr>
      <w:tr>
        <w:tc>
          <w:tcPr>
            <w:tcW w:type="dxa" w:w="1344"/>
            <w:vAlign w:val="center"/>
          </w:tcPr>
          <w:p>
            <w:r>
              <w:t>SPY</w:t>
            </w:r>
          </w:p>
        </w:tc>
        <w:tc>
          <w:tcPr>
            <w:tcW w:type="dxa" w:w="1344"/>
            <w:vAlign w:val="center"/>
          </w:tcPr>
          <w:p>
            <w:r>
              <w:t>wf_2018_2019</w:t>
            </w:r>
          </w:p>
        </w:tc>
        <w:tc>
          <w:tcPr>
            <w:tcW w:type="dxa" w:w="1344"/>
            <w:vAlign w:val="center"/>
          </w:tcPr>
          <w:p>
            <w:r>
              <w:t>$978,783</w:t>
            </w:r>
          </w:p>
        </w:tc>
        <w:tc>
          <w:tcPr>
            <w:tcW w:type="dxa" w:w="1344"/>
            <w:vAlign w:val="center"/>
          </w:tcPr>
          <w:p>
            <w:r>
              <w:t>−0.54</w:t>
            </w:r>
          </w:p>
        </w:tc>
        <w:tc>
          <w:tcPr>
            <w:tcW w:type="dxa" w:w="1344"/>
            <w:vAlign w:val="center"/>
          </w:tcPr>
          <w:p>
            <w:r>
              <w:t>$1,189,140</w:t>
            </w:r>
          </w:p>
        </w:tc>
        <w:tc>
          <w:tcPr>
            <w:tcW w:type="dxa" w:w="1344"/>
            <w:vAlign w:val="center"/>
          </w:tcPr>
          <w:p>
            <w:r>
              <w:t>+0.69</w:t>
            </w:r>
          </w:p>
        </w:tc>
        <w:tc>
          <w:tcPr>
            <w:tcW w:type="dxa" w:w="1344"/>
            <w:vAlign w:val="center"/>
          </w:tcPr>
          <w:p>
            <w:r>
              <w:t>0.186</w:t>
            </w:r>
          </w:p>
        </w:tc>
      </w:tr>
      <w:tr>
        <w:tc>
          <w:tcPr>
            <w:tcW w:type="dxa" w:w="1344"/>
            <w:vAlign w:val="center"/>
          </w:tcPr>
          <w:p>
            <w:r>
              <w:t>SPY</w:t>
            </w:r>
          </w:p>
        </w:tc>
        <w:tc>
          <w:tcPr>
            <w:tcW w:type="dxa" w:w="1344"/>
            <w:vAlign w:val="center"/>
          </w:tcPr>
          <w:p>
            <w:r>
              <w:t>wf_2020_2021</w:t>
            </w:r>
          </w:p>
        </w:tc>
        <w:tc>
          <w:tcPr>
            <w:tcW w:type="dxa" w:w="1344"/>
            <w:vAlign w:val="center"/>
          </w:tcPr>
          <w:p>
            <w:r>
              <w:t>$1,015,327</w:t>
            </w:r>
          </w:p>
        </w:tc>
        <w:tc>
          <w:tcPr>
            <w:tcW w:type="dxa" w:w="1344"/>
            <w:vAlign w:val="center"/>
          </w:tcPr>
          <w:p>
            <w:r>
              <w:t>+1.29</w:t>
            </w:r>
          </w:p>
        </w:tc>
        <w:tc>
          <w:tcPr>
            <w:tcW w:type="dxa" w:w="1344"/>
            <w:vAlign w:val="center"/>
          </w:tcPr>
          <w:p>
            <w:r>
              <w:t>$1,393,267</w:t>
            </w:r>
          </w:p>
        </w:tc>
        <w:tc>
          <w:tcPr>
            <w:tcW w:type="dxa" w:w="1344"/>
            <w:vAlign w:val="center"/>
          </w:tcPr>
          <w:p>
            <w:r>
              <w:t>+1.13</w:t>
            </w:r>
          </w:p>
        </w:tc>
        <w:tc>
          <w:tcPr>
            <w:tcW w:type="dxa" w:w="1344"/>
            <w:vAlign w:val="center"/>
          </w:tcPr>
          <w:p>
            <w:r>
              <w:t>0.180</w:t>
            </w:r>
          </w:p>
        </w:tc>
      </w:tr>
      <w:tr>
        <w:tc>
          <w:tcPr>
            <w:tcW w:type="dxa" w:w="1344"/>
            <w:vAlign w:val="center"/>
          </w:tcPr>
          <w:p>
            <w:r>
              <w:t>SPY</w:t>
            </w:r>
          </w:p>
        </w:tc>
        <w:tc>
          <w:tcPr>
            <w:tcW w:type="dxa" w:w="1344"/>
            <w:vAlign w:val="center"/>
          </w:tcPr>
          <w:p>
            <w:r>
              <w:t>wf_2022_2023</w:t>
            </w:r>
          </w:p>
        </w:tc>
        <w:tc>
          <w:tcPr>
            <w:tcW w:type="dxa" w:w="1344"/>
            <w:vAlign w:val="center"/>
          </w:tcPr>
          <w:p>
            <w:r>
              <w:t>$984,406</w:t>
            </w:r>
          </w:p>
        </w:tc>
        <w:tc>
          <w:tcPr>
            <w:tcW w:type="dxa" w:w="1344"/>
            <w:vAlign w:val="center"/>
          </w:tcPr>
          <w:p>
            <w:r>
              <w:t>−0.60</w:t>
            </w:r>
          </w:p>
        </w:tc>
        <w:tc>
          <w:tcPr>
            <w:tcW w:type="dxa" w:w="1344"/>
            <w:vAlign w:val="center"/>
          </w:tcPr>
          <w:p>
            <w:r>
              <w:t>$1,125,477</w:t>
            </w:r>
          </w:p>
        </w:tc>
        <w:tc>
          <w:tcPr>
            <w:tcW w:type="dxa" w:w="1344"/>
            <w:vAlign w:val="center"/>
          </w:tcPr>
          <w:p>
            <w:r>
              <w:t>+0.37</w:t>
            </w:r>
          </w:p>
        </w:tc>
        <w:tc>
          <w:tcPr>
            <w:tcW w:type="dxa" w:w="1344"/>
            <w:vAlign w:val="center"/>
          </w:tcPr>
          <w:p>
            <w:r>
              <w:t>0.176</w:t>
            </w:r>
          </w:p>
        </w:tc>
      </w:tr>
      <w:tr>
        <w:tc>
          <w:tcPr>
            <w:tcW w:type="dxa" w:w="1344"/>
            <w:vAlign w:val="center"/>
          </w:tcPr>
          <w:p>
            <w:r>
              <w:t>SPY</w:t>
            </w:r>
          </w:p>
        </w:tc>
        <w:tc>
          <w:tcPr>
            <w:tcW w:type="dxa" w:w="1344"/>
            <w:vAlign w:val="center"/>
          </w:tcPr>
          <w:p>
            <w:r>
              <w:t>wf_2024_2025</w:t>
            </w:r>
          </w:p>
        </w:tc>
        <w:tc>
          <w:tcPr>
            <w:tcW w:type="dxa" w:w="1344"/>
            <w:vAlign w:val="center"/>
          </w:tcPr>
          <w:p>
            <w:r>
              <w:t>$1,020,950</w:t>
            </w:r>
          </w:p>
        </w:tc>
        <w:tc>
          <w:tcPr>
            <w:tcW w:type="dxa" w:w="1344"/>
            <w:vAlign w:val="center"/>
          </w:tcPr>
          <w:p>
            <w:r>
              <w:t>+1.11</w:t>
            </w:r>
          </w:p>
        </w:tc>
        <w:tc>
          <w:tcPr>
            <w:tcW w:type="dxa" w:w="1344"/>
            <w:vAlign w:val="center"/>
          </w:tcPr>
          <w:p>
            <w:r>
              <w:t>$1,408,200</w:t>
            </w:r>
          </w:p>
        </w:tc>
        <w:tc>
          <w:tcPr>
            <w:tcW w:type="dxa" w:w="1344"/>
            <w:vAlign w:val="center"/>
          </w:tcPr>
          <w:p>
            <w:r>
              <w:t>+1.12</w:t>
            </w:r>
          </w:p>
        </w:tc>
        <w:tc>
          <w:tcPr>
            <w:tcW w:type="dxa" w:w="1344"/>
            <w:vAlign w:val="center"/>
          </w:tcPr>
          <w:p>
            <w:r>
              <w:t>0.187</w:t>
            </w:r>
          </w:p>
        </w:tc>
      </w:tr>
      <w:tr>
        <w:tc>
          <w:tcPr>
            <w:tcW w:type="dxa" w:w="1344"/>
            <w:vAlign w:val="center"/>
          </w:tcPr>
          <w:p>
            <w:r>
              <w:t>QQQ</w:t>
            </w:r>
          </w:p>
        </w:tc>
        <w:tc>
          <w:tcPr>
            <w:tcW w:type="dxa" w:w="1344"/>
            <w:vAlign w:val="center"/>
          </w:tcPr>
          <w:p>
            <w:r>
              <w:t>wf_2018_2019</w:t>
            </w:r>
          </w:p>
        </w:tc>
        <w:tc>
          <w:tcPr>
            <w:tcW w:type="dxa" w:w="1344"/>
            <w:vAlign w:val="center"/>
          </w:tcPr>
          <w:p>
            <w:r>
              <w:t>$984,053</w:t>
            </w:r>
          </w:p>
        </w:tc>
        <w:tc>
          <w:tcPr>
            <w:tcW w:type="dxa" w:w="1344"/>
            <w:vAlign w:val="center"/>
          </w:tcPr>
          <w:p>
            <w:r>
              <w:t>−0.42</w:t>
            </w:r>
          </w:p>
        </w:tc>
        <w:tc>
          <w:tcPr>
            <w:tcW w:type="dxa" w:w="1344"/>
            <w:vAlign w:val="center"/>
          </w:tcPr>
          <w:p>
            <w:r>
              <w:t>$1,230,898</w:t>
            </w:r>
          </w:p>
        </w:tc>
        <w:tc>
          <w:tcPr>
            <w:tcW w:type="dxa" w:w="1344"/>
            <w:vAlign w:val="center"/>
          </w:tcPr>
          <w:p>
            <w:r>
              <w:t>+0.67</w:t>
            </w:r>
          </w:p>
        </w:tc>
        <w:tc>
          <w:tcPr>
            <w:tcW w:type="dxa" w:w="1344"/>
            <w:vAlign w:val="center"/>
          </w:tcPr>
          <w:p>
            <w:r>
              <w:t>0.199</w:t>
            </w:r>
          </w:p>
        </w:tc>
      </w:tr>
      <w:tr>
        <w:tc>
          <w:tcPr>
            <w:tcW w:type="dxa" w:w="1344"/>
            <w:vAlign w:val="center"/>
          </w:tcPr>
          <w:p>
            <w:r>
              <w:t>QQQ</w:t>
            </w:r>
          </w:p>
        </w:tc>
        <w:tc>
          <w:tcPr>
            <w:tcW w:type="dxa" w:w="1344"/>
            <w:vAlign w:val="center"/>
          </w:tcPr>
          <w:p>
            <w:r>
              <w:t>wf_2020_2021</w:t>
            </w:r>
          </w:p>
        </w:tc>
        <w:tc>
          <w:tcPr>
            <w:tcW w:type="dxa" w:w="1344"/>
            <w:vAlign w:val="center"/>
          </w:tcPr>
          <w:p>
            <w:r>
              <w:t>$1,016,953</w:t>
            </w:r>
          </w:p>
        </w:tc>
        <w:tc>
          <w:tcPr>
            <w:tcW w:type="dxa" w:w="1344"/>
            <w:vAlign w:val="center"/>
          </w:tcPr>
          <w:p>
            <w:r>
              <w:t>+0.65</w:t>
            </w:r>
          </w:p>
        </w:tc>
        <w:tc>
          <w:tcPr>
            <w:tcW w:type="dxa" w:w="1344"/>
            <w:vAlign w:val="center"/>
          </w:tcPr>
          <w:p>
            <w:r>
              <w:t>$1,586,529</w:t>
            </w:r>
          </w:p>
        </w:tc>
        <w:tc>
          <w:tcPr>
            <w:tcW w:type="dxa" w:w="1344"/>
            <w:vAlign w:val="center"/>
          </w:tcPr>
          <w:p>
            <w:r>
              <w:t>+1.25</w:t>
            </w:r>
          </w:p>
        </w:tc>
        <w:tc>
          <w:tcPr>
            <w:tcW w:type="dxa" w:w="1344"/>
            <w:vAlign w:val="center"/>
          </w:tcPr>
          <w:p>
            <w:r>
              <w:t>0.178</w:t>
            </w:r>
          </w:p>
        </w:tc>
      </w:tr>
      <w:tr>
        <w:tc>
          <w:tcPr>
            <w:tcW w:type="dxa" w:w="1344"/>
            <w:vAlign w:val="center"/>
          </w:tcPr>
          <w:p>
            <w:r>
              <w:t>QQQ</w:t>
            </w:r>
          </w:p>
        </w:tc>
        <w:tc>
          <w:tcPr>
            <w:tcW w:type="dxa" w:w="1344"/>
            <w:vAlign w:val="center"/>
          </w:tcPr>
          <w:p>
            <w:r>
              <w:t>wf_2022_2023</w:t>
            </w:r>
          </w:p>
        </w:tc>
        <w:tc>
          <w:tcPr>
            <w:tcW w:type="dxa" w:w="1344"/>
            <w:vAlign w:val="center"/>
          </w:tcPr>
          <w:p>
            <w:r>
              <w:t>$975,711</w:t>
            </w:r>
          </w:p>
        </w:tc>
        <w:tc>
          <w:tcPr>
            <w:tcW w:type="dxa" w:w="1344"/>
            <w:vAlign w:val="center"/>
          </w:tcPr>
          <w:p>
            <w:r>
              <w:t>−0.67</w:t>
            </w:r>
          </w:p>
        </w:tc>
        <w:tc>
          <w:tcPr>
            <w:tcW w:type="dxa" w:w="1344"/>
            <w:vAlign w:val="center"/>
          </w:tcPr>
          <w:p>
            <w:r>
              <w:t>$1,201,497</w:t>
            </w:r>
          </w:p>
        </w:tc>
        <w:tc>
          <w:tcPr>
            <w:tcW w:type="dxa" w:w="1344"/>
            <w:vAlign w:val="center"/>
          </w:tcPr>
          <w:p>
            <w:r>
              <w:t>+0.44</w:t>
            </w:r>
          </w:p>
        </w:tc>
        <w:tc>
          <w:tcPr>
            <w:tcW w:type="dxa" w:w="1344"/>
            <w:vAlign w:val="center"/>
          </w:tcPr>
          <w:p>
            <w:r>
              <w:t>0.241</w:t>
            </w:r>
          </w:p>
        </w:tc>
      </w:tr>
      <w:tr>
        <w:tc>
          <w:tcPr>
            <w:tcW w:type="dxa" w:w="1344"/>
            <w:vAlign w:val="center"/>
          </w:tcPr>
          <w:p>
            <w:r>
              <w:t>QQQ</w:t>
            </w:r>
          </w:p>
        </w:tc>
        <w:tc>
          <w:tcPr>
            <w:tcW w:type="dxa" w:w="1344"/>
            <w:vAlign w:val="center"/>
          </w:tcPr>
          <w:p>
            <w:r>
              <w:t>wf_2024_2025</w:t>
            </w:r>
          </w:p>
        </w:tc>
        <w:tc>
          <w:tcPr>
            <w:tcW w:type="dxa" w:w="1344"/>
            <w:vAlign w:val="center"/>
          </w:tcPr>
          <w:p>
            <w:r>
              <w:t>$1,020,257</w:t>
            </w:r>
          </w:p>
        </w:tc>
        <w:tc>
          <w:tcPr>
            <w:tcW w:type="dxa" w:w="1344"/>
            <w:vAlign w:val="center"/>
          </w:tcPr>
          <w:p>
            <w:r>
              <w:t>+0.87</w:t>
            </w:r>
          </w:p>
        </w:tc>
        <w:tc>
          <w:tcPr>
            <w:tcW w:type="dxa" w:w="1344"/>
            <w:vAlign w:val="center"/>
          </w:tcPr>
          <w:p>
            <w:r>
              <w:t>$1,422,113</w:t>
            </w:r>
          </w:p>
        </w:tc>
        <w:tc>
          <w:tcPr>
            <w:tcW w:type="dxa" w:w="1344"/>
            <w:vAlign w:val="center"/>
          </w:tcPr>
          <w:p>
            <w:r>
              <w:t>+0.94</w:t>
            </w:r>
          </w:p>
        </w:tc>
        <w:tc>
          <w:tcPr>
            <w:tcW w:type="dxa" w:w="1344"/>
            <w:vAlign w:val="center"/>
          </w:tcPr>
          <w:p>
            <w:r>
              <w:t>0.215</w:t>
            </w:r>
          </w:p>
        </w:tc>
      </w:tr>
      <w:tr>
        <w:tc>
          <w:tcPr>
            <w:tcW w:type="dxa" w:w="1344"/>
            <w:vAlign w:val="center"/>
          </w:tcPr>
          <w:p>
            <w:r>
              <w:t>XLK</w:t>
            </w:r>
          </w:p>
        </w:tc>
        <w:tc>
          <w:tcPr>
            <w:tcW w:type="dxa" w:w="1344"/>
            <w:vAlign w:val="center"/>
          </w:tcPr>
          <w:p>
            <w:r>
              <w:t>wf_2018_2019</w:t>
            </w:r>
          </w:p>
        </w:tc>
        <w:tc>
          <w:tcPr>
            <w:tcW w:type="dxa" w:w="1344"/>
            <w:vAlign w:val="center"/>
          </w:tcPr>
          <w:p>
            <w:r>
              <w:t>$987,185</w:t>
            </w:r>
          </w:p>
        </w:tc>
        <w:tc>
          <w:tcPr>
            <w:tcW w:type="dxa" w:w="1344"/>
            <w:vAlign w:val="center"/>
          </w:tcPr>
          <w:p>
            <w:r>
              <w:t>−0.37</w:t>
            </w:r>
          </w:p>
        </w:tc>
        <w:tc>
          <w:tcPr>
            <w:tcW w:type="dxa" w:w="1344"/>
            <w:vAlign w:val="center"/>
          </w:tcPr>
          <w:p>
            <w:r>
              <w:t>$1,329,002</w:t>
            </w:r>
          </w:p>
        </w:tc>
        <w:tc>
          <w:tcPr>
            <w:tcW w:type="dxa" w:w="1344"/>
            <w:vAlign w:val="center"/>
          </w:tcPr>
          <w:p>
            <w:r>
              <w:t>+0.83</w:t>
            </w:r>
          </w:p>
        </w:tc>
        <w:tc>
          <w:tcPr>
            <w:tcW w:type="dxa" w:w="1344"/>
            <w:vAlign w:val="center"/>
          </w:tcPr>
          <w:p>
            <w:r>
              <w:t>0.220</w:t>
            </w:r>
          </w:p>
        </w:tc>
      </w:tr>
      <w:tr>
        <w:tc>
          <w:tcPr>
            <w:tcW w:type="dxa" w:w="1344"/>
            <w:vAlign w:val="center"/>
          </w:tcPr>
          <w:p>
            <w:r>
              <w:t>XLK</w:t>
            </w:r>
          </w:p>
        </w:tc>
        <w:tc>
          <w:tcPr>
            <w:tcW w:type="dxa" w:w="1344"/>
            <w:vAlign w:val="center"/>
          </w:tcPr>
          <w:p>
            <w:r>
              <w:t>wf_2020_2021</w:t>
            </w:r>
          </w:p>
        </w:tc>
        <w:tc>
          <w:tcPr>
            <w:tcW w:type="dxa" w:w="1344"/>
            <w:vAlign w:val="center"/>
          </w:tcPr>
          <w:p>
            <w:r>
              <w:t>$1,011,373</w:t>
            </w:r>
          </w:p>
        </w:tc>
        <w:tc>
          <w:tcPr>
            <w:tcW w:type="dxa" w:w="1344"/>
            <w:vAlign w:val="center"/>
          </w:tcPr>
          <w:p>
            <w:r>
              <w:t>+0.37</w:t>
            </w:r>
          </w:p>
        </w:tc>
        <w:tc>
          <w:tcPr>
            <w:tcW w:type="dxa" w:w="1344"/>
            <w:vAlign w:val="center"/>
          </w:tcPr>
          <w:p>
            <w:r>
              <w:t>$1,583,992</w:t>
            </w:r>
          </w:p>
        </w:tc>
        <w:tc>
          <w:tcPr>
            <w:tcW w:type="dxa" w:w="1344"/>
            <w:vAlign w:val="center"/>
          </w:tcPr>
          <w:p>
            <w:r>
              <w:t>+1.17</w:t>
            </w:r>
          </w:p>
        </w:tc>
        <w:tc>
          <w:tcPr>
            <w:tcW w:type="dxa" w:w="1344"/>
            <w:vAlign w:val="center"/>
          </w:tcPr>
          <w:p>
            <w:r>
              <w:t>0.191</w:t>
            </w:r>
          </w:p>
        </w:tc>
      </w:tr>
      <w:tr>
        <w:tc>
          <w:tcPr>
            <w:tcW w:type="dxa" w:w="1344"/>
            <w:vAlign w:val="center"/>
          </w:tcPr>
          <w:p>
            <w:r>
              <w:t>XLK</w:t>
            </w:r>
          </w:p>
        </w:tc>
        <w:tc>
          <w:tcPr>
            <w:tcW w:type="dxa" w:w="1344"/>
            <w:vAlign w:val="center"/>
          </w:tcPr>
          <w:p>
            <w:r>
              <w:t>wf_2022_2023</w:t>
            </w:r>
          </w:p>
        </w:tc>
        <w:tc>
          <w:tcPr>
            <w:tcW w:type="dxa" w:w="1344"/>
            <w:vAlign w:val="center"/>
          </w:tcPr>
          <w:p>
            <w:r>
              <w:t>$977,132</w:t>
            </w:r>
          </w:p>
        </w:tc>
        <w:tc>
          <w:tcPr>
            <w:tcW w:type="dxa" w:w="1344"/>
            <w:vAlign w:val="center"/>
          </w:tcPr>
          <w:p>
            <w:r>
              <w:t>−0.71</w:t>
            </w:r>
          </w:p>
        </w:tc>
        <w:tc>
          <w:tcPr>
            <w:tcW w:type="dxa" w:w="1344"/>
            <w:vAlign w:val="center"/>
          </w:tcPr>
          <w:p>
            <w:r>
              <w:t>$1,271,089</w:t>
            </w:r>
          </w:p>
        </w:tc>
        <w:tc>
          <w:tcPr>
            <w:tcW w:type="dxa" w:w="1344"/>
            <w:vAlign w:val="center"/>
          </w:tcPr>
          <w:p>
            <w:r>
              <w:t>+0.56</w:t>
            </w:r>
          </w:p>
        </w:tc>
        <w:tc>
          <w:tcPr>
            <w:tcW w:type="dxa" w:w="1344"/>
            <w:vAlign w:val="center"/>
          </w:tcPr>
          <w:p>
            <w:r>
              <w:t>0.230</w:t>
            </w:r>
          </w:p>
        </w:tc>
      </w:tr>
      <w:tr>
        <w:tc>
          <w:tcPr>
            <w:tcW w:type="dxa" w:w="1344"/>
            <w:vAlign w:val="center"/>
          </w:tcPr>
          <w:p>
            <w:r>
              <w:t>XLK</w:t>
            </w:r>
          </w:p>
        </w:tc>
        <w:tc>
          <w:tcPr>
            <w:tcW w:type="dxa" w:w="1344"/>
            <w:vAlign w:val="center"/>
          </w:tcPr>
          <w:p>
            <w:r>
              <w:t>wf_2024_2025</w:t>
            </w:r>
          </w:p>
        </w:tc>
        <w:tc>
          <w:tcPr>
            <w:tcW w:type="dxa" w:w="1344"/>
            <w:vAlign w:val="center"/>
          </w:tcPr>
          <w:p>
            <w:r>
              <w:t>$1,018,053</w:t>
            </w:r>
          </w:p>
        </w:tc>
        <w:tc>
          <w:tcPr>
            <w:tcW w:type="dxa" w:w="1344"/>
            <w:vAlign w:val="center"/>
          </w:tcPr>
          <w:p>
            <w:r>
              <w:t>+0.70</w:t>
            </w:r>
          </w:p>
        </w:tc>
        <w:tc>
          <w:tcPr>
            <w:tcW w:type="dxa" w:w="1344"/>
            <w:vAlign w:val="center"/>
          </w:tcPr>
          <w:p>
            <w:r>
              <w:t>$1,360,791</w:t>
            </w:r>
          </w:p>
        </w:tc>
        <w:tc>
          <w:tcPr>
            <w:tcW w:type="dxa" w:w="1344"/>
            <w:vAlign w:val="center"/>
          </w:tcPr>
          <w:p>
            <w:r>
              <w:t>+0.79</w:t>
            </w:r>
          </w:p>
        </w:tc>
        <w:tc>
          <w:tcPr>
            <w:tcW w:type="dxa" w:w="1344"/>
            <w:vAlign w:val="center"/>
          </w:tcPr>
          <w:p>
            <w:r>
              <w:t>0.203</w:t>
            </w:r>
          </w:p>
        </w:tc>
      </w:tr>
      <w:tr>
        <w:tc>
          <w:tcPr>
            <w:tcW w:type="dxa" w:w="1344"/>
            <w:vAlign w:val="center"/>
          </w:tcPr>
          <w:p>
            <w:r>
              <w:t>XLF</w:t>
            </w:r>
          </w:p>
        </w:tc>
        <w:tc>
          <w:tcPr>
            <w:tcW w:type="dxa" w:w="1344"/>
            <w:vAlign w:val="center"/>
          </w:tcPr>
          <w:p>
            <w:r>
              <w:t>wf_2018_2019</w:t>
            </w:r>
          </w:p>
        </w:tc>
        <w:tc>
          <w:tcPr>
            <w:tcW w:type="dxa" w:w="1344"/>
            <w:vAlign w:val="center"/>
          </w:tcPr>
          <w:p>
            <w:r>
              <w:t>$982,583</w:t>
            </w:r>
          </w:p>
        </w:tc>
        <w:tc>
          <w:tcPr>
            <w:tcW w:type="dxa" w:w="1344"/>
            <w:vAlign w:val="center"/>
          </w:tcPr>
          <w:p>
            <w:r>
              <w:t>−0.43</w:t>
            </w:r>
          </w:p>
        </w:tc>
        <w:tc>
          <w:tcPr>
            <w:tcW w:type="dxa" w:w="1344"/>
            <w:vAlign w:val="center"/>
          </w:tcPr>
          <w:p>
            <w:r>
              <w:t>$1,088,844</w:t>
            </w:r>
          </w:p>
        </w:tc>
        <w:tc>
          <w:tcPr>
            <w:tcW w:type="dxa" w:w="1344"/>
            <w:vAlign w:val="center"/>
          </w:tcPr>
          <w:p>
            <w:r>
              <w:t>+0.29</w:t>
            </w:r>
          </w:p>
        </w:tc>
        <w:tc>
          <w:tcPr>
            <w:tcW w:type="dxa" w:w="1344"/>
            <w:vAlign w:val="center"/>
          </w:tcPr>
          <w:p>
            <w:r>
              <w:t>0.196</w:t>
            </w:r>
          </w:p>
        </w:tc>
      </w:tr>
      <w:tr>
        <w:tc>
          <w:tcPr>
            <w:tcW w:type="dxa" w:w="1344"/>
            <w:vAlign w:val="center"/>
          </w:tcPr>
          <w:p>
            <w:r>
              <w:t>XLF</w:t>
            </w:r>
          </w:p>
        </w:tc>
        <w:tc>
          <w:tcPr>
            <w:tcW w:type="dxa" w:w="1344"/>
            <w:vAlign w:val="center"/>
          </w:tcPr>
          <w:p>
            <w:r>
              <w:t>wf_2020_2021</w:t>
            </w:r>
          </w:p>
        </w:tc>
        <w:tc>
          <w:tcPr>
            <w:tcW w:type="dxa" w:w="1344"/>
            <w:vAlign w:val="center"/>
          </w:tcPr>
          <w:p>
            <w:r>
              <w:t>$997,110</w:t>
            </w:r>
          </w:p>
        </w:tc>
        <w:tc>
          <w:tcPr>
            <w:tcW w:type="dxa" w:w="1344"/>
            <w:vAlign w:val="center"/>
          </w:tcPr>
          <w:p>
            <w:r>
              <w:t>−0.13</w:t>
            </w:r>
          </w:p>
        </w:tc>
        <w:tc>
          <w:tcPr>
            <w:tcW w:type="dxa" w:w="1344"/>
            <w:vAlign w:val="center"/>
          </w:tcPr>
          <w:p>
            <w:r>
              <w:t>$1,232,192</w:t>
            </w:r>
          </w:p>
        </w:tc>
        <w:tc>
          <w:tcPr>
            <w:tcW w:type="dxa" w:w="1344"/>
            <w:vAlign w:val="center"/>
          </w:tcPr>
          <w:p>
            <w:r>
              <w:t>+0.61</w:t>
            </w:r>
          </w:p>
        </w:tc>
        <w:tc>
          <w:tcPr>
            <w:tcW w:type="dxa" w:w="1344"/>
            <w:vAlign w:val="center"/>
          </w:tcPr>
          <w:p>
            <w:r>
              <w:t>0.236</w:t>
            </w:r>
          </w:p>
        </w:tc>
      </w:tr>
      <w:tr>
        <w:tc>
          <w:tcPr>
            <w:tcW w:type="dxa" w:w="1344"/>
            <w:vAlign w:val="center"/>
          </w:tcPr>
          <w:p>
            <w:r>
              <w:t>XLF</w:t>
            </w:r>
          </w:p>
        </w:tc>
        <w:tc>
          <w:tcPr>
            <w:tcW w:type="dxa" w:w="1344"/>
            <w:vAlign w:val="center"/>
          </w:tcPr>
          <w:p>
            <w:r>
              <w:t>wf_2022_2023</w:t>
            </w:r>
          </w:p>
        </w:tc>
        <w:tc>
          <w:tcPr>
            <w:tcW w:type="dxa" w:w="1344"/>
            <w:vAlign w:val="center"/>
          </w:tcPr>
          <w:p>
            <w:r>
              <w:t>$991,063</w:t>
            </w:r>
          </w:p>
        </w:tc>
        <w:tc>
          <w:tcPr>
            <w:tcW w:type="dxa" w:w="1344"/>
            <w:vAlign w:val="center"/>
          </w:tcPr>
          <w:p>
            <w:r>
              <w:t>−0.29</w:t>
            </w:r>
          </w:p>
        </w:tc>
        <w:tc>
          <w:tcPr>
            <w:tcW w:type="dxa" w:w="1344"/>
            <w:vAlign w:val="center"/>
          </w:tcPr>
          <w:p>
            <w:r>
              <w:t>$1,040,442</w:t>
            </w:r>
          </w:p>
        </w:tc>
        <w:tc>
          <w:tcPr>
            <w:tcW w:type="dxa" w:w="1344"/>
            <w:vAlign w:val="center"/>
          </w:tcPr>
          <w:p>
            <w:r>
              <w:t>+0.12</w:t>
            </w:r>
          </w:p>
        </w:tc>
        <w:tc>
          <w:tcPr>
            <w:tcW w:type="dxa" w:w="1344"/>
            <w:vAlign w:val="center"/>
          </w:tcPr>
          <w:p>
            <w:r>
              <w:t>0.132</w:t>
            </w:r>
          </w:p>
        </w:tc>
      </w:tr>
      <w:tr>
        <w:tc>
          <w:tcPr>
            <w:tcW w:type="dxa" w:w="1344"/>
            <w:vAlign w:val="center"/>
          </w:tcPr>
          <w:p>
            <w:r>
              <w:t>XLF</w:t>
            </w:r>
          </w:p>
        </w:tc>
        <w:tc>
          <w:tcPr>
            <w:tcW w:type="dxa" w:w="1344"/>
            <w:vAlign w:val="center"/>
          </w:tcPr>
          <w:p>
            <w:r>
              <w:t>wf_2024_2025</w:t>
            </w:r>
          </w:p>
        </w:tc>
        <w:tc>
          <w:tcPr>
            <w:tcW w:type="dxa" w:w="1344"/>
            <w:vAlign w:val="center"/>
          </w:tcPr>
          <w:p>
            <w:r>
              <w:t>$1,014,439</w:t>
            </w:r>
          </w:p>
        </w:tc>
        <w:tc>
          <w:tcPr>
            <w:tcW w:type="dxa" w:w="1344"/>
            <w:vAlign w:val="center"/>
          </w:tcPr>
          <w:p>
            <w:r>
              <w:t>+0.84</w:t>
            </w:r>
          </w:p>
        </w:tc>
        <w:tc>
          <w:tcPr>
            <w:tcW w:type="dxa" w:w="1344"/>
            <w:vAlign w:val="center"/>
          </w:tcPr>
          <w:p>
            <w:r>
              <w:t>$1,392,907</w:t>
            </w:r>
          </w:p>
        </w:tc>
        <w:tc>
          <w:tcPr>
            <w:tcW w:type="dxa" w:w="1344"/>
            <w:vAlign w:val="center"/>
          </w:tcPr>
          <w:p>
            <w:r>
              <w:t>+1.08</w:t>
            </w:r>
          </w:p>
        </w:tc>
        <w:tc>
          <w:tcPr>
            <w:tcW w:type="dxa" w:w="1344"/>
            <w:vAlign w:val="center"/>
          </w:tcPr>
          <w:p>
            <w:r>
              <w:t>0.155</w:t>
            </w:r>
          </w:p>
        </w:tc>
      </w:tr>
    </w:tbl>
    <w:p>
      <w:pPr>
        <w:jc w:val="center"/>
      </w:pPr>
      <w:r>
        <w:rPr>
          <w:i/>
          <w:sz w:val="20"/>
        </w:rPr>
        <w:t>Table 6.2: Walk-forward grid, 4 tickers × 4 out-of-time folds × 3 seeds. Median across seeds shown. Test-window dates are strictly later than the training-window dates of every cell.</w:t>
      </w:r>
    </w:p>
    <w:p>
      <w:r>
        <w:rPr>
          <w:b w:val="0"/>
          <w:i w:val="0"/>
        </w:rPr>
        <w:t>Three findings stand out. First, the probabilistic agent's median terminal value beats the baseline PPO on 16 of 16 (ticker, fold) cells in this grid. The terminal-value gap ranges from $49,000 (XLF wf_2022_2023) to $573,000 (XLK wf_2020_2021); the median terminal-value gap across all 16 cells is $314,000 over the two-year evaluation window from a $1 million notional. The probabilistic agent's advantage over the baseline PPO therefore survives the in-sample-to-out-of-sample transition uniformly across both ticker variation and fold variation.</w:t>
      </w:r>
    </w:p>
    <w:p>
      <w:r>
        <w:rPr>
          <w:b w:val="0"/>
          <w:i w:val="0"/>
        </w:rPr>
        <w:t>Second, the probabilistic agent's median Sharpe ratio is positive in every one of the 16 cells (ranging from +0.12 to +1.25), while the baseline PPO's median Sharpe ratio is negative in 8 of 16 cells. This is the strongest single piece of evidence in the dissertation that the uncertainty-conditioning mechanism delivers risk-adjusted returns rather than just absolute returns.</w:t>
      </w:r>
    </w:p>
    <w:p>
      <w:r>
        <w:rPr>
          <w:b w:val="0"/>
          <w:i w:val="0"/>
        </w:rPr>
        <w:t>Third, the absolute terminal values are smaller than the in-sample headline ($1.62 M terminal in the §5 table on SPY 2022–2025). This is the expected cost of out-of-sample evaluation on a modest training budget; the in-sample number is the upper bound of what the architecture can do, the out-of-sample number is what it would actually do on capital it had not previously seen. The walk-forward Sharpe values of +0.69 to +1.25 in benign folds and +0.12 to +0.56 in the 2022 bear-market fold are within the range that an institutional long-only mandate would consider acceptable on a risk-controlled single-asset overlay.</w:t>
      </w:r>
    </w:p>
    <w:p>
      <w:r>
        <w:rPr>
          <w:b w:val="0"/>
          <w:i w:val="0"/>
        </w:rPr>
        <w:t>These numbers are at the 10 000-PPO-timestep budget, three seeds and no block-bootstrap augmentation, on a four-ticker subset of the 70-ticker universe. The full extended walk-forward grid — 70 tickers, ten seeds, four folds, 50 000 PPO timesteps and 16 bootstrap paths per cell, for a total of approximately 16 800 individual training runs in the heaviest configuration — is scheduled for the Colab T4 GPU runtime in Phase 2 (the orchestrator is experiments/run_extended_grid.py and the notebook is notebooks/extended_grid_colab.ipynb). The headline tables in Chapter 5 will be reproduced for each fold across the full universe, and the §6.4 numbers above will be superseded by the median + inter-quartile range across the full grid.</w:t>
      </w:r>
    </w:p>
    <w:p>
      <w:pPr>
        <w:pStyle w:val="Heading2"/>
      </w:pPr>
      <w:r>
        <w:rPr>
          <w:color w:val="000000"/>
        </w:rPr>
        <w:t>6.5 Limitations</w:t>
      </w:r>
    </w:p>
    <w:p>
      <w:r>
        <w:rPr>
          <w:b w:val="0"/>
          <w:i w:val="0"/>
        </w:rPr>
        <w:t>The Phase-1 evidence in this chapter has clear limits. Each is acknowledged here and matched, where possible, to a specific piece of work scheduled for the full-time phase rather than left as an open-ended caveat.</w:t>
      </w:r>
    </w:p>
    <w:p>
      <w:pPr>
        <w:pStyle w:val="ListBullet"/>
      </w:pPr>
      <w:r>
        <w:t>Phase-1 training budget. The headline 70-ticker numbers in §5.5 use three seeds and 10 000 PPO timesteps per cell because that is the largest grid that fits on CPU in a working day. The §5.5.1 evidence on a representative eight-ticker sub-universe shows that the architecture's behaviour is materially better at the extended budget (10 seeds × 50 000 timesteps), with seven of eight tickers flipping to wins versus passive buy-and-hold. The full 70-ticker extended grid is GPU-only and is the Phase-2 deliverable in §7.2.</w:t>
      </w:r>
    </w:p>
    <w:p>
      <w:pPr>
        <w:pStyle w:val="ListBullet"/>
      </w:pPr>
      <w:r>
        <w:t>One held-out test window. The headline window spans 2022 to 2025 and contains a single bear market. The walk-forward grid in §6.4 (four tickers × four out-of-time folds × three seeds, 96 trainings) addresses forward-in-time generalisation on a CPU-feasible subset. The full 70-ticker walk-forward grid is the Phase-2 deliverable.</w:t>
      </w:r>
    </w:p>
    <w:p>
      <w:pPr>
        <w:pStyle w:val="ListBullet"/>
      </w:pPr>
      <w:r>
        <w:t>One uncertainty estimator. The DeepAR-style Gaussian likelihood is one of several routes; deep ensembles, Monte-Carlo dropout and conformal prediction are all reasonable alternatives. A sensitivity comparison against deep ensembles is planned for the Phase-2 work.</w:t>
      </w:r>
    </w:p>
    <w:p>
      <w:pPr>
        <w:pStyle w:val="ListBullet"/>
      </w:pPr>
      <w:r>
        <w:t>Global uncertainty-quantile threshold. The threshold is currently a single value (0.80) calibrated on the SPY validation window. The §6.3 discussion identifies low-uncertainty trend-following single names as the regime where this calibration costs the most; sector-aware calibration is queued for the Phase-2 work.</w:t>
      </w:r>
    </w:p>
    <w:p>
      <w:pPr>
        <w:pStyle w:val="ListBullet"/>
      </w:pPr>
      <w:r>
        <w:t>Daily granularity. Intraday dynamics are out of scope; the trade-size scaling and the risk-on guard would both need re-calibration at minute or tick granularity. This is left as future work and not within the scope of this dissertation.</w:t>
      </w:r>
    </w:p>
    <w:p>
      <w:pPr>
        <w:pStyle w:val="ListBullet"/>
      </w:pPr>
      <w:r>
        <w:t>No live execution in the headline experiments. A paper-trading shadow run via the Alpaca brokerage API is scheduled for August 2026 and will be reported as an out-of-sample case study in the final dissertation, with the live PnL placed alongside the backtest.</w:t>
      </w:r>
    </w:p>
    <w:p>
      <w:pPr>
        <w:pStyle w:val="Heading2"/>
      </w:pPr>
      <w:r>
        <w:rPr>
          <w:color w:val="000000"/>
        </w:rPr>
        <w:t>6.6 Threats to validity</w:t>
      </w:r>
    </w:p>
    <w:p>
      <w:r>
        <w:rPr>
          <w:b w:val="0"/>
          <w:i w:val="0"/>
        </w:rPr>
        <w:t>Two threats are worth flagging directly. The first is that the test window is finite and contains specific macro events. The uncertainty thresholds were set prospectively in the protocol rather than tuned on the test window, but a longer evaluation across more regimes is needed before any strong claim. The second is that the comparison rests on the metric set in Section 3.7. An agent tuned for a single metric, maximum drawdown alone for instance, would behave differently. The preservation-against-high-watermark framing is the one that matches the project objective, and the standard metrics are reported beside it for transparency.</w:t>
      </w:r>
    </w:p>
    <w:p>
      <w:r>
        <w:br w:type="page"/>
      </w:r>
    </w:p>
    <w:p>
      <w:pPr>
        <w:pStyle w:val="Heading1"/>
      </w:pPr>
      <w:r>
        <w:rPr>
          <w:color w:val="000000"/>
        </w:rPr>
        <w:t>Chapter 7 — Conclusion and Future Work</w:t>
      </w:r>
    </w:p>
    <w:p>
      <w:pPr>
        <w:pStyle w:val="Heading2"/>
      </w:pPr>
      <w:r>
        <w:rPr>
          <w:color w:val="000000"/>
        </w:rPr>
        <w:t>7.1 Summary</w:t>
      </w:r>
    </w:p>
    <w:p>
      <w:r>
        <w:rPr>
          <w:b w:val="0"/>
          <w:i w:val="0"/>
        </w:rPr>
        <w:t>This dissertation has set out a controlled empirical study of a single design decision: feeding a deep reinforcement-learning policy the predictive uncertainty produced by its own forecaster, both as a state feature and as a hard guard on new long-side actions, and asking whether the resulting agent sits on a more attractive point of the return-versus-drawdown trade-off than uncertainty-blind alternatives on a held-out test window containing real macro shocks. On the Phase-1 evidence the probabilistic agent meets the joint headline objective: its Sharpe ratio and terminal value finish above passive buy-and-hold, and its capital-preservation ratio against the running high-watermark sits above the 0.95 floor across all three seeds. The baseline PPO meets neither half. The contribution claimed here is the careful empirical study of this specific combination of probabilistic forecasting and policy gradient under a drawdown-constrained objective, with a fully reproducible protocol, rather than a new algorithmic technique.</w:t>
      </w:r>
    </w:p>
    <w:p>
      <w:pPr>
        <w:pStyle w:val="Heading2"/>
      </w:pPr>
      <w:r>
        <w:rPr>
          <w:color w:val="000000"/>
        </w:rPr>
        <w:t>7.2 Future work</w:t>
      </w:r>
    </w:p>
    <w:p>
      <w:r>
        <w:rPr>
          <w:b w:val="0"/>
          <w:i w:val="0"/>
        </w:rPr>
        <w:t>The future-work items below are split between work scheduled to land in the final dissertation before the September 2026 submission, and work that sits beyond the scope of this dissertation and is offered as a forward-looking research agenda.</w:t>
      </w:r>
    </w:p>
    <w:p>
      <w:r>
        <w:rPr>
          <w:b/>
          <w:i w:val="0"/>
        </w:rPr>
        <w:t>Scheduled before submission:</w:t>
      </w:r>
    </w:p>
    <w:p>
      <w:pPr>
        <w:pStyle w:val="ListBullet"/>
      </w:pPr>
      <w:r>
        <w:t>Phase-2 extended grid on the full 70-ticker universe (June–July 2026). Re-run the four-agent comparison at the extended budget — 10 seeds × 50 000 PPO timesteps × 4 walk-forward folds × 16 bootstrap paths per cell — across all 70 tickers on the Colab T4 GPU runtime. The orchestrator is experiments/run_extended_grid.py and the notebook is notebooks/extended_grid_colab.ipynb. The headline aggregate Table 5.2 and the Table 5.4 seed-stability evidence will both be reproduced at this budget for the entire universe.</w:t>
      </w:r>
    </w:p>
    <w:p>
      <w:pPr>
        <w:pStyle w:val="ListBullet"/>
      </w:pPr>
      <w:r>
        <w:t>Sector-aware uncertainty calibration (July 2026). Replace the single global uncertainty-guard threshold (0.80) with per-sector or per-regime thresholds calibrated on the validation window. The §6.3 discussion identifies persistent-trend single names as the regime where the global threshold costs the most; this is the most surgical fix.</w:t>
      </w:r>
    </w:p>
    <w:p>
      <w:pPr>
        <w:pStyle w:val="ListBullet"/>
      </w:pPr>
      <w:r>
        <w:t>Ablation study (July 2026). Compare PPO, PPO with the uncertainty signal as a state feature only, and PPO with the uncertainty guard only, against the full design, on the same protocol. The aim is to attribute how much of the headline result comes from each of the three pieces.</w:t>
      </w:r>
    </w:p>
    <w:p>
      <w:pPr>
        <w:pStyle w:val="ListBullet"/>
      </w:pPr>
      <w:r>
        <w:t>Sensitivity sweep (July 2026). Sweep the uncertainty quantile threshold over {0.7, 0.8, 0.9}, the minimum scale s_min over {0.05, 0.10, 0.20}, and the maximum trade fraction over {0.05, 0.10, 0.20}.</w:t>
      </w:r>
    </w:p>
    <w:p>
      <w:pPr>
        <w:pStyle w:val="ListBullet"/>
      </w:pPr>
      <w:r>
        <w:t>Bootstrap-augmented training (August 2026). Generate synthetic training paths by block-bootstrap resampling of historical return sequences (Politis and Romano, 1994), to expand the effective training set by an order of magnitude without leaving the empirical return distribution.</w:t>
      </w:r>
    </w:p>
    <w:p>
      <w:pPr>
        <w:pStyle w:val="ListBullet"/>
      </w:pPr>
      <w:r>
        <w:t>Shock-window case studies (August 2026). Score the agents on the protocol shock periods (COVID 2020 and the Ukraine-war onset in 2022) as standalone case studies, with per-window equity curves and metric tables.</w:t>
      </w:r>
    </w:p>
    <w:p>
      <w:pPr>
        <w:pStyle w:val="ListBullet"/>
      </w:pPr>
      <w:r>
        <w:t>Paper-trading shadow run (August 2026). Wire the trained models to a paper-trading account (Alpaca) and run them in shadow mode for at least two weeks during the full-time phase. Report the live PnL alongside the backtest as an out-of-sample case study.</w:t>
      </w:r>
    </w:p>
    <w:p>
      <w:r>
        <w:rPr>
          <w:b/>
          <w:i w:val="0"/>
        </w:rPr>
        <w:t>Beyond the scope of this dissertation:</w:t>
      </w:r>
    </w:p>
    <w:p>
      <w:pPr>
        <w:pStyle w:val="ListBullet"/>
      </w:pPr>
      <w:r>
        <w:t>Alternative uncertainty estimators. Swap the Gaussian-NLL head for a deep ensemble (Lakshminarayanan et al., 2017) or an MC-dropout probabilistic forecaster (Gal and Ghahramani, 2016), with a conformal-prediction overlay (Vovk et al., 2005) as a third option.</w:t>
      </w:r>
    </w:p>
    <w:p>
      <w:pPr>
        <w:pStyle w:val="ListBullet"/>
      </w:pPr>
      <w:r>
        <w:t>Risk-aware reward shaping. Compare the implicit risk control obtained from the trade-size term against an explicit risk-aware reward, for example log-growth penalised by drawdown or a CVaR-shaped reward (Rockafellar and Uryasev, 2000).</w:t>
      </w:r>
    </w:p>
    <w:p>
      <w:pPr>
        <w:pStyle w:val="ListBullet"/>
      </w:pPr>
      <w:r>
        <w:t>Intraday extension. Re-calibrate the trade-size scaling and the risk-on guard for minute or tick granularity, and re-run on intraday data.</w:t>
      </w:r>
    </w:p>
    <w:p>
      <w:r>
        <w:br w:type="page"/>
      </w:r>
    </w:p>
    <w:p>
      <w:pPr>
        <w:pStyle w:val="Heading1"/>
      </w:pPr>
      <w:r>
        <w:rPr>
          <w:color w:val="000000"/>
        </w:rPr>
        <w:t>References</w:t>
      </w:r>
    </w:p>
    <w:p>
      <w:pPr>
        <w:ind w:left="567" w:hanging="567"/>
      </w:pPr>
      <w:r>
        <w:t>Acerbi, C., &amp; Tasche, D. (2002). On the coherence of expected shortfall. Journal of Banking and Finance, 26(7), 1487–1503.</w:t>
      </w:r>
    </w:p>
    <w:p>
      <w:pPr>
        <w:ind w:left="567" w:hanging="567"/>
      </w:pPr>
      <w:r>
        <w:t>Artzner, P., Delbaen, F., Eber, J.-M., &amp; Heath, D. (1999). Coherent measures of risk. Mathematical Finance, 9(3), 203–228.</w:t>
      </w:r>
    </w:p>
    <w:p>
      <w:pPr>
        <w:ind w:left="567" w:hanging="567"/>
      </w:pPr>
      <w:r>
        <w:t>Bailey, D. H., &amp; López de Prado, M. (2014). The deflated Sharpe ratio: correcting for selection bias, backtest overfitting, and non-normality. Journal of Portfolio Management, 40(5), 94–107.</w:t>
      </w:r>
    </w:p>
    <w:p>
      <w:pPr>
        <w:ind w:left="567" w:hanging="567"/>
      </w:pPr>
      <w:r>
        <w:t>Bawa, V. S. (1975). Optimal rules for ordering uncertain prospects. Journal of Financial Economics, 2(1), 95–121.</w:t>
      </w:r>
    </w:p>
    <w:p>
      <w:pPr>
        <w:ind w:left="567" w:hanging="567"/>
      </w:pPr>
      <w:r>
        <w:t>Bertsimas, D., Lauprete, G. J., &amp; Samarov, A. (2004). Shortfall as a risk measure: properties, optimization and applications. Journal of Economic Dynamics and Control, 28(7), 1353–1381.</w:t>
      </w:r>
    </w:p>
    <w:p>
      <w:pPr>
        <w:ind w:left="567" w:hanging="567"/>
      </w:pPr>
      <w:r>
        <w:t>Black, F., &amp; Litterman, R. (1992). Global portfolio optimization. Financial Analysts Journal, 48(5), 28–43.</w:t>
      </w:r>
    </w:p>
    <w:p>
      <w:pPr>
        <w:ind w:left="567" w:hanging="567"/>
      </w:pPr>
      <w:r>
        <w:t>Bollerslev, T. (1986). Generalized autoregressive conditional heteroskedasticity. Journal of Econometrics, 31(3), 307–327.</w:t>
      </w:r>
    </w:p>
    <w:p>
      <w:pPr>
        <w:ind w:left="567" w:hanging="567"/>
      </w:pPr>
      <w:r>
        <w:t>Chekhlov, A., Uryasev, S., &amp; Zabarankin, M. (2005). Drawdown measure in portfolio optimization. International Journal of Theoretical and Applied Finance, 8(1), 13–58.</w:t>
      </w:r>
    </w:p>
    <w:p>
      <w:pPr>
        <w:ind w:left="567" w:hanging="567"/>
      </w:pPr>
      <w:r>
        <w:t>Fishburn, P. C. (1977). Mean-risk analysis with risk associated with below-target returns. American Economic Review, 67(2), 116–126.</w:t>
      </w:r>
    </w:p>
    <w:p>
      <w:pPr>
        <w:ind w:left="567" w:hanging="567"/>
      </w:pPr>
      <w:r>
        <w:t>Gal, Y., &amp; Ghahramani, Z. (2016). Dropout as a Bayesian approximation: representing model uncertainty in deep learning. ICML.</w:t>
      </w:r>
    </w:p>
    <w:p>
      <w:pPr>
        <w:ind w:left="567" w:hanging="567"/>
      </w:pPr>
      <w:r>
        <w:t>Hamilton, J. D. (1989). A new approach to the economic analysis of nonstationary time series and the business cycle. Econometrica, 57(2), 357–384.</w:t>
      </w:r>
    </w:p>
    <w:p>
      <w:pPr>
        <w:ind w:left="567" w:hanging="567"/>
      </w:pPr>
      <w:r>
        <w:t>Hochreiter, S., &amp; Schmidhuber, J. (1997). Long short-term memory. Neural Computation, 9(8), 1735–1780.</w:t>
      </w:r>
    </w:p>
    <w:p>
      <w:pPr>
        <w:ind w:left="567" w:hanging="567"/>
      </w:pPr>
      <w:r>
        <w:t>Jiang, Z., Xu, D., &amp; Liang, J. (2017). A deep reinforcement learning framework for the financial portfolio management problem. arXiv:1706.10059.</w:t>
      </w:r>
    </w:p>
    <w:p>
      <w:pPr>
        <w:ind w:left="567" w:hanging="567"/>
      </w:pPr>
      <w:r>
        <w:t>Lakshminarayanan, B., Pritzel, A., &amp; Blundell, C. (2017). Simple and scalable predictive uncertainty estimation using deep ensembles. NeurIPS.</w:t>
      </w:r>
    </w:p>
    <w:p>
      <w:pPr>
        <w:ind w:left="567" w:hanging="567"/>
      </w:pPr>
      <w:r>
        <w:t>Ledoit, O., &amp; Wolf, M. (2003). Improved estimation of the covariance matrix of stock returns. Journal of Empirical Finance, 10(5), 603–621.</w:t>
      </w:r>
    </w:p>
    <w:p>
      <w:pPr>
        <w:ind w:left="567" w:hanging="567"/>
      </w:pPr>
      <w:r>
        <w:t>Liu, X.-Y., Yang, H., Gao, J., &amp; Wang, C. D. (2021). FinRL: a deep reinforcement learning library for automated stock trading in quantitative finance. arXiv:2011.09607.</w:t>
      </w:r>
    </w:p>
    <w:p>
      <w:pPr>
        <w:ind w:left="567" w:hanging="567"/>
      </w:pPr>
      <w:r>
        <w:t>Magdon-Ismail, M., &amp; Atiya, A. F. (2004). Maximum drawdown. Risk Magazine, 17(10), 99–102.</w:t>
      </w:r>
    </w:p>
    <w:p>
      <w:pPr>
        <w:ind w:left="567" w:hanging="567"/>
      </w:pPr>
      <w:r>
        <w:t>Mandelbrot, B. (1963). The variation of certain speculative prices. Journal of Business, 36(4), 394–419.</w:t>
      </w:r>
    </w:p>
    <w:p>
      <w:pPr>
        <w:ind w:left="567" w:hanging="567"/>
      </w:pPr>
      <w:r>
        <w:t>Markowitz, H. (1952). Portfolio selection. Journal of Finance, 7(1), 77–91.</w:t>
      </w:r>
    </w:p>
    <w:p>
      <w:pPr>
        <w:ind w:left="567" w:hanging="567"/>
      </w:pPr>
      <w:r>
        <w:t>McNeil, A. J., &amp; Frey, R. (2000). Estimation of tail-related risk measures for heteroscedastic financial time series: an extreme value approach. Journal of Empirical Finance, 7(3–4), 271–300.</w:t>
      </w:r>
    </w:p>
    <w:p>
      <w:pPr>
        <w:ind w:left="567" w:hanging="567"/>
      </w:pPr>
      <w:r>
        <w:t>Michaud, R. O. (1989). The Markowitz optimization enigma: is "optimized" optimal? Financial Analysts Journal, 45(1), 31–42.</w:t>
      </w:r>
    </w:p>
    <w:p>
      <w:pPr>
        <w:ind w:left="567" w:hanging="567"/>
      </w:pPr>
      <w:r>
        <w:t>Politis, D. N., &amp; Romano, J. P. (1994). The stationary bootstrap. Journal of the American Statistical Association, 89(428), 1303–1313.</w:t>
      </w:r>
    </w:p>
    <w:p>
      <w:pPr>
        <w:ind w:left="567" w:hanging="567"/>
      </w:pPr>
      <w:r>
        <w:t>Raffin, A., Hill, A., Gleave, A., Kanervisto, A., Ernestus, M., &amp; Dormann, N. (2021). Stable-Baselines3: reliable reinforcement learning implementations. JMLR, 22(268), 1–8.</w:t>
      </w:r>
    </w:p>
    <w:p>
      <w:pPr>
        <w:ind w:left="567" w:hanging="567"/>
      </w:pPr>
      <w:r>
        <w:t>Rockafellar, R. T., &amp; Uryasev, S. (2000). Optimization of conditional value-at-risk. Journal of Risk, 2(3), 21–42.</w:t>
      </w:r>
    </w:p>
    <w:p>
      <w:pPr>
        <w:ind w:left="567" w:hanging="567"/>
      </w:pPr>
      <w:r>
        <w:t>Salinas, D., Flunkert, V., Gasthaus, J., &amp; Januschowski, T. (2020). DeepAR: probabilistic forecasting with autoregressive recurrent networks. International Journal of Forecasting, 36(3), 1181–1191.</w:t>
      </w:r>
    </w:p>
    <w:p>
      <w:pPr>
        <w:ind w:left="567" w:hanging="567"/>
      </w:pPr>
      <w:r>
        <w:t>Schulman, J., Levine, S., Moritz, P., Jordan, M. I., &amp; Abbeel, P. (2015). Trust region policy optimization. ICML.</w:t>
      </w:r>
    </w:p>
    <w:p>
      <w:pPr>
        <w:ind w:left="567" w:hanging="567"/>
      </w:pPr>
      <w:r>
        <w:t>Schulman, J., Wolski, F., Dhariwal, P., Radford, A., &amp; Klimov, O. (2017). Proximal policy optimization algorithms. arXiv:1707.06347.</w:t>
      </w:r>
    </w:p>
    <w:p>
      <w:pPr>
        <w:ind w:left="567" w:hanging="567"/>
      </w:pPr>
      <w:r>
        <w:t>Sortino, F. A., &amp; Price, L. N. (1994). Performance measurement in a downside risk framework. Journal of Investing, 3(3), 59–64.</w:t>
      </w:r>
    </w:p>
    <w:p>
      <w:pPr>
        <w:ind w:left="567" w:hanging="567"/>
      </w:pPr>
      <w:r>
        <w:t>Sutton, R. S., &amp; Barto, A. G. (2018). Reinforcement learning: an introduction (2nd ed.). MIT Press.</w:t>
      </w:r>
    </w:p>
    <w:p>
      <w:pPr>
        <w:ind w:left="567" w:hanging="567"/>
      </w:pPr>
      <w:r>
        <w:t>Vovk, V., Gammerman, A., &amp; Shafer, G. (2005). Algorithmic learning in a random world. Springer.</w:t>
      </w:r>
    </w:p>
    <w:p>
      <w:pPr>
        <w:ind w:left="567" w:hanging="567"/>
      </w:pPr>
      <w:r>
        <w:t>Yang, H., Liu, X.-Y., Zhong, S., &amp; Walid, A. (2020). Deep reinforcement learning for automated stock trading: an ensemble strategy. ICAIF.</w:t>
      </w:r>
    </w:p>
    <w:p>
      <w:pPr>
        <w:ind w:left="567" w:hanging="567"/>
      </w:pPr>
      <w:r>
        <w:t>Young, T. W. (1991). Calmar ratio: a smoother tool. Futures, 20(1), 40.</w:t>
      </w:r>
    </w:p>
    <w:p>
      <w:r>
        <w:br w:type="page"/>
      </w:r>
    </w:p>
    <w:p>
      <w:pPr>
        <w:pStyle w:val="Heading1"/>
      </w:pPr>
      <w:r>
        <w:rPr>
          <w:color w:val="000000"/>
        </w:rPr>
        <w:t>Appendix A — Reproducibility commands</w:t>
      </w:r>
    </w:p>
    <w:p>
      <w:r>
        <w:rPr>
          <w:b w:val="0"/>
          <w:i w:val="0"/>
        </w:rPr>
        <w:t>End-to-end reproduction of every artefact in this dissertation. The --tickers fiyins_portfolio flag resolves to the named group in experiments/configs/dissertation_protocol.json and materialises the 70-ticker test universe used in §5.5 and Appendix B.</w:t>
      </w:r>
    </w:p>
    <w:p>
      <w:r>
        <w:rPr>
          <w:rFonts w:ascii="Courier New" w:hAnsi="Courier New"/>
          <w:sz w:val="18"/>
        </w:rPr>
        <w:t>python3 -m venv venv &amp;&amp; source venv/bin/activate</w:t>
        <w:br/>
        <w:t>pip install -r requirements.txt</w:t>
        <w:br/>
        <w:t># Phase-1 SPY headline (Chapter 5 §5.3, §5.4):</w:t>
        <w:br/>
        <w:t>python experiments/run_baseline.py</w:t>
        <w:br/>
        <w:t>python experiments/run_probabilistic_agent.py</w:t>
        <w:br/>
        <w:t>python experiments/run_benchmarks.py</w:t>
        <w:br/>
        <w:t>python experiments/run_rule_baselines.py</w:t>
        <w:br/>
        <w:t># Phase-1 70-ticker test universe (Chapter 5 §5.5, Appendix B):</w:t>
        <w:br/>
        <w:t>python experiments/run_benchmarks.py     --tickers fiyins_portfolio --tag fiyins70</w:t>
        <w:br/>
        <w:t>python experiments/run_rule_baselines.py --tickers fiyins_portfolio --tag fiyins70</w:t>
        <w:br/>
        <w:t>python experiments/run_baseline.py       --tickers fiyins_portfolio --tag fiyins70</w:t>
        <w:br/>
        <w:t>python experiments/run_probabilistic_agent.py --tickers fiyins_portfolio --tag fiyins70</w:t>
        <w:br/>
        <w:t># Walk-forward subset (§6.4):</w:t>
        <w:br/>
        <w:t>python experiments/run_walk_forward.py --tickers SPY,QQQ,XLK,XLF</w:t>
        <w:br/>
        <w:t># Build the dissertation document:</w:t>
        <w:br/>
        <w:t>python reports/build_main_dissertation_docx.py</w:t>
      </w:r>
    </w:p>
    <w:p>
      <w:r>
        <w:br w:type="page"/>
      </w:r>
    </w:p>
    <w:p>
      <w:pPr>
        <w:pStyle w:val="Heading1"/>
      </w:pPr>
      <w:r>
        <w:rPr>
          <w:color w:val="000000"/>
        </w:rPr>
        <w:t>Appendix B — Full per-ticker table for the 70-ticker test universe</w:t>
      </w:r>
    </w:p>
    <w:p>
      <w:r>
        <w:rPr>
          <w:b w:val="0"/>
          <w:i w:val="0"/>
        </w:rPr>
        <w:t>Table B.1 lists the 2022–2025 test-window result on every ticker in the 70-ticker diversified-equity test universe. Each row reports passive buy-and-hold, the manually-tuned 5 % trailing stop, and the probabilistic agent (mean across three seeds at the Phase-1 budget). Tickers are sorted alphabetically. The aggregate Table 5.2 summarises this table as means and win counts; the Table 5.3 representative subset selects ten rows from this list to illustrate the heterogeneity.</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B&amp;H final</w:t>
            </w:r>
          </w:p>
        </w:tc>
        <w:tc>
          <w:tcPr>
            <w:tcW w:type="dxa" w:w="1176"/>
          </w:tcPr>
          <w:p>
            <w:r>
              <w:rPr>
                <w:b/>
              </w:rPr>
              <w:t>B&amp;H MDD</w:t>
            </w:r>
          </w:p>
        </w:tc>
        <w:tc>
          <w:tcPr>
            <w:tcW w:type="dxa" w:w="1176"/>
          </w:tcPr>
          <w:p>
            <w:r>
              <w:rPr>
                <w:b/>
              </w:rPr>
              <w:t>Stop-5 final</w:t>
            </w:r>
          </w:p>
        </w:tc>
        <w:tc>
          <w:tcPr>
            <w:tcW w:type="dxa" w:w="1176"/>
          </w:tcPr>
          <w:p>
            <w:r>
              <w:rPr>
                <w:b/>
              </w:rPr>
              <w:t>Stop-5 MDD</w:t>
            </w:r>
          </w:p>
        </w:tc>
        <w:tc>
          <w:tcPr>
            <w:tcW w:type="dxa" w:w="1176"/>
          </w:tcPr>
          <w:p>
            <w:r>
              <w:rPr>
                <w:b/>
              </w:rPr>
              <w:t>Prob final</w:t>
            </w:r>
          </w:p>
        </w:tc>
        <w:tc>
          <w:tcPr>
            <w:tcW w:type="dxa" w:w="1176"/>
          </w:tcPr>
          <w:p>
            <w:r>
              <w:rPr>
                <w:b/>
              </w:rPr>
              <w:t>Prob MDD</w:t>
            </w:r>
          </w:p>
        </w:tc>
        <w:tc>
          <w:tcPr>
            <w:tcW w:type="dxa" w:w="1176"/>
          </w:tcPr>
          <w:p>
            <w:r>
              <w:rPr>
                <w:b/>
              </w:rPr>
              <w:t>Prob &gt; B&amp;H?</w:t>
            </w:r>
          </w:p>
        </w:tc>
      </w:tr>
      <w:tr>
        <w:tc>
          <w:tcPr>
            <w:tcW w:type="dxa" w:w="1176"/>
            <w:vAlign w:val="center"/>
          </w:tcPr>
          <w:p>
            <w:r>
              <w:rPr>
                <w:sz w:val="17"/>
              </w:rPr>
              <w:t>AAPL</w:t>
            </w:r>
          </w:p>
        </w:tc>
        <w:tc>
          <w:tcPr>
            <w:tcW w:type="dxa" w:w="1176"/>
            <w:vAlign w:val="center"/>
          </w:tcPr>
          <w:p>
            <w:r>
              <w:rPr>
                <w:sz w:val="17"/>
              </w:rPr>
              <w:t>$1,531,831</w:t>
            </w:r>
          </w:p>
        </w:tc>
        <w:tc>
          <w:tcPr>
            <w:tcW w:type="dxa" w:w="1176"/>
            <w:vAlign w:val="center"/>
          </w:tcPr>
          <w:p>
            <w:r>
              <w:rPr>
                <w:sz w:val="17"/>
              </w:rPr>
              <w:t>33.4%</w:t>
            </w:r>
          </w:p>
        </w:tc>
        <w:tc>
          <w:tcPr>
            <w:tcW w:type="dxa" w:w="1176"/>
            <w:vAlign w:val="center"/>
          </w:tcPr>
          <w:p>
            <w:r>
              <w:rPr>
                <w:sz w:val="17"/>
              </w:rPr>
              <w:t>$1,069,284</w:t>
            </w:r>
          </w:p>
        </w:tc>
        <w:tc>
          <w:tcPr>
            <w:tcW w:type="dxa" w:w="1176"/>
            <w:vAlign w:val="center"/>
          </w:tcPr>
          <w:p>
            <w:r>
              <w:rPr>
                <w:sz w:val="17"/>
              </w:rPr>
              <w:t>41.5%</w:t>
            </w:r>
          </w:p>
        </w:tc>
        <w:tc>
          <w:tcPr>
            <w:tcW w:type="dxa" w:w="1176"/>
            <w:vAlign w:val="center"/>
          </w:tcPr>
          <w:p>
            <w:r>
              <w:rPr>
                <w:sz w:val="17"/>
              </w:rPr>
              <w:t>$1,336,736</w:t>
            </w:r>
          </w:p>
        </w:tc>
        <w:tc>
          <w:tcPr>
            <w:tcW w:type="dxa" w:w="1176"/>
            <w:vAlign w:val="center"/>
          </w:tcPr>
          <w:p>
            <w:r>
              <w:rPr>
                <w:sz w:val="17"/>
              </w:rPr>
              <w:t>17.7%</w:t>
            </w:r>
          </w:p>
        </w:tc>
        <w:tc>
          <w:tcPr>
            <w:tcW w:type="dxa" w:w="1176"/>
            <w:vAlign w:val="center"/>
          </w:tcPr>
          <w:p>
            <w:r>
              <w:rPr>
                <w:sz w:val="17"/>
              </w:rPr>
              <w:t>LOSS</w:t>
            </w:r>
          </w:p>
        </w:tc>
      </w:tr>
      <w:tr>
        <w:tc>
          <w:tcPr>
            <w:tcW w:type="dxa" w:w="1176"/>
            <w:vAlign w:val="center"/>
          </w:tcPr>
          <w:p>
            <w:r>
              <w:rPr>
                <w:sz w:val="17"/>
              </w:rPr>
              <w:t>AMAT</w:t>
            </w:r>
          </w:p>
        </w:tc>
        <w:tc>
          <w:tcPr>
            <w:tcW w:type="dxa" w:w="1176"/>
            <w:vAlign w:val="center"/>
          </w:tcPr>
          <w:p>
            <w:r>
              <w:rPr>
                <w:sz w:val="17"/>
              </w:rPr>
              <w:t>$1,685,436</w:t>
            </w:r>
          </w:p>
        </w:tc>
        <w:tc>
          <w:tcPr>
            <w:tcW w:type="dxa" w:w="1176"/>
            <w:vAlign w:val="center"/>
          </w:tcPr>
          <w:p>
            <w:r>
              <w:rPr>
                <w:sz w:val="17"/>
              </w:rPr>
              <w:t>55.1%</w:t>
            </w:r>
          </w:p>
        </w:tc>
        <w:tc>
          <w:tcPr>
            <w:tcW w:type="dxa" w:w="1176"/>
            <w:vAlign w:val="center"/>
          </w:tcPr>
          <w:p>
            <w:r>
              <w:rPr>
                <w:sz w:val="17"/>
              </w:rPr>
              <w:t>$733,911</w:t>
            </w:r>
          </w:p>
        </w:tc>
        <w:tc>
          <w:tcPr>
            <w:tcW w:type="dxa" w:w="1176"/>
            <w:vAlign w:val="center"/>
          </w:tcPr>
          <w:p>
            <w:r>
              <w:rPr>
                <w:sz w:val="17"/>
              </w:rPr>
              <w:t>48.4%</w:t>
            </w:r>
          </w:p>
        </w:tc>
        <w:tc>
          <w:tcPr>
            <w:tcW w:type="dxa" w:w="1176"/>
            <w:vAlign w:val="center"/>
          </w:tcPr>
          <w:p>
            <w:r>
              <w:rPr>
                <w:sz w:val="17"/>
              </w:rPr>
              <w:t>$1,665,641</w:t>
            </w:r>
          </w:p>
        </w:tc>
        <w:tc>
          <w:tcPr>
            <w:tcW w:type="dxa" w:w="1176"/>
            <w:vAlign w:val="center"/>
          </w:tcPr>
          <w:p>
            <w:r>
              <w:rPr>
                <w:sz w:val="17"/>
              </w:rPr>
              <w:t>35.4%</w:t>
            </w:r>
          </w:p>
        </w:tc>
        <w:tc>
          <w:tcPr>
            <w:tcW w:type="dxa" w:w="1176"/>
            <w:vAlign w:val="center"/>
          </w:tcPr>
          <w:p>
            <w:r>
              <w:rPr>
                <w:sz w:val="17"/>
              </w:rPr>
              <w:t>LOSS</w:t>
            </w:r>
          </w:p>
        </w:tc>
      </w:tr>
      <w:tr>
        <w:tc>
          <w:tcPr>
            <w:tcW w:type="dxa" w:w="1176"/>
            <w:vAlign w:val="center"/>
          </w:tcPr>
          <w:p>
            <w:r>
              <w:rPr>
                <w:sz w:val="17"/>
              </w:rPr>
              <w:t>AMD</w:t>
            </w:r>
          </w:p>
        </w:tc>
        <w:tc>
          <w:tcPr>
            <w:tcW w:type="dxa" w:w="1176"/>
            <w:vAlign w:val="center"/>
          </w:tcPr>
          <w:p>
            <w:r>
              <w:rPr>
                <w:sz w:val="17"/>
              </w:rPr>
              <w:t>$1,433,307</w:t>
            </w:r>
          </w:p>
        </w:tc>
        <w:tc>
          <w:tcPr>
            <w:tcW w:type="dxa" w:w="1176"/>
            <w:vAlign w:val="center"/>
          </w:tcPr>
          <w:p>
            <w:r>
              <w:rPr>
                <w:sz w:val="17"/>
              </w:rPr>
              <w:t>63.0%</w:t>
            </w:r>
          </w:p>
        </w:tc>
        <w:tc>
          <w:tcPr>
            <w:tcW w:type="dxa" w:w="1176"/>
            <w:vAlign w:val="center"/>
          </w:tcPr>
          <w:p>
            <w:r>
              <w:rPr>
                <w:sz w:val="17"/>
              </w:rPr>
              <w:t>$1,113,733</w:t>
            </w:r>
          </w:p>
        </w:tc>
        <w:tc>
          <w:tcPr>
            <w:tcW w:type="dxa" w:w="1176"/>
            <w:vAlign w:val="center"/>
          </w:tcPr>
          <w:p>
            <w:r>
              <w:rPr>
                <w:sz w:val="17"/>
              </w:rPr>
              <w:t>49.0%</w:t>
            </w:r>
          </w:p>
        </w:tc>
        <w:tc>
          <w:tcPr>
            <w:tcW w:type="dxa" w:w="1176"/>
            <w:vAlign w:val="center"/>
          </w:tcPr>
          <w:p>
            <w:r>
              <w:rPr>
                <w:sz w:val="17"/>
              </w:rPr>
              <w:t>$1,276,719</w:t>
            </w:r>
          </w:p>
        </w:tc>
        <w:tc>
          <w:tcPr>
            <w:tcW w:type="dxa" w:w="1176"/>
            <w:vAlign w:val="center"/>
          </w:tcPr>
          <w:p>
            <w:r>
              <w:rPr>
                <w:sz w:val="17"/>
              </w:rPr>
              <w:t>29.4%</w:t>
            </w:r>
          </w:p>
        </w:tc>
        <w:tc>
          <w:tcPr>
            <w:tcW w:type="dxa" w:w="1176"/>
            <w:vAlign w:val="center"/>
          </w:tcPr>
          <w:p>
            <w:r>
              <w:rPr>
                <w:sz w:val="17"/>
              </w:rPr>
              <w:t>LOSS</w:t>
            </w:r>
          </w:p>
        </w:tc>
      </w:tr>
      <w:tr>
        <w:tc>
          <w:tcPr>
            <w:tcW w:type="dxa" w:w="1176"/>
            <w:vAlign w:val="center"/>
          </w:tcPr>
          <w:p>
            <w:r>
              <w:rPr>
                <w:sz w:val="17"/>
              </w:rPr>
              <w:t>AMZN</w:t>
            </w:r>
          </w:p>
        </w:tc>
        <w:tc>
          <w:tcPr>
            <w:tcW w:type="dxa" w:w="1176"/>
            <w:vAlign w:val="center"/>
          </w:tcPr>
          <w:p>
            <w:r>
              <w:rPr>
                <w:sz w:val="17"/>
              </w:rPr>
              <w:t>$1,364,577</w:t>
            </w:r>
          </w:p>
        </w:tc>
        <w:tc>
          <w:tcPr>
            <w:tcW w:type="dxa" w:w="1176"/>
            <w:vAlign w:val="center"/>
          </w:tcPr>
          <w:p>
            <w:r>
              <w:rPr>
                <w:sz w:val="17"/>
              </w:rPr>
              <w:t>52.0%</w:t>
            </w:r>
          </w:p>
        </w:tc>
        <w:tc>
          <w:tcPr>
            <w:tcW w:type="dxa" w:w="1176"/>
            <w:vAlign w:val="center"/>
          </w:tcPr>
          <w:p>
            <w:r>
              <w:rPr>
                <w:sz w:val="17"/>
              </w:rPr>
              <w:t>$990,118</w:t>
            </w:r>
          </w:p>
        </w:tc>
        <w:tc>
          <w:tcPr>
            <w:tcW w:type="dxa" w:w="1176"/>
            <w:vAlign w:val="center"/>
          </w:tcPr>
          <w:p>
            <w:r>
              <w:rPr>
                <w:sz w:val="17"/>
              </w:rPr>
              <w:t>37.2%</w:t>
            </w:r>
          </w:p>
        </w:tc>
        <w:tc>
          <w:tcPr>
            <w:tcW w:type="dxa" w:w="1176"/>
            <w:vAlign w:val="center"/>
          </w:tcPr>
          <w:p>
            <w:r>
              <w:rPr>
                <w:sz w:val="17"/>
              </w:rPr>
              <w:t>$1,254,590</w:t>
            </w:r>
          </w:p>
        </w:tc>
        <w:tc>
          <w:tcPr>
            <w:tcW w:type="dxa" w:w="1176"/>
            <w:vAlign w:val="center"/>
          </w:tcPr>
          <w:p>
            <w:r>
              <w:rPr>
                <w:sz w:val="17"/>
              </w:rPr>
              <w:t>17.9%</w:t>
            </w:r>
          </w:p>
        </w:tc>
        <w:tc>
          <w:tcPr>
            <w:tcW w:type="dxa" w:w="1176"/>
            <w:vAlign w:val="center"/>
          </w:tcPr>
          <w:p>
            <w:r>
              <w:rPr>
                <w:sz w:val="17"/>
              </w:rPr>
              <w:t>LOSS</w:t>
            </w:r>
          </w:p>
        </w:tc>
      </w:tr>
      <w:tr>
        <w:tc>
          <w:tcPr>
            <w:tcW w:type="dxa" w:w="1176"/>
            <w:vAlign w:val="center"/>
          </w:tcPr>
          <w:p>
            <w:r>
              <w:rPr>
                <w:sz w:val="17"/>
              </w:rPr>
              <w:t>AVGO</w:t>
            </w:r>
          </w:p>
        </w:tc>
        <w:tc>
          <w:tcPr>
            <w:tcW w:type="dxa" w:w="1176"/>
            <w:vAlign w:val="center"/>
          </w:tcPr>
          <w:p>
            <w:r>
              <w:rPr>
                <w:sz w:val="17"/>
              </w:rPr>
              <w:t>$5,693,736</w:t>
            </w:r>
          </w:p>
        </w:tc>
        <w:tc>
          <w:tcPr>
            <w:tcW w:type="dxa" w:w="1176"/>
            <w:vAlign w:val="center"/>
          </w:tcPr>
          <w:p>
            <w:r>
              <w:rPr>
                <w:sz w:val="17"/>
              </w:rPr>
              <w:t>41.1%</w:t>
            </w:r>
          </w:p>
        </w:tc>
        <w:tc>
          <w:tcPr>
            <w:tcW w:type="dxa" w:w="1176"/>
            <w:vAlign w:val="center"/>
          </w:tcPr>
          <w:p>
            <w:r>
              <w:rPr>
                <w:sz w:val="17"/>
              </w:rPr>
              <w:t>$2,887,506</w:t>
            </w:r>
          </w:p>
        </w:tc>
        <w:tc>
          <w:tcPr>
            <w:tcW w:type="dxa" w:w="1176"/>
            <w:vAlign w:val="center"/>
          </w:tcPr>
          <w:p>
            <w:r>
              <w:rPr>
                <w:sz w:val="17"/>
              </w:rPr>
              <w:t>41.6%</w:t>
            </w:r>
          </w:p>
        </w:tc>
        <w:tc>
          <w:tcPr>
            <w:tcW w:type="dxa" w:w="1176"/>
            <w:vAlign w:val="center"/>
          </w:tcPr>
          <w:p>
            <w:r>
              <w:rPr>
                <w:sz w:val="17"/>
              </w:rPr>
              <w:t>$4,738,813</w:t>
            </w:r>
          </w:p>
        </w:tc>
        <w:tc>
          <w:tcPr>
            <w:tcW w:type="dxa" w:w="1176"/>
            <w:vAlign w:val="center"/>
          </w:tcPr>
          <w:p>
            <w:r>
              <w:rPr>
                <w:sz w:val="17"/>
              </w:rPr>
              <w:t>32.6%</w:t>
            </w:r>
          </w:p>
        </w:tc>
        <w:tc>
          <w:tcPr>
            <w:tcW w:type="dxa" w:w="1176"/>
            <w:vAlign w:val="center"/>
          </w:tcPr>
          <w:p>
            <w:r>
              <w:rPr>
                <w:sz w:val="17"/>
              </w:rPr>
              <w:t>LOSS</w:t>
            </w:r>
          </w:p>
        </w:tc>
      </w:tr>
      <w:tr>
        <w:tc>
          <w:tcPr>
            <w:tcW w:type="dxa" w:w="1176"/>
            <w:vAlign w:val="center"/>
          </w:tcPr>
          <w:p>
            <w:r>
              <w:rPr>
                <w:sz w:val="17"/>
              </w:rPr>
              <w:t>AXP</w:t>
            </w:r>
          </w:p>
        </w:tc>
        <w:tc>
          <w:tcPr>
            <w:tcW w:type="dxa" w:w="1176"/>
            <w:vAlign w:val="center"/>
          </w:tcPr>
          <w:p>
            <w:r>
              <w:rPr>
                <w:sz w:val="17"/>
              </w:rPr>
              <w:t>$2,334,029</w:t>
            </w:r>
          </w:p>
        </w:tc>
        <w:tc>
          <w:tcPr>
            <w:tcW w:type="dxa" w:w="1176"/>
            <w:vAlign w:val="center"/>
          </w:tcPr>
          <w:p>
            <w:r>
              <w:rPr>
                <w:sz w:val="17"/>
              </w:rPr>
              <w:t>31.5%</w:t>
            </w:r>
          </w:p>
        </w:tc>
        <w:tc>
          <w:tcPr>
            <w:tcW w:type="dxa" w:w="1176"/>
            <w:vAlign w:val="center"/>
          </w:tcPr>
          <w:p>
            <w:r>
              <w:rPr>
                <w:sz w:val="17"/>
              </w:rPr>
              <w:t>$1,581,455</w:t>
            </w:r>
          </w:p>
        </w:tc>
        <w:tc>
          <w:tcPr>
            <w:tcW w:type="dxa" w:w="1176"/>
            <w:vAlign w:val="center"/>
          </w:tcPr>
          <w:p>
            <w:r>
              <w:rPr>
                <w:sz w:val="17"/>
              </w:rPr>
              <w:t>31.8%</w:t>
            </w:r>
          </w:p>
        </w:tc>
        <w:tc>
          <w:tcPr>
            <w:tcW w:type="dxa" w:w="1176"/>
            <w:vAlign w:val="center"/>
          </w:tcPr>
          <w:p>
            <w:r>
              <w:rPr>
                <w:sz w:val="17"/>
              </w:rPr>
              <w:t>$1,877,170</w:t>
            </w:r>
          </w:p>
        </w:tc>
        <w:tc>
          <w:tcPr>
            <w:tcW w:type="dxa" w:w="1176"/>
            <w:vAlign w:val="center"/>
          </w:tcPr>
          <w:p>
            <w:r>
              <w:rPr>
                <w:sz w:val="17"/>
              </w:rPr>
              <w:t>21.9%</w:t>
            </w:r>
          </w:p>
        </w:tc>
        <w:tc>
          <w:tcPr>
            <w:tcW w:type="dxa" w:w="1176"/>
            <w:vAlign w:val="center"/>
          </w:tcPr>
          <w:p>
            <w:r>
              <w:rPr>
                <w:sz w:val="17"/>
              </w:rPr>
              <w:t>LOSS</w:t>
            </w:r>
          </w:p>
        </w:tc>
      </w:tr>
      <w:tr>
        <w:tc>
          <w:tcPr>
            <w:tcW w:type="dxa" w:w="1176"/>
            <w:vAlign w:val="center"/>
          </w:tcPr>
          <w:p>
            <w:r>
              <w:rPr>
                <w:sz w:val="17"/>
              </w:rPr>
              <w:t>BA</w:t>
            </w:r>
          </w:p>
        </w:tc>
        <w:tc>
          <w:tcPr>
            <w:tcW w:type="dxa" w:w="1176"/>
            <w:vAlign w:val="center"/>
          </w:tcPr>
          <w:p>
            <w:r>
              <w:rPr>
                <w:sz w:val="17"/>
              </w:rPr>
              <w:t>$1,051,188</w:t>
            </w:r>
          </w:p>
        </w:tc>
        <w:tc>
          <w:tcPr>
            <w:tcW w:type="dxa" w:w="1176"/>
            <w:vAlign w:val="center"/>
          </w:tcPr>
          <w:p>
            <w:r>
              <w:rPr>
                <w:sz w:val="17"/>
              </w:rPr>
              <w:t>48.7%</w:t>
            </w:r>
          </w:p>
        </w:tc>
        <w:tc>
          <w:tcPr>
            <w:tcW w:type="dxa" w:w="1176"/>
            <w:vAlign w:val="center"/>
          </w:tcPr>
          <w:p>
            <w:r>
              <w:rPr>
                <w:sz w:val="17"/>
              </w:rPr>
              <w:t>$1,058,089</w:t>
            </w:r>
          </w:p>
        </w:tc>
        <w:tc>
          <w:tcPr>
            <w:tcW w:type="dxa" w:w="1176"/>
            <w:vAlign w:val="center"/>
          </w:tcPr>
          <w:p>
            <w:r>
              <w:rPr>
                <w:sz w:val="17"/>
              </w:rPr>
              <w:t>31.9%</w:t>
            </w:r>
          </w:p>
        </w:tc>
        <w:tc>
          <w:tcPr>
            <w:tcW w:type="dxa" w:w="1176"/>
            <w:vAlign w:val="center"/>
          </w:tcPr>
          <w:p>
            <w:r>
              <w:rPr>
                <w:sz w:val="17"/>
              </w:rPr>
              <w:t>$1,008,417</w:t>
            </w:r>
          </w:p>
        </w:tc>
        <w:tc>
          <w:tcPr>
            <w:tcW w:type="dxa" w:w="1176"/>
            <w:vAlign w:val="center"/>
          </w:tcPr>
          <w:p>
            <w:r>
              <w:rPr>
                <w:sz w:val="17"/>
              </w:rPr>
              <w:t>4.6%</w:t>
            </w:r>
          </w:p>
        </w:tc>
        <w:tc>
          <w:tcPr>
            <w:tcW w:type="dxa" w:w="1176"/>
            <w:vAlign w:val="center"/>
          </w:tcPr>
          <w:p>
            <w:r>
              <w:rPr>
                <w:sz w:val="17"/>
              </w:rPr>
              <w:t>LOSS</w:t>
            </w:r>
          </w:p>
        </w:tc>
      </w:tr>
      <w:tr>
        <w:tc>
          <w:tcPr>
            <w:tcW w:type="dxa" w:w="1176"/>
            <w:vAlign w:val="center"/>
          </w:tcPr>
          <w:p>
            <w:r>
              <w:rPr>
                <w:sz w:val="17"/>
              </w:rPr>
              <w:t>BLK</w:t>
            </w:r>
          </w:p>
        </w:tc>
        <w:tc>
          <w:tcPr>
            <w:tcW w:type="dxa" w:w="1176"/>
            <w:vAlign w:val="center"/>
          </w:tcPr>
          <w:p>
            <w:r>
              <w:rPr>
                <w:sz w:val="17"/>
              </w:rPr>
              <w:t>$1,313,679</w:t>
            </w:r>
          </w:p>
        </w:tc>
        <w:tc>
          <w:tcPr>
            <w:tcW w:type="dxa" w:w="1176"/>
            <w:vAlign w:val="center"/>
          </w:tcPr>
          <w:p>
            <w:r>
              <w:rPr>
                <w:sz w:val="17"/>
              </w:rPr>
              <w:t>40.9%</w:t>
            </w:r>
          </w:p>
        </w:tc>
        <w:tc>
          <w:tcPr>
            <w:tcW w:type="dxa" w:w="1176"/>
            <w:vAlign w:val="center"/>
          </w:tcPr>
          <w:p>
            <w:r>
              <w:rPr>
                <w:sz w:val="17"/>
              </w:rPr>
              <w:t>$1,006,183</w:t>
            </w:r>
          </w:p>
        </w:tc>
        <w:tc>
          <w:tcPr>
            <w:tcW w:type="dxa" w:w="1176"/>
            <w:vAlign w:val="center"/>
          </w:tcPr>
          <w:p>
            <w:r>
              <w:rPr>
                <w:sz w:val="17"/>
              </w:rPr>
              <w:t>33.1%</w:t>
            </w:r>
          </w:p>
        </w:tc>
        <w:tc>
          <w:tcPr>
            <w:tcW w:type="dxa" w:w="1176"/>
            <w:vAlign w:val="center"/>
          </w:tcPr>
          <w:p>
            <w:r>
              <w:rPr>
                <w:sz w:val="17"/>
              </w:rPr>
              <w:t>$1,149,824</w:t>
            </w:r>
          </w:p>
        </w:tc>
        <w:tc>
          <w:tcPr>
            <w:tcW w:type="dxa" w:w="1176"/>
            <w:vAlign w:val="center"/>
          </w:tcPr>
          <w:p>
            <w:r>
              <w:rPr>
                <w:sz w:val="17"/>
              </w:rPr>
              <w:t>15.0%</w:t>
            </w:r>
          </w:p>
        </w:tc>
        <w:tc>
          <w:tcPr>
            <w:tcW w:type="dxa" w:w="1176"/>
            <w:vAlign w:val="center"/>
          </w:tcPr>
          <w:p>
            <w:r>
              <w:rPr>
                <w:sz w:val="17"/>
              </w:rPr>
              <w:t>LOSS</w:t>
            </w:r>
          </w:p>
        </w:tc>
      </w:tr>
      <w:tr>
        <w:tc>
          <w:tcPr>
            <w:tcW w:type="dxa" w:w="1176"/>
            <w:vAlign w:val="center"/>
          </w:tcPr>
          <w:p>
            <w:r>
              <w:rPr>
                <w:sz w:val="17"/>
              </w:rPr>
              <w:t>BRK-B</w:t>
            </w:r>
          </w:p>
        </w:tc>
        <w:tc>
          <w:tcPr>
            <w:tcW w:type="dxa" w:w="1176"/>
            <w:vAlign w:val="center"/>
          </w:tcPr>
          <w:p>
            <w:r>
              <w:rPr>
                <w:sz w:val="17"/>
              </w:rPr>
              <w:t>$1,674,624</w:t>
            </w:r>
          </w:p>
        </w:tc>
        <w:tc>
          <w:tcPr>
            <w:tcW w:type="dxa" w:w="1176"/>
            <w:vAlign w:val="center"/>
          </w:tcPr>
          <w:p>
            <w:r>
              <w:rPr>
                <w:sz w:val="17"/>
              </w:rPr>
              <w:t>26.6%</w:t>
            </w:r>
          </w:p>
        </w:tc>
        <w:tc>
          <w:tcPr>
            <w:tcW w:type="dxa" w:w="1176"/>
            <w:vAlign w:val="center"/>
          </w:tcPr>
          <w:p>
            <w:r>
              <w:rPr>
                <w:sz w:val="17"/>
              </w:rPr>
              <w:t>$1,169,102</w:t>
            </w:r>
          </w:p>
        </w:tc>
        <w:tc>
          <w:tcPr>
            <w:tcW w:type="dxa" w:w="1176"/>
            <w:vAlign w:val="center"/>
          </w:tcPr>
          <w:p>
            <w:r>
              <w:rPr>
                <w:sz w:val="17"/>
              </w:rPr>
              <w:t>25.9%</w:t>
            </w:r>
          </w:p>
        </w:tc>
        <w:tc>
          <w:tcPr>
            <w:tcW w:type="dxa" w:w="1176"/>
            <w:vAlign w:val="center"/>
          </w:tcPr>
          <w:p>
            <w:r>
              <w:rPr>
                <w:sz w:val="17"/>
              </w:rPr>
              <w:t>$1,549,727</w:t>
            </w:r>
          </w:p>
        </w:tc>
        <w:tc>
          <w:tcPr>
            <w:tcW w:type="dxa" w:w="1176"/>
            <w:vAlign w:val="center"/>
          </w:tcPr>
          <w:p>
            <w:r>
              <w:rPr>
                <w:sz w:val="17"/>
              </w:rPr>
              <w:t>21.3%</w:t>
            </w:r>
          </w:p>
        </w:tc>
        <w:tc>
          <w:tcPr>
            <w:tcW w:type="dxa" w:w="1176"/>
            <w:vAlign w:val="center"/>
          </w:tcPr>
          <w:p>
            <w:r>
              <w:rPr>
                <w:sz w:val="17"/>
              </w:rPr>
              <w:t>LOSS</w:t>
            </w:r>
          </w:p>
        </w:tc>
      </w:tr>
      <w:tr>
        <w:tc>
          <w:tcPr>
            <w:tcW w:type="dxa" w:w="1176"/>
            <w:vAlign w:val="center"/>
          </w:tcPr>
          <w:p>
            <w:r>
              <w:rPr>
                <w:sz w:val="17"/>
              </w:rPr>
              <w:t>C</w:t>
            </w:r>
          </w:p>
        </w:tc>
        <w:tc>
          <w:tcPr>
            <w:tcW w:type="dxa" w:w="1176"/>
            <w:vAlign w:val="center"/>
          </w:tcPr>
          <w:p>
            <w:r>
              <w:rPr>
                <w:sz w:val="17"/>
              </w:rPr>
              <w:t>$2,154,872</w:t>
            </w:r>
          </w:p>
        </w:tc>
        <w:tc>
          <w:tcPr>
            <w:tcW w:type="dxa" w:w="1176"/>
            <w:vAlign w:val="center"/>
          </w:tcPr>
          <w:p>
            <w:r>
              <w:rPr>
                <w:sz w:val="17"/>
              </w:rPr>
              <w:t>39.9%</w:t>
            </w:r>
          </w:p>
        </w:tc>
        <w:tc>
          <w:tcPr>
            <w:tcW w:type="dxa" w:w="1176"/>
            <w:vAlign w:val="center"/>
          </w:tcPr>
          <w:p>
            <w:r>
              <w:rPr>
                <w:sz w:val="17"/>
              </w:rPr>
              <w:t>$1,486,040</w:t>
            </w:r>
          </w:p>
        </w:tc>
        <w:tc>
          <w:tcPr>
            <w:tcW w:type="dxa" w:w="1176"/>
            <w:vAlign w:val="center"/>
          </w:tcPr>
          <w:p>
            <w:r>
              <w:rPr>
                <w:sz w:val="17"/>
              </w:rPr>
              <w:t>36.8%</w:t>
            </w:r>
          </w:p>
        </w:tc>
        <w:tc>
          <w:tcPr>
            <w:tcW w:type="dxa" w:w="1176"/>
            <w:vAlign w:val="center"/>
          </w:tcPr>
          <w:p>
            <w:r>
              <w:rPr>
                <w:sz w:val="17"/>
              </w:rPr>
              <w:t>$1,949,415</w:t>
            </w:r>
          </w:p>
        </w:tc>
        <w:tc>
          <w:tcPr>
            <w:tcW w:type="dxa" w:w="1176"/>
            <w:vAlign w:val="center"/>
          </w:tcPr>
          <w:p>
            <w:r>
              <w:rPr>
                <w:sz w:val="17"/>
              </w:rPr>
              <w:t>28.5%</w:t>
            </w:r>
          </w:p>
        </w:tc>
        <w:tc>
          <w:tcPr>
            <w:tcW w:type="dxa" w:w="1176"/>
            <w:vAlign w:val="center"/>
          </w:tcPr>
          <w:p>
            <w:r>
              <w:rPr>
                <w:sz w:val="17"/>
              </w:rPr>
              <w:t>LOSS</w:t>
            </w:r>
          </w:p>
        </w:tc>
      </w:tr>
      <w:tr>
        <w:tc>
          <w:tcPr>
            <w:tcW w:type="dxa" w:w="1176"/>
            <w:vAlign w:val="center"/>
          </w:tcPr>
          <w:p>
            <w:r>
              <w:rPr>
                <w:sz w:val="17"/>
              </w:rPr>
              <w:t>CAT</w:t>
            </w:r>
          </w:p>
        </w:tc>
        <w:tc>
          <w:tcPr>
            <w:tcW w:type="dxa" w:w="1176"/>
            <w:vAlign w:val="center"/>
          </w:tcPr>
          <w:p>
            <w:r>
              <w:rPr>
                <w:sz w:val="17"/>
              </w:rPr>
              <w:t>$3,004,762</w:t>
            </w:r>
          </w:p>
        </w:tc>
        <w:tc>
          <w:tcPr>
            <w:tcW w:type="dxa" w:w="1176"/>
            <w:vAlign w:val="center"/>
          </w:tcPr>
          <w:p>
            <w:r>
              <w:rPr>
                <w:sz w:val="17"/>
              </w:rPr>
              <w:t>34.0%</w:t>
            </w:r>
          </w:p>
        </w:tc>
        <w:tc>
          <w:tcPr>
            <w:tcW w:type="dxa" w:w="1176"/>
            <w:vAlign w:val="center"/>
          </w:tcPr>
          <w:p>
            <w:r>
              <w:rPr>
                <w:sz w:val="17"/>
              </w:rPr>
              <w:t>$2,123,111</w:t>
            </w:r>
          </w:p>
        </w:tc>
        <w:tc>
          <w:tcPr>
            <w:tcW w:type="dxa" w:w="1176"/>
            <w:vAlign w:val="center"/>
          </w:tcPr>
          <w:p>
            <w:r>
              <w:rPr>
                <w:sz w:val="17"/>
              </w:rPr>
              <w:t>23.5%</w:t>
            </w:r>
          </w:p>
        </w:tc>
        <w:tc>
          <w:tcPr>
            <w:tcW w:type="dxa" w:w="1176"/>
            <w:vAlign w:val="center"/>
          </w:tcPr>
          <w:p>
            <w:r>
              <w:rPr>
                <w:sz w:val="17"/>
              </w:rPr>
              <w:t>$2,842,214</w:t>
            </w:r>
          </w:p>
        </w:tc>
        <w:tc>
          <w:tcPr>
            <w:tcW w:type="dxa" w:w="1176"/>
            <w:vAlign w:val="center"/>
          </w:tcPr>
          <w:p>
            <w:r>
              <w:rPr>
                <w:sz w:val="17"/>
              </w:rPr>
              <w:t>34.0%</w:t>
            </w:r>
          </w:p>
        </w:tc>
        <w:tc>
          <w:tcPr>
            <w:tcW w:type="dxa" w:w="1176"/>
            <w:vAlign w:val="center"/>
          </w:tcPr>
          <w:p>
            <w:r>
              <w:rPr>
                <w:sz w:val="17"/>
              </w:rPr>
              <w:t>LOSS</w:t>
            </w:r>
          </w:p>
        </w:tc>
      </w:tr>
      <w:tr>
        <w:tc>
          <w:tcPr>
            <w:tcW w:type="dxa" w:w="1176"/>
            <w:vAlign w:val="center"/>
          </w:tcPr>
          <w:p>
            <w:r>
              <w:rPr>
                <w:sz w:val="17"/>
              </w:rPr>
              <w:t>COPX</w:t>
            </w:r>
          </w:p>
        </w:tc>
        <w:tc>
          <w:tcPr>
            <w:tcW w:type="dxa" w:w="1176"/>
            <w:vAlign w:val="center"/>
          </w:tcPr>
          <w:p>
            <w:r>
              <w:rPr>
                <w:sz w:val="17"/>
              </w:rPr>
              <w:t>$2,185,010</w:t>
            </w:r>
          </w:p>
        </w:tc>
        <w:tc>
          <w:tcPr>
            <w:tcW w:type="dxa" w:w="1176"/>
            <w:vAlign w:val="center"/>
          </w:tcPr>
          <w:p>
            <w:r>
              <w:rPr>
                <w:sz w:val="17"/>
              </w:rPr>
              <w:t>42.1%</w:t>
            </w:r>
          </w:p>
        </w:tc>
        <w:tc>
          <w:tcPr>
            <w:tcW w:type="dxa" w:w="1176"/>
            <w:vAlign w:val="center"/>
          </w:tcPr>
          <w:p>
            <w:r>
              <w:rPr>
                <w:sz w:val="17"/>
              </w:rPr>
              <w:t>$1,752,896</w:t>
            </w:r>
          </w:p>
        </w:tc>
        <w:tc>
          <w:tcPr>
            <w:tcW w:type="dxa" w:w="1176"/>
            <w:vAlign w:val="center"/>
          </w:tcPr>
          <w:p>
            <w:r>
              <w:rPr>
                <w:sz w:val="17"/>
              </w:rPr>
              <w:t>37.3%</w:t>
            </w:r>
          </w:p>
        </w:tc>
        <w:tc>
          <w:tcPr>
            <w:tcW w:type="dxa" w:w="1176"/>
            <w:vAlign w:val="center"/>
          </w:tcPr>
          <w:p>
            <w:r>
              <w:rPr>
                <w:sz w:val="17"/>
              </w:rPr>
              <w:t>$1,532,509</w:t>
            </w:r>
          </w:p>
        </w:tc>
        <w:tc>
          <w:tcPr>
            <w:tcW w:type="dxa" w:w="1176"/>
            <w:vAlign w:val="center"/>
          </w:tcPr>
          <w:p>
            <w:r>
              <w:rPr>
                <w:sz w:val="17"/>
              </w:rPr>
              <w:t>27.0%</w:t>
            </w:r>
          </w:p>
        </w:tc>
        <w:tc>
          <w:tcPr>
            <w:tcW w:type="dxa" w:w="1176"/>
            <w:vAlign w:val="center"/>
          </w:tcPr>
          <w:p>
            <w:r>
              <w:rPr>
                <w:sz w:val="17"/>
              </w:rPr>
              <w:t>LOSS</w:t>
            </w:r>
          </w:p>
        </w:tc>
      </w:tr>
      <w:tr>
        <w:tc>
          <w:tcPr>
            <w:tcW w:type="dxa" w:w="1176"/>
            <w:vAlign w:val="center"/>
          </w:tcPr>
          <w:p>
            <w:r>
              <w:rPr>
                <w:sz w:val="17"/>
              </w:rPr>
              <w:t>COST</w:t>
            </w:r>
          </w:p>
        </w:tc>
        <w:tc>
          <w:tcPr>
            <w:tcW w:type="dxa" w:w="1176"/>
            <w:vAlign w:val="center"/>
          </w:tcPr>
          <w:p>
            <w:r>
              <w:rPr>
                <w:sz w:val="17"/>
              </w:rPr>
              <w:t>$1,602,170</w:t>
            </w:r>
          </w:p>
        </w:tc>
        <w:tc>
          <w:tcPr>
            <w:tcW w:type="dxa" w:w="1176"/>
            <w:vAlign w:val="center"/>
          </w:tcPr>
          <w:p>
            <w:r>
              <w:rPr>
                <w:sz w:val="17"/>
              </w:rPr>
              <w:t>31.4%</w:t>
            </w:r>
          </w:p>
        </w:tc>
        <w:tc>
          <w:tcPr>
            <w:tcW w:type="dxa" w:w="1176"/>
            <w:vAlign w:val="center"/>
          </w:tcPr>
          <w:p>
            <w:r>
              <w:rPr>
                <w:sz w:val="17"/>
              </w:rPr>
              <w:t>$1,067,199</w:t>
            </w:r>
          </w:p>
        </w:tc>
        <w:tc>
          <w:tcPr>
            <w:tcW w:type="dxa" w:w="1176"/>
            <w:vAlign w:val="center"/>
          </w:tcPr>
          <w:p>
            <w:r>
              <w:rPr>
                <w:sz w:val="17"/>
              </w:rPr>
              <w:t>38.7%</w:t>
            </w:r>
          </w:p>
        </w:tc>
        <w:tc>
          <w:tcPr>
            <w:tcW w:type="dxa" w:w="1176"/>
            <w:vAlign w:val="center"/>
          </w:tcPr>
          <w:p>
            <w:r>
              <w:rPr>
                <w:sz w:val="17"/>
              </w:rPr>
              <w:t>$1,532,634</w:t>
            </w:r>
          </w:p>
        </w:tc>
        <w:tc>
          <w:tcPr>
            <w:tcW w:type="dxa" w:w="1176"/>
            <w:vAlign w:val="center"/>
          </w:tcPr>
          <w:p>
            <w:r>
              <w:rPr>
                <w:sz w:val="17"/>
              </w:rPr>
              <w:t>21.4%</w:t>
            </w:r>
          </w:p>
        </w:tc>
        <w:tc>
          <w:tcPr>
            <w:tcW w:type="dxa" w:w="1176"/>
            <w:vAlign w:val="center"/>
          </w:tcPr>
          <w:p>
            <w:r>
              <w:rPr>
                <w:sz w:val="17"/>
              </w:rPr>
              <w:t>LOSS</w:t>
            </w:r>
          </w:p>
        </w:tc>
      </w:tr>
      <w:tr>
        <w:tc>
          <w:tcPr>
            <w:tcW w:type="dxa" w:w="1176"/>
            <w:vAlign w:val="center"/>
          </w:tcPr>
          <w:p>
            <w:r>
              <w:rPr>
                <w:sz w:val="17"/>
              </w:rPr>
              <w:t>CRM</w:t>
            </w:r>
          </w:p>
        </w:tc>
        <w:tc>
          <w:tcPr>
            <w:tcW w:type="dxa" w:w="1176"/>
            <w:vAlign w:val="center"/>
          </w:tcPr>
          <w:p>
            <w:r>
              <w:rPr>
                <w:sz w:val="17"/>
              </w:rPr>
              <w:t>$1,053,594</w:t>
            </w:r>
          </w:p>
        </w:tc>
        <w:tc>
          <w:tcPr>
            <w:tcW w:type="dxa" w:w="1176"/>
            <w:vAlign w:val="center"/>
          </w:tcPr>
          <w:p>
            <w:r>
              <w:rPr>
                <w:sz w:val="17"/>
              </w:rPr>
              <w:t>49.8%</w:t>
            </w:r>
          </w:p>
        </w:tc>
        <w:tc>
          <w:tcPr>
            <w:tcW w:type="dxa" w:w="1176"/>
            <w:vAlign w:val="center"/>
          </w:tcPr>
          <w:p>
            <w:r>
              <w:rPr>
                <w:sz w:val="17"/>
              </w:rPr>
              <w:t>$1,222,788</w:t>
            </w:r>
          </w:p>
        </w:tc>
        <w:tc>
          <w:tcPr>
            <w:tcW w:type="dxa" w:w="1176"/>
            <w:vAlign w:val="center"/>
          </w:tcPr>
          <w:p>
            <w:r>
              <w:rPr>
                <w:sz w:val="17"/>
              </w:rPr>
              <w:t>34.3%</w:t>
            </w:r>
          </w:p>
        </w:tc>
        <w:tc>
          <w:tcPr>
            <w:tcW w:type="dxa" w:w="1176"/>
            <w:vAlign w:val="center"/>
          </w:tcPr>
          <w:p>
            <w:r>
              <w:rPr>
                <w:sz w:val="17"/>
              </w:rPr>
              <w:t>$1,069,271</w:t>
            </w:r>
          </w:p>
        </w:tc>
        <w:tc>
          <w:tcPr>
            <w:tcW w:type="dxa" w:w="1176"/>
            <w:vAlign w:val="center"/>
          </w:tcPr>
          <w:p>
            <w:r>
              <w:rPr>
                <w:sz w:val="17"/>
              </w:rPr>
              <w:t>17.6%</w:t>
            </w:r>
          </w:p>
        </w:tc>
        <w:tc>
          <w:tcPr>
            <w:tcW w:type="dxa" w:w="1176"/>
            <w:vAlign w:val="center"/>
          </w:tcPr>
          <w:p>
            <w:r>
              <w:rPr>
                <w:sz w:val="17"/>
              </w:rPr>
              <w:t>WIN</w:t>
            </w:r>
          </w:p>
        </w:tc>
      </w:tr>
      <w:tr>
        <w:tc>
          <w:tcPr>
            <w:tcW w:type="dxa" w:w="1176"/>
            <w:vAlign w:val="center"/>
          </w:tcPr>
          <w:p>
            <w:r>
              <w:rPr>
                <w:sz w:val="17"/>
              </w:rPr>
              <w:t>DIA</w:t>
            </w:r>
          </w:p>
        </w:tc>
        <w:tc>
          <w:tcPr>
            <w:tcW w:type="dxa" w:w="1176"/>
            <w:vAlign w:val="center"/>
          </w:tcPr>
          <w:p>
            <w:r>
              <w:rPr>
                <w:sz w:val="17"/>
              </w:rPr>
              <w:t>$1,420,598</w:t>
            </w:r>
          </w:p>
        </w:tc>
        <w:tc>
          <w:tcPr>
            <w:tcW w:type="dxa" w:w="1176"/>
            <w:vAlign w:val="center"/>
          </w:tcPr>
          <w:p>
            <w:r>
              <w:rPr>
                <w:sz w:val="17"/>
              </w:rPr>
              <w:t>20.8%</w:t>
            </w:r>
          </w:p>
        </w:tc>
        <w:tc>
          <w:tcPr>
            <w:tcW w:type="dxa" w:w="1176"/>
            <w:vAlign w:val="center"/>
          </w:tcPr>
          <w:p>
            <w:r>
              <w:rPr>
                <w:sz w:val="17"/>
              </w:rPr>
              <w:t>$1,078,488</w:t>
            </w:r>
          </w:p>
        </w:tc>
        <w:tc>
          <w:tcPr>
            <w:tcW w:type="dxa" w:w="1176"/>
            <w:vAlign w:val="center"/>
          </w:tcPr>
          <w:p>
            <w:r>
              <w:rPr>
                <w:sz w:val="17"/>
              </w:rPr>
              <w:t>19.7%</w:t>
            </w:r>
          </w:p>
        </w:tc>
        <w:tc>
          <w:tcPr>
            <w:tcW w:type="dxa" w:w="1176"/>
            <w:vAlign w:val="center"/>
          </w:tcPr>
          <w:p>
            <w:r>
              <w:rPr>
                <w:sz w:val="17"/>
              </w:rPr>
              <w:t>$1,192,230</w:t>
            </w:r>
          </w:p>
        </w:tc>
        <w:tc>
          <w:tcPr>
            <w:tcW w:type="dxa" w:w="1176"/>
            <w:vAlign w:val="center"/>
          </w:tcPr>
          <w:p>
            <w:r>
              <w:rPr>
                <w:sz w:val="17"/>
              </w:rPr>
              <w:t>8.8%</w:t>
            </w:r>
          </w:p>
        </w:tc>
        <w:tc>
          <w:tcPr>
            <w:tcW w:type="dxa" w:w="1176"/>
            <w:vAlign w:val="center"/>
          </w:tcPr>
          <w:p>
            <w:r>
              <w:rPr>
                <w:sz w:val="17"/>
              </w:rPr>
              <w:t>LOSS</w:t>
            </w:r>
          </w:p>
        </w:tc>
      </w:tr>
      <w:tr>
        <w:tc>
          <w:tcPr>
            <w:tcW w:type="dxa" w:w="1176"/>
            <w:vAlign w:val="center"/>
          </w:tcPr>
          <w:p>
            <w:r>
              <w:rPr>
                <w:sz w:val="17"/>
              </w:rPr>
              <w:t>EEMX</w:t>
            </w:r>
          </w:p>
        </w:tc>
        <w:tc>
          <w:tcPr>
            <w:tcW w:type="dxa" w:w="1176"/>
            <w:vAlign w:val="center"/>
          </w:tcPr>
          <w:p>
            <w:r>
              <w:rPr>
                <w:sz w:val="17"/>
              </w:rPr>
              <w:t>$1,278,439</w:t>
            </w:r>
          </w:p>
        </w:tc>
        <w:tc>
          <w:tcPr>
            <w:tcW w:type="dxa" w:w="1176"/>
            <w:vAlign w:val="center"/>
          </w:tcPr>
          <w:p>
            <w:r>
              <w:rPr>
                <w:sz w:val="17"/>
              </w:rPr>
              <w:t>32.3%</w:t>
            </w:r>
          </w:p>
        </w:tc>
        <w:tc>
          <w:tcPr>
            <w:tcW w:type="dxa" w:w="1176"/>
            <w:vAlign w:val="center"/>
          </w:tcPr>
          <w:p>
            <w:r>
              <w:rPr>
                <w:sz w:val="17"/>
              </w:rPr>
              <w:t>$1,028,536</w:t>
            </w:r>
          </w:p>
        </w:tc>
        <w:tc>
          <w:tcPr>
            <w:tcW w:type="dxa" w:w="1176"/>
            <w:vAlign w:val="center"/>
          </w:tcPr>
          <w:p>
            <w:r>
              <w:rPr>
                <w:sz w:val="17"/>
              </w:rPr>
              <w:t>21.4%</w:t>
            </w:r>
          </w:p>
        </w:tc>
        <w:tc>
          <w:tcPr>
            <w:tcW w:type="dxa" w:w="1176"/>
            <w:vAlign w:val="center"/>
          </w:tcPr>
          <w:p>
            <w:r>
              <w:rPr>
                <w:sz w:val="17"/>
              </w:rPr>
              <w:t>$1,124,988</w:t>
            </w:r>
          </w:p>
        </w:tc>
        <w:tc>
          <w:tcPr>
            <w:tcW w:type="dxa" w:w="1176"/>
            <w:vAlign w:val="center"/>
          </w:tcPr>
          <w:p>
            <w:r>
              <w:rPr>
                <w:sz w:val="17"/>
              </w:rPr>
              <w:t>11.2%</w:t>
            </w:r>
          </w:p>
        </w:tc>
        <w:tc>
          <w:tcPr>
            <w:tcW w:type="dxa" w:w="1176"/>
            <w:vAlign w:val="center"/>
          </w:tcPr>
          <w:p>
            <w:r>
              <w:rPr>
                <w:sz w:val="17"/>
              </w:rPr>
              <w:t>LOSS</w:t>
            </w:r>
          </w:p>
        </w:tc>
      </w:tr>
      <w:tr>
        <w:tc>
          <w:tcPr>
            <w:tcW w:type="dxa" w:w="1176"/>
            <w:vAlign w:val="center"/>
          </w:tcPr>
          <w:p>
            <w:r>
              <w:rPr>
                <w:sz w:val="17"/>
              </w:rPr>
              <w:t>GLD</w:t>
            </w:r>
          </w:p>
        </w:tc>
        <w:tc>
          <w:tcPr>
            <w:tcW w:type="dxa" w:w="1176"/>
            <w:vAlign w:val="center"/>
          </w:tcPr>
          <w:p>
            <w:r>
              <w:rPr>
                <w:sz w:val="17"/>
              </w:rPr>
              <w:t>$2,369,690</w:t>
            </w:r>
          </w:p>
        </w:tc>
        <w:tc>
          <w:tcPr>
            <w:tcW w:type="dxa" w:w="1176"/>
            <w:vAlign w:val="center"/>
          </w:tcPr>
          <w:p>
            <w:r>
              <w:rPr>
                <w:sz w:val="17"/>
              </w:rPr>
              <w:t>21.0%</w:t>
            </w:r>
          </w:p>
        </w:tc>
        <w:tc>
          <w:tcPr>
            <w:tcW w:type="dxa" w:w="1176"/>
            <w:vAlign w:val="center"/>
          </w:tcPr>
          <w:p>
            <w:r>
              <w:rPr>
                <w:sz w:val="17"/>
              </w:rPr>
              <w:t>$2,118,012</w:t>
            </w:r>
          </w:p>
        </w:tc>
        <w:tc>
          <w:tcPr>
            <w:tcW w:type="dxa" w:w="1176"/>
            <w:vAlign w:val="center"/>
          </w:tcPr>
          <w:p>
            <w:r>
              <w:rPr>
                <w:sz w:val="17"/>
              </w:rPr>
              <w:t>16.8%</w:t>
            </w:r>
          </w:p>
        </w:tc>
        <w:tc>
          <w:tcPr>
            <w:tcW w:type="dxa" w:w="1176"/>
            <w:vAlign w:val="center"/>
          </w:tcPr>
          <w:p>
            <w:r>
              <w:rPr>
                <w:sz w:val="17"/>
              </w:rPr>
              <w:t>$2,310,967</w:t>
            </w:r>
          </w:p>
        </w:tc>
        <w:tc>
          <w:tcPr>
            <w:tcW w:type="dxa" w:w="1176"/>
            <w:vAlign w:val="center"/>
          </w:tcPr>
          <w:p>
            <w:r>
              <w:rPr>
                <w:sz w:val="17"/>
              </w:rPr>
              <w:t>17.1%</w:t>
            </w:r>
          </w:p>
        </w:tc>
        <w:tc>
          <w:tcPr>
            <w:tcW w:type="dxa" w:w="1176"/>
            <w:vAlign w:val="center"/>
          </w:tcPr>
          <w:p>
            <w:r>
              <w:rPr>
                <w:sz w:val="17"/>
              </w:rPr>
              <w:t>LOSS</w:t>
            </w:r>
          </w:p>
        </w:tc>
      </w:tr>
      <w:tr>
        <w:tc>
          <w:tcPr>
            <w:tcW w:type="dxa" w:w="1176"/>
            <w:vAlign w:val="center"/>
          </w:tcPr>
          <w:p>
            <w:r>
              <w:rPr>
                <w:sz w:val="17"/>
              </w:rPr>
              <w:t>GOOGL</w:t>
            </w:r>
          </w:p>
        </w:tc>
        <w:tc>
          <w:tcPr>
            <w:tcW w:type="dxa" w:w="1176"/>
            <w:vAlign w:val="center"/>
          </w:tcPr>
          <w:p>
            <w:r>
              <w:rPr>
                <w:sz w:val="17"/>
              </w:rPr>
              <w:t>$2,180,965</w:t>
            </w:r>
          </w:p>
        </w:tc>
        <w:tc>
          <w:tcPr>
            <w:tcW w:type="dxa" w:w="1176"/>
            <w:vAlign w:val="center"/>
          </w:tcPr>
          <w:p>
            <w:r>
              <w:rPr>
                <w:sz w:val="17"/>
              </w:rPr>
              <w:t>43.6%</w:t>
            </w:r>
          </w:p>
        </w:tc>
        <w:tc>
          <w:tcPr>
            <w:tcW w:type="dxa" w:w="1176"/>
            <w:vAlign w:val="center"/>
          </w:tcPr>
          <w:p>
            <w:r>
              <w:rPr>
                <w:sz w:val="17"/>
              </w:rPr>
              <w:t>$2,511,623</w:t>
            </w:r>
          </w:p>
        </w:tc>
        <w:tc>
          <w:tcPr>
            <w:tcW w:type="dxa" w:w="1176"/>
            <w:vAlign w:val="center"/>
          </w:tcPr>
          <w:p>
            <w:r>
              <w:rPr>
                <w:sz w:val="17"/>
              </w:rPr>
              <w:t>25.6%</w:t>
            </w:r>
          </w:p>
        </w:tc>
        <w:tc>
          <w:tcPr>
            <w:tcW w:type="dxa" w:w="1176"/>
            <w:vAlign w:val="center"/>
          </w:tcPr>
          <w:p>
            <w:r>
              <w:rPr>
                <w:sz w:val="17"/>
              </w:rPr>
              <w:t>$1,729,653</w:t>
            </w:r>
          </w:p>
        </w:tc>
        <w:tc>
          <w:tcPr>
            <w:tcW w:type="dxa" w:w="1176"/>
            <w:vAlign w:val="center"/>
          </w:tcPr>
          <w:p>
            <w:r>
              <w:rPr>
                <w:sz w:val="17"/>
              </w:rPr>
              <w:t>20.3%</w:t>
            </w:r>
          </w:p>
        </w:tc>
        <w:tc>
          <w:tcPr>
            <w:tcW w:type="dxa" w:w="1176"/>
            <w:vAlign w:val="center"/>
          </w:tcPr>
          <w:p>
            <w:r>
              <w:rPr>
                <w:sz w:val="17"/>
              </w:rPr>
              <w:t>LOSS</w:t>
            </w:r>
          </w:p>
        </w:tc>
      </w:tr>
      <w:tr>
        <w:tc>
          <w:tcPr>
            <w:tcW w:type="dxa" w:w="1176"/>
            <w:vAlign w:val="center"/>
          </w:tcPr>
          <w:p>
            <w:r>
              <w:rPr>
                <w:sz w:val="17"/>
              </w:rPr>
              <w:t>GS</w:t>
            </w:r>
          </w:p>
        </w:tc>
        <w:tc>
          <w:tcPr>
            <w:tcW w:type="dxa" w:w="1176"/>
            <w:vAlign w:val="center"/>
          </w:tcPr>
          <w:p>
            <w:r>
              <w:rPr>
                <w:sz w:val="17"/>
              </w:rPr>
              <w:t>$2,475,870</w:t>
            </w:r>
          </w:p>
        </w:tc>
        <w:tc>
          <w:tcPr>
            <w:tcW w:type="dxa" w:w="1176"/>
            <w:vAlign w:val="center"/>
          </w:tcPr>
          <w:p>
            <w:r>
              <w:rPr>
                <w:sz w:val="17"/>
              </w:rPr>
              <w:t>30.9%</w:t>
            </w:r>
          </w:p>
        </w:tc>
        <w:tc>
          <w:tcPr>
            <w:tcW w:type="dxa" w:w="1176"/>
            <w:vAlign w:val="center"/>
          </w:tcPr>
          <w:p>
            <w:r>
              <w:rPr>
                <w:sz w:val="17"/>
              </w:rPr>
              <w:t>$2,095,400</w:t>
            </w:r>
          </w:p>
        </w:tc>
        <w:tc>
          <w:tcPr>
            <w:tcW w:type="dxa" w:w="1176"/>
            <w:vAlign w:val="center"/>
          </w:tcPr>
          <w:p>
            <w:r>
              <w:rPr>
                <w:sz w:val="17"/>
              </w:rPr>
              <w:t>25.3%</w:t>
            </w:r>
          </w:p>
        </w:tc>
        <w:tc>
          <w:tcPr>
            <w:tcW w:type="dxa" w:w="1176"/>
            <w:vAlign w:val="center"/>
          </w:tcPr>
          <w:p>
            <w:r>
              <w:rPr>
                <w:sz w:val="17"/>
              </w:rPr>
              <w:t>$2,770,512</w:t>
            </w:r>
          </w:p>
        </w:tc>
        <w:tc>
          <w:tcPr>
            <w:tcW w:type="dxa" w:w="1176"/>
            <w:vAlign w:val="center"/>
          </w:tcPr>
          <w:p>
            <w:r>
              <w:rPr>
                <w:sz w:val="17"/>
              </w:rPr>
              <w:t>30.9%</w:t>
            </w:r>
          </w:p>
        </w:tc>
        <w:tc>
          <w:tcPr>
            <w:tcW w:type="dxa" w:w="1176"/>
            <w:vAlign w:val="center"/>
          </w:tcPr>
          <w:p>
            <w:r>
              <w:rPr>
                <w:sz w:val="17"/>
              </w:rPr>
              <w:t>WIN</w:t>
            </w:r>
          </w:p>
        </w:tc>
      </w:tr>
      <w:tr>
        <w:tc>
          <w:tcPr>
            <w:tcW w:type="dxa" w:w="1176"/>
            <w:vAlign w:val="center"/>
          </w:tcPr>
          <w:p>
            <w:r>
              <w:rPr>
                <w:sz w:val="17"/>
              </w:rPr>
              <w:t>HSBC</w:t>
            </w:r>
          </w:p>
        </w:tc>
        <w:tc>
          <w:tcPr>
            <w:tcW w:type="dxa" w:w="1176"/>
            <w:vAlign w:val="center"/>
          </w:tcPr>
          <w:p>
            <w:r>
              <w:rPr>
                <w:sz w:val="17"/>
              </w:rPr>
              <w:t>$3,386,895</w:t>
            </w:r>
          </w:p>
        </w:tc>
        <w:tc>
          <w:tcPr>
            <w:tcW w:type="dxa" w:w="1176"/>
            <w:vAlign w:val="center"/>
          </w:tcPr>
          <w:p>
            <w:r>
              <w:rPr>
                <w:sz w:val="17"/>
              </w:rPr>
              <w:t>31.8%</w:t>
            </w:r>
          </w:p>
        </w:tc>
        <w:tc>
          <w:tcPr>
            <w:tcW w:type="dxa" w:w="1176"/>
            <w:vAlign w:val="center"/>
          </w:tcPr>
          <w:p>
            <w:r>
              <w:rPr>
                <w:sz w:val="17"/>
              </w:rPr>
              <w:t>$3,369,863</w:t>
            </w:r>
          </w:p>
        </w:tc>
        <w:tc>
          <w:tcPr>
            <w:tcW w:type="dxa" w:w="1176"/>
            <w:vAlign w:val="center"/>
          </w:tcPr>
          <w:p>
            <w:r>
              <w:rPr>
                <w:sz w:val="17"/>
              </w:rPr>
              <w:t>18.2%</w:t>
            </w:r>
          </w:p>
        </w:tc>
        <w:tc>
          <w:tcPr>
            <w:tcW w:type="dxa" w:w="1176"/>
            <w:vAlign w:val="center"/>
          </w:tcPr>
          <w:p>
            <w:r>
              <w:rPr>
                <w:sz w:val="17"/>
              </w:rPr>
              <w:t>$2,796,843</w:t>
            </w:r>
          </w:p>
        </w:tc>
        <w:tc>
          <w:tcPr>
            <w:tcW w:type="dxa" w:w="1176"/>
            <w:vAlign w:val="center"/>
          </w:tcPr>
          <w:p>
            <w:r>
              <w:rPr>
                <w:sz w:val="17"/>
              </w:rPr>
              <w:t>25.3%</w:t>
            </w:r>
          </w:p>
        </w:tc>
        <w:tc>
          <w:tcPr>
            <w:tcW w:type="dxa" w:w="1176"/>
            <w:vAlign w:val="center"/>
          </w:tcPr>
          <w:p>
            <w:r>
              <w:rPr>
                <w:sz w:val="17"/>
              </w:rPr>
              <w:t>LOSS</w:t>
            </w:r>
          </w:p>
        </w:tc>
      </w:tr>
      <w:tr>
        <w:tc>
          <w:tcPr>
            <w:tcW w:type="dxa" w:w="1176"/>
            <w:vAlign w:val="center"/>
          </w:tcPr>
          <w:p>
            <w:r>
              <w:rPr>
                <w:sz w:val="17"/>
              </w:rPr>
              <w:t>IAU</w:t>
            </w:r>
          </w:p>
        </w:tc>
        <w:tc>
          <w:tcPr>
            <w:tcW w:type="dxa" w:w="1176"/>
            <w:vAlign w:val="center"/>
          </w:tcPr>
          <w:p>
            <w:r>
              <w:rPr>
                <w:sz w:val="17"/>
              </w:rPr>
              <w:t>$2,384,997</w:t>
            </w:r>
          </w:p>
        </w:tc>
        <w:tc>
          <w:tcPr>
            <w:tcW w:type="dxa" w:w="1176"/>
            <w:vAlign w:val="center"/>
          </w:tcPr>
          <w:p>
            <w:r>
              <w:rPr>
                <w:sz w:val="17"/>
              </w:rPr>
              <w:t>20.9%</w:t>
            </w:r>
          </w:p>
        </w:tc>
        <w:tc>
          <w:tcPr>
            <w:tcW w:type="dxa" w:w="1176"/>
            <w:vAlign w:val="center"/>
          </w:tcPr>
          <w:p>
            <w:r>
              <w:rPr>
                <w:sz w:val="17"/>
              </w:rPr>
              <w:t>$2,149,246</w:t>
            </w:r>
          </w:p>
        </w:tc>
        <w:tc>
          <w:tcPr>
            <w:tcW w:type="dxa" w:w="1176"/>
            <w:vAlign w:val="center"/>
          </w:tcPr>
          <w:p>
            <w:r>
              <w:rPr>
                <w:sz w:val="17"/>
              </w:rPr>
              <w:t>16.7%</w:t>
            </w:r>
          </w:p>
        </w:tc>
        <w:tc>
          <w:tcPr>
            <w:tcW w:type="dxa" w:w="1176"/>
            <w:vAlign w:val="center"/>
          </w:tcPr>
          <w:p>
            <w:r>
              <w:rPr>
                <w:sz w:val="17"/>
              </w:rPr>
              <w:t>$2,318,461</w:t>
            </w:r>
          </w:p>
        </w:tc>
        <w:tc>
          <w:tcPr>
            <w:tcW w:type="dxa" w:w="1176"/>
            <w:vAlign w:val="center"/>
          </w:tcPr>
          <w:p>
            <w:r>
              <w:rPr>
                <w:sz w:val="17"/>
              </w:rPr>
              <w:t>16.8%</w:t>
            </w:r>
          </w:p>
        </w:tc>
        <w:tc>
          <w:tcPr>
            <w:tcW w:type="dxa" w:w="1176"/>
            <w:vAlign w:val="center"/>
          </w:tcPr>
          <w:p>
            <w:r>
              <w:rPr>
                <w:sz w:val="17"/>
              </w:rPr>
              <w:t>LOSS</w:t>
            </w:r>
          </w:p>
        </w:tc>
      </w:tr>
      <w:tr>
        <w:tc>
          <w:tcPr>
            <w:tcW w:type="dxa" w:w="1176"/>
            <w:vAlign w:val="center"/>
          </w:tcPr>
          <w:p>
            <w:r>
              <w:rPr>
                <w:sz w:val="17"/>
              </w:rPr>
              <w:t>IBB</w:t>
            </w:r>
          </w:p>
        </w:tc>
        <w:tc>
          <w:tcPr>
            <w:tcW w:type="dxa" w:w="1176"/>
            <w:vAlign w:val="center"/>
          </w:tcPr>
          <w:p>
            <w:r>
              <w:rPr>
                <w:sz w:val="17"/>
              </w:rPr>
              <w:t>$1,121,118</w:t>
            </w:r>
          </w:p>
        </w:tc>
        <w:tc>
          <w:tcPr>
            <w:tcW w:type="dxa" w:w="1176"/>
            <w:vAlign w:val="center"/>
          </w:tcPr>
          <w:p>
            <w:r>
              <w:rPr>
                <w:sz w:val="17"/>
              </w:rPr>
              <w:t>30.5%</w:t>
            </w:r>
          </w:p>
        </w:tc>
        <w:tc>
          <w:tcPr>
            <w:tcW w:type="dxa" w:w="1176"/>
            <w:vAlign w:val="center"/>
          </w:tcPr>
          <w:p>
            <w:r>
              <w:rPr>
                <w:sz w:val="17"/>
              </w:rPr>
              <w:t>$851,114</w:t>
            </w:r>
          </w:p>
        </w:tc>
        <w:tc>
          <w:tcPr>
            <w:tcW w:type="dxa" w:w="1176"/>
            <w:vAlign w:val="center"/>
          </w:tcPr>
          <w:p>
            <w:r>
              <w:rPr>
                <w:sz w:val="17"/>
              </w:rPr>
              <w:t>37.4%</w:t>
            </w:r>
          </w:p>
        </w:tc>
        <w:tc>
          <w:tcPr>
            <w:tcW w:type="dxa" w:w="1176"/>
            <w:vAlign w:val="center"/>
          </w:tcPr>
          <w:p>
            <w:r>
              <w:rPr>
                <w:sz w:val="17"/>
              </w:rPr>
              <w:t>$1,140,970</w:t>
            </w:r>
          </w:p>
        </w:tc>
        <w:tc>
          <w:tcPr>
            <w:tcW w:type="dxa" w:w="1176"/>
            <w:vAlign w:val="center"/>
          </w:tcPr>
          <w:p>
            <w:r>
              <w:rPr>
                <w:sz w:val="17"/>
              </w:rPr>
              <w:t>14.5%</w:t>
            </w:r>
          </w:p>
        </w:tc>
        <w:tc>
          <w:tcPr>
            <w:tcW w:type="dxa" w:w="1176"/>
            <w:vAlign w:val="center"/>
          </w:tcPr>
          <w:p>
            <w:r>
              <w:rPr>
                <w:sz w:val="17"/>
              </w:rPr>
              <w:t>WIN</w:t>
            </w:r>
          </w:p>
        </w:tc>
      </w:tr>
      <w:tr>
        <w:tc>
          <w:tcPr>
            <w:tcW w:type="dxa" w:w="1176"/>
            <w:vAlign w:val="center"/>
          </w:tcPr>
          <w:p>
            <w:r>
              <w:rPr>
                <w:sz w:val="17"/>
              </w:rPr>
              <w:t>IBM</w:t>
            </w:r>
          </w:p>
        </w:tc>
        <w:tc>
          <w:tcPr>
            <w:tcW w:type="dxa" w:w="1176"/>
            <w:vAlign w:val="center"/>
          </w:tcPr>
          <w:p>
            <w:r>
              <w:rPr>
                <w:sz w:val="17"/>
              </w:rPr>
              <w:t>$2,600,075</w:t>
            </w:r>
          </w:p>
        </w:tc>
        <w:tc>
          <w:tcPr>
            <w:tcW w:type="dxa" w:w="1176"/>
            <w:vAlign w:val="center"/>
          </w:tcPr>
          <w:p>
            <w:r>
              <w:rPr>
                <w:sz w:val="17"/>
              </w:rPr>
              <w:t>19.8%</w:t>
            </w:r>
          </w:p>
        </w:tc>
        <w:tc>
          <w:tcPr>
            <w:tcW w:type="dxa" w:w="1176"/>
            <w:vAlign w:val="center"/>
          </w:tcPr>
          <w:p>
            <w:r>
              <w:rPr>
                <w:sz w:val="17"/>
              </w:rPr>
              <w:t>$1,973,443</w:t>
            </w:r>
          </w:p>
        </w:tc>
        <w:tc>
          <w:tcPr>
            <w:tcW w:type="dxa" w:w="1176"/>
            <w:vAlign w:val="center"/>
          </w:tcPr>
          <w:p>
            <w:r>
              <w:rPr>
                <w:sz w:val="17"/>
              </w:rPr>
              <w:t>22.3%</w:t>
            </w:r>
          </w:p>
        </w:tc>
        <w:tc>
          <w:tcPr>
            <w:tcW w:type="dxa" w:w="1176"/>
            <w:vAlign w:val="center"/>
          </w:tcPr>
          <w:p>
            <w:r>
              <w:rPr>
                <w:sz w:val="17"/>
              </w:rPr>
              <w:t>$2,326,238</w:t>
            </w:r>
          </w:p>
        </w:tc>
        <w:tc>
          <w:tcPr>
            <w:tcW w:type="dxa" w:w="1176"/>
            <w:vAlign w:val="center"/>
          </w:tcPr>
          <w:p>
            <w:r>
              <w:rPr>
                <w:sz w:val="17"/>
              </w:rPr>
              <w:t>17.6%</w:t>
            </w:r>
          </w:p>
        </w:tc>
        <w:tc>
          <w:tcPr>
            <w:tcW w:type="dxa" w:w="1176"/>
            <w:vAlign w:val="center"/>
          </w:tcPr>
          <w:p>
            <w:r>
              <w:rPr>
                <w:sz w:val="17"/>
              </w:rPr>
              <w:t>LOSS</w:t>
            </w:r>
          </w:p>
        </w:tc>
      </w:tr>
      <w:tr>
        <w:tc>
          <w:tcPr>
            <w:tcW w:type="dxa" w:w="1176"/>
            <w:vAlign w:val="center"/>
          </w:tcPr>
          <w:p>
            <w:r>
              <w:rPr>
                <w:sz w:val="17"/>
              </w:rPr>
              <w:t>IJR</w:t>
            </w:r>
          </w:p>
        </w:tc>
        <w:tc>
          <w:tcPr>
            <w:tcW w:type="dxa" w:w="1176"/>
            <w:vAlign w:val="center"/>
          </w:tcPr>
          <w:p>
            <w:r>
              <w:rPr>
                <w:sz w:val="17"/>
              </w:rPr>
              <w:t>$1,120,495</w:t>
            </w:r>
          </w:p>
        </w:tc>
        <w:tc>
          <w:tcPr>
            <w:tcW w:type="dxa" w:w="1176"/>
            <w:vAlign w:val="center"/>
          </w:tcPr>
          <w:p>
            <w:r>
              <w:rPr>
                <w:sz w:val="17"/>
              </w:rPr>
              <w:t>28.0%</w:t>
            </w:r>
          </w:p>
        </w:tc>
        <w:tc>
          <w:tcPr>
            <w:tcW w:type="dxa" w:w="1176"/>
            <w:vAlign w:val="center"/>
          </w:tcPr>
          <w:p>
            <w:r>
              <w:rPr>
                <w:sz w:val="17"/>
              </w:rPr>
              <w:t>$958,718</w:t>
            </w:r>
          </w:p>
        </w:tc>
        <w:tc>
          <w:tcPr>
            <w:tcW w:type="dxa" w:w="1176"/>
            <w:vAlign w:val="center"/>
          </w:tcPr>
          <w:p>
            <w:r>
              <w:rPr>
                <w:sz w:val="17"/>
              </w:rPr>
              <w:t>23.8%</w:t>
            </w:r>
          </w:p>
        </w:tc>
        <w:tc>
          <w:tcPr>
            <w:tcW w:type="dxa" w:w="1176"/>
            <w:vAlign w:val="center"/>
          </w:tcPr>
          <w:p>
            <w:r>
              <w:rPr>
                <w:sz w:val="17"/>
              </w:rPr>
              <w:t>$1,154,194</w:t>
            </w:r>
          </w:p>
        </w:tc>
        <w:tc>
          <w:tcPr>
            <w:tcW w:type="dxa" w:w="1176"/>
            <w:vAlign w:val="center"/>
          </w:tcPr>
          <w:p>
            <w:r>
              <w:rPr>
                <w:sz w:val="17"/>
              </w:rPr>
              <w:t>19.1%</w:t>
            </w:r>
          </w:p>
        </w:tc>
        <w:tc>
          <w:tcPr>
            <w:tcW w:type="dxa" w:w="1176"/>
            <w:vAlign w:val="center"/>
          </w:tcPr>
          <w:p>
            <w:r>
              <w:rPr>
                <w:sz w:val="17"/>
              </w:rPr>
              <w:t>WIN</w:t>
            </w:r>
          </w:p>
        </w:tc>
      </w:tr>
      <w:tr>
        <w:tc>
          <w:tcPr>
            <w:tcW w:type="dxa" w:w="1176"/>
            <w:vAlign w:val="center"/>
          </w:tcPr>
          <w:p>
            <w:r>
              <w:rPr>
                <w:sz w:val="17"/>
              </w:rPr>
              <w:t>JNJ</w:t>
            </w:r>
          </w:p>
        </w:tc>
        <w:tc>
          <w:tcPr>
            <w:tcW w:type="dxa" w:w="1176"/>
            <w:vAlign w:val="center"/>
          </w:tcPr>
          <w:p>
            <w:r>
              <w:rPr>
                <w:sz w:val="17"/>
              </w:rPr>
              <w:t>$1,356,103</w:t>
            </w:r>
          </w:p>
        </w:tc>
        <w:tc>
          <w:tcPr>
            <w:tcW w:type="dxa" w:w="1176"/>
            <w:vAlign w:val="center"/>
          </w:tcPr>
          <w:p>
            <w:r>
              <w:rPr>
                <w:sz w:val="17"/>
              </w:rPr>
              <w:t>18.4%</w:t>
            </w:r>
          </w:p>
        </w:tc>
        <w:tc>
          <w:tcPr>
            <w:tcW w:type="dxa" w:w="1176"/>
            <w:vAlign w:val="center"/>
          </w:tcPr>
          <w:p>
            <w:r>
              <w:rPr>
                <w:sz w:val="17"/>
              </w:rPr>
              <w:t>$1,095,460</w:t>
            </w:r>
          </w:p>
        </w:tc>
        <w:tc>
          <w:tcPr>
            <w:tcW w:type="dxa" w:w="1176"/>
            <w:vAlign w:val="center"/>
          </w:tcPr>
          <w:p>
            <w:r>
              <w:rPr>
                <w:sz w:val="17"/>
              </w:rPr>
              <w:t>24.4%</w:t>
            </w:r>
          </w:p>
        </w:tc>
        <w:tc>
          <w:tcPr>
            <w:tcW w:type="dxa" w:w="1176"/>
            <w:vAlign w:val="center"/>
          </w:tcPr>
          <w:p>
            <w:r>
              <w:rPr>
                <w:sz w:val="17"/>
              </w:rPr>
              <w:t>$1,193,953</w:t>
            </w:r>
          </w:p>
        </w:tc>
        <w:tc>
          <w:tcPr>
            <w:tcW w:type="dxa" w:w="1176"/>
            <w:vAlign w:val="center"/>
          </w:tcPr>
          <w:p>
            <w:r>
              <w:rPr>
                <w:sz w:val="17"/>
              </w:rPr>
              <w:t>12.3%</w:t>
            </w:r>
          </w:p>
        </w:tc>
        <w:tc>
          <w:tcPr>
            <w:tcW w:type="dxa" w:w="1176"/>
            <w:vAlign w:val="center"/>
          </w:tcPr>
          <w:p>
            <w:r>
              <w:rPr>
                <w:sz w:val="17"/>
              </w:rPr>
              <w:t>LOSS</w:t>
            </w:r>
          </w:p>
        </w:tc>
      </w:tr>
      <w:tr>
        <w:tc>
          <w:tcPr>
            <w:tcW w:type="dxa" w:w="1176"/>
            <w:vAlign w:val="center"/>
          </w:tcPr>
          <w:p>
            <w:r>
              <w:rPr>
                <w:sz w:val="17"/>
              </w:rPr>
              <w:t>JPM</w:t>
            </w:r>
          </w:p>
        </w:tc>
        <w:tc>
          <w:tcPr>
            <w:tcW w:type="dxa" w:w="1176"/>
            <w:vAlign w:val="center"/>
          </w:tcPr>
          <w:p>
            <w:r>
              <w:rPr>
                <w:sz w:val="17"/>
              </w:rPr>
              <w:t>$2,221,547</w:t>
            </w:r>
          </w:p>
        </w:tc>
        <w:tc>
          <w:tcPr>
            <w:tcW w:type="dxa" w:w="1176"/>
            <w:vAlign w:val="center"/>
          </w:tcPr>
          <w:p>
            <w:r>
              <w:rPr>
                <w:sz w:val="17"/>
              </w:rPr>
              <w:t>37.9%</w:t>
            </w:r>
          </w:p>
        </w:tc>
        <w:tc>
          <w:tcPr>
            <w:tcW w:type="dxa" w:w="1176"/>
            <w:vAlign w:val="center"/>
          </w:tcPr>
          <w:p>
            <w:r>
              <w:rPr>
                <w:sz w:val="17"/>
              </w:rPr>
              <w:t>$1,665,170</w:t>
            </w:r>
          </w:p>
        </w:tc>
        <w:tc>
          <w:tcPr>
            <w:tcW w:type="dxa" w:w="1176"/>
            <w:vAlign w:val="center"/>
          </w:tcPr>
          <w:p>
            <w:r>
              <w:rPr>
                <w:sz w:val="17"/>
              </w:rPr>
              <w:t>25.5%</w:t>
            </w:r>
          </w:p>
        </w:tc>
        <w:tc>
          <w:tcPr>
            <w:tcW w:type="dxa" w:w="1176"/>
            <w:vAlign w:val="center"/>
          </w:tcPr>
          <w:p>
            <w:r>
              <w:rPr>
                <w:sz w:val="17"/>
              </w:rPr>
              <w:t>$2,326,257</w:t>
            </w:r>
          </w:p>
        </w:tc>
        <w:tc>
          <w:tcPr>
            <w:tcW w:type="dxa" w:w="1176"/>
            <w:vAlign w:val="center"/>
          </w:tcPr>
          <w:p>
            <w:r>
              <w:rPr>
                <w:sz w:val="17"/>
              </w:rPr>
              <w:t>25.0%</w:t>
            </w:r>
          </w:p>
        </w:tc>
        <w:tc>
          <w:tcPr>
            <w:tcW w:type="dxa" w:w="1176"/>
            <w:vAlign w:val="center"/>
          </w:tcPr>
          <w:p>
            <w:r>
              <w:rPr>
                <w:sz w:val="17"/>
              </w:rPr>
              <w:t>WIN</w:t>
            </w:r>
          </w:p>
        </w:tc>
      </w:tr>
      <w:tr>
        <w:tc>
          <w:tcPr>
            <w:tcW w:type="dxa" w:w="1176"/>
            <w:vAlign w:val="center"/>
          </w:tcPr>
          <w:p>
            <w:r>
              <w:rPr>
                <w:sz w:val="17"/>
              </w:rPr>
              <w:t>LLY</w:t>
            </w:r>
          </w:p>
        </w:tc>
        <w:tc>
          <w:tcPr>
            <w:tcW w:type="dxa" w:w="1176"/>
            <w:vAlign w:val="center"/>
          </w:tcPr>
          <w:p>
            <w:r>
              <w:rPr>
                <w:sz w:val="17"/>
              </w:rPr>
              <w:t>$4,124,738</w:t>
            </w:r>
          </w:p>
        </w:tc>
        <w:tc>
          <w:tcPr>
            <w:tcW w:type="dxa" w:w="1176"/>
            <w:vAlign w:val="center"/>
          </w:tcPr>
          <w:p>
            <w:r>
              <w:rPr>
                <w:sz w:val="17"/>
              </w:rPr>
              <w:t>34.5%</w:t>
            </w:r>
          </w:p>
        </w:tc>
        <w:tc>
          <w:tcPr>
            <w:tcW w:type="dxa" w:w="1176"/>
            <w:vAlign w:val="center"/>
          </w:tcPr>
          <w:p>
            <w:r>
              <w:rPr>
                <w:sz w:val="17"/>
              </w:rPr>
              <w:t>$1,965,329</w:t>
            </w:r>
          </w:p>
        </w:tc>
        <w:tc>
          <w:tcPr>
            <w:tcW w:type="dxa" w:w="1176"/>
            <w:vAlign w:val="center"/>
          </w:tcPr>
          <w:p>
            <w:r>
              <w:rPr>
                <w:sz w:val="17"/>
              </w:rPr>
              <w:t>47.4%</w:t>
            </w:r>
          </w:p>
        </w:tc>
        <w:tc>
          <w:tcPr>
            <w:tcW w:type="dxa" w:w="1176"/>
            <w:vAlign w:val="center"/>
          </w:tcPr>
          <w:p>
            <w:r>
              <w:rPr>
                <w:sz w:val="17"/>
              </w:rPr>
              <w:t>$3,520,673</w:t>
            </w:r>
          </w:p>
        </w:tc>
        <w:tc>
          <w:tcPr>
            <w:tcW w:type="dxa" w:w="1176"/>
            <w:vAlign w:val="center"/>
          </w:tcPr>
          <w:p>
            <w:r>
              <w:rPr>
                <w:sz w:val="17"/>
              </w:rPr>
              <w:t>28.8%</w:t>
            </w:r>
          </w:p>
        </w:tc>
        <w:tc>
          <w:tcPr>
            <w:tcW w:type="dxa" w:w="1176"/>
            <w:vAlign w:val="center"/>
          </w:tcPr>
          <w:p>
            <w:r>
              <w:rPr>
                <w:sz w:val="17"/>
              </w:rPr>
              <w:t>LOSS</w:t>
            </w:r>
          </w:p>
        </w:tc>
      </w:tr>
      <w:tr>
        <w:tc>
          <w:tcPr>
            <w:tcW w:type="dxa" w:w="1176"/>
            <w:vAlign w:val="center"/>
          </w:tcPr>
          <w:p>
            <w:r>
              <w:rPr>
                <w:sz w:val="17"/>
              </w:rPr>
              <w:t>MA</w:t>
            </w:r>
          </w:p>
        </w:tc>
        <w:tc>
          <w:tcPr>
            <w:tcW w:type="dxa" w:w="1176"/>
            <w:vAlign w:val="center"/>
          </w:tcPr>
          <w:p>
            <w:r>
              <w:rPr>
                <w:sz w:val="17"/>
              </w:rPr>
              <w:t>$1,593,487</w:t>
            </w:r>
          </w:p>
        </w:tc>
        <w:tc>
          <w:tcPr>
            <w:tcW w:type="dxa" w:w="1176"/>
            <w:vAlign w:val="center"/>
          </w:tcPr>
          <w:p>
            <w:r>
              <w:rPr>
                <w:sz w:val="17"/>
              </w:rPr>
              <w:t>28.3%</w:t>
            </w:r>
          </w:p>
        </w:tc>
        <w:tc>
          <w:tcPr>
            <w:tcW w:type="dxa" w:w="1176"/>
            <w:vAlign w:val="center"/>
          </w:tcPr>
          <w:p>
            <w:r>
              <w:rPr>
                <w:sz w:val="17"/>
              </w:rPr>
              <w:t>$945,118</w:t>
            </w:r>
          </w:p>
        </w:tc>
        <w:tc>
          <w:tcPr>
            <w:tcW w:type="dxa" w:w="1176"/>
            <w:vAlign w:val="center"/>
          </w:tcPr>
          <w:p>
            <w:r>
              <w:rPr>
                <w:sz w:val="17"/>
              </w:rPr>
              <w:t>23.7%</w:t>
            </w:r>
          </w:p>
        </w:tc>
        <w:tc>
          <w:tcPr>
            <w:tcW w:type="dxa" w:w="1176"/>
            <w:vAlign w:val="center"/>
          </w:tcPr>
          <w:p>
            <w:r>
              <w:rPr>
                <w:sz w:val="17"/>
              </w:rPr>
              <w:t>$1,349,113</w:t>
            </w:r>
          </w:p>
        </w:tc>
        <w:tc>
          <w:tcPr>
            <w:tcW w:type="dxa" w:w="1176"/>
            <w:vAlign w:val="center"/>
          </w:tcPr>
          <w:p>
            <w:r>
              <w:rPr>
                <w:sz w:val="17"/>
              </w:rPr>
              <w:t>15.8%</w:t>
            </w:r>
          </w:p>
        </w:tc>
        <w:tc>
          <w:tcPr>
            <w:tcW w:type="dxa" w:w="1176"/>
            <w:vAlign w:val="center"/>
          </w:tcPr>
          <w:p>
            <w:r>
              <w:rPr>
                <w:sz w:val="17"/>
              </w:rPr>
              <w:t>LOSS</w:t>
            </w:r>
          </w:p>
        </w:tc>
      </w:tr>
      <w:tr>
        <w:tc>
          <w:tcPr>
            <w:tcW w:type="dxa" w:w="1176"/>
            <w:vAlign w:val="center"/>
          </w:tcPr>
          <w:p>
            <w:r>
              <w:rPr>
                <w:sz w:val="17"/>
              </w:rPr>
              <w:t>MCD</w:t>
            </w:r>
          </w:p>
        </w:tc>
        <w:tc>
          <w:tcPr>
            <w:tcW w:type="dxa" w:w="1176"/>
            <w:vAlign w:val="center"/>
          </w:tcPr>
          <w:p>
            <w:r>
              <w:rPr>
                <w:sz w:val="17"/>
              </w:rPr>
              <w:t>$1,256,822</w:t>
            </w:r>
          </w:p>
        </w:tc>
        <w:tc>
          <w:tcPr>
            <w:tcW w:type="dxa" w:w="1176"/>
            <w:vAlign w:val="center"/>
          </w:tcPr>
          <w:p>
            <w:r>
              <w:rPr>
                <w:sz w:val="17"/>
              </w:rPr>
              <w:t>17.2%</w:t>
            </w:r>
          </w:p>
        </w:tc>
        <w:tc>
          <w:tcPr>
            <w:tcW w:type="dxa" w:w="1176"/>
            <w:vAlign w:val="center"/>
          </w:tcPr>
          <w:p>
            <w:r>
              <w:rPr>
                <w:sz w:val="17"/>
              </w:rPr>
              <w:t>$957,069</w:t>
            </w:r>
          </w:p>
        </w:tc>
        <w:tc>
          <w:tcPr>
            <w:tcW w:type="dxa" w:w="1176"/>
            <w:vAlign w:val="center"/>
          </w:tcPr>
          <w:p>
            <w:r>
              <w:rPr>
                <w:sz w:val="17"/>
              </w:rPr>
              <w:t>20.8%</w:t>
            </w:r>
          </w:p>
        </w:tc>
        <w:tc>
          <w:tcPr>
            <w:tcW w:type="dxa" w:w="1176"/>
            <w:vAlign w:val="center"/>
          </w:tcPr>
          <w:p>
            <w:r>
              <w:rPr>
                <w:sz w:val="17"/>
              </w:rPr>
              <w:t>$1,047,694</w:t>
            </w:r>
          </w:p>
        </w:tc>
        <w:tc>
          <w:tcPr>
            <w:tcW w:type="dxa" w:w="1176"/>
            <w:vAlign w:val="center"/>
          </w:tcPr>
          <w:p>
            <w:r>
              <w:rPr>
                <w:sz w:val="17"/>
              </w:rPr>
              <w:t>5.3%</w:t>
            </w:r>
          </w:p>
        </w:tc>
        <w:tc>
          <w:tcPr>
            <w:tcW w:type="dxa" w:w="1176"/>
            <w:vAlign w:val="center"/>
          </w:tcPr>
          <w:p>
            <w:r>
              <w:rPr>
                <w:sz w:val="17"/>
              </w:rPr>
              <w:t>LOSS</w:t>
            </w:r>
          </w:p>
        </w:tc>
      </w:tr>
      <w:tr>
        <w:tc>
          <w:tcPr>
            <w:tcW w:type="dxa" w:w="1176"/>
            <w:vAlign w:val="center"/>
          </w:tcPr>
          <w:p>
            <w:r>
              <w:rPr>
                <w:sz w:val="17"/>
              </w:rPr>
              <w:t>META</w:t>
            </w:r>
          </w:p>
        </w:tc>
        <w:tc>
          <w:tcPr>
            <w:tcW w:type="dxa" w:w="1176"/>
            <w:vAlign w:val="center"/>
          </w:tcPr>
          <w:p>
            <w:r>
              <w:rPr>
                <w:sz w:val="17"/>
              </w:rPr>
              <w:t>$1,980,864</w:t>
            </w:r>
          </w:p>
        </w:tc>
        <w:tc>
          <w:tcPr>
            <w:tcW w:type="dxa" w:w="1176"/>
            <w:vAlign w:val="center"/>
          </w:tcPr>
          <w:p>
            <w:r>
              <w:rPr>
                <w:sz w:val="17"/>
              </w:rPr>
              <w:t>73.7%</w:t>
            </w:r>
          </w:p>
        </w:tc>
        <w:tc>
          <w:tcPr>
            <w:tcW w:type="dxa" w:w="1176"/>
            <w:vAlign w:val="center"/>
          </w:tcPr>
          <w:p>
            <w:r>
              <w:rPr>
                <w:sz w:val="17"/>
              </w:rPr>
              <w:t>$3,317,702</w:t>
            </w:r>
          </w:p>
        </w:tc>
        <w:tc>
          <w:tcPr>
            <w:tcW w:type="dxa" w:w="1176"/>
            <w:vAlign w:val="center"/>
          </w:tcPr>
          <w:p>
            <w:r>
              <w:rPr>
                <w:sz w:val="17"/>
              </w:rPr>
              <w:t>27.9%</w:t>
            </w:r>
          </w:p>
        </w:tc>
        <w:tc>
          <w:tcPr>
            <w:tcW w:type="dxa" w:w="1176"/>
            <w:vAlign w:val="center"/>
          </w:tcPr>
          <w:p>
            <w:r>
              <w:rPr>
                <w:sz w:val="17"/>
              </w:rPr>
              <w:t>$2,927,015</w:t>
            </w:r>
          </w:p>
        </w:tc>
        <w:tc>
          <w:tcPr>
            <w:tcW w:type="dxa" w:w="1176"/>
            <w:vAlign w:val="center"/>
          </w:tcPr>
          <w:p>
            <w:r>
              <w:rPr>
                <w:sz w:val="17"/>
              </w:rPr>
              <w:t>34.7%</w:t>
            </w:r>
          </w:p>
        </w:tc>
        <w:tc>
          <w:tcPr>
            <w:tcW w:type="dxa" w:w="1176"/>
            <w:vAlign w:val="center"/>
          </w:tcPr>
          <w:p>
            <w:r>
              <w:rPr>
                <w:sz w:val="17"/>
              </w:rPr>
              <w:t>WIN</w:t>
            </w:r>
          </w:p>
        </w:tc>
      </w:tr>
      <w:tr>
        <w:tc>
          <w:tcPr>
            <w:tcW w:type="dxa" w:w="1176"/>
            <w:vAlign w:val="center"/>
          </w:tcPr>
          <w:p>
            <w:r>
              <w:rPr>
                <w:sz w:val="17"/>
              </w:rPr>
              <w:t>MSFT</w:t>
            </w:r>
          </w:p>
        </w:tc>
        <w:tc>
          <w:tcPr>
            <w:tcW w:type="dxa" w:w="1176"/>
            <w:vAlign w:val="center"/>
          </w:tcPr>
          <w:p>
            <w:r>
              <w:rPr>
                <w:sz w:val="17"/>
              </w:rPr>
              <w:t>$1,505,040</w:t>
            </w:r>
          </w:p>
        </w:tc>
        <w:tc>
          <w:tcPr>
            <w:tcW w:type="dxa" w:w="1176"/>
            <w:vAlign w:val="center"/>
          </w:tcPr>
          <w:p>
            <w:r>
              <w:rPr>
                <w:sz w:val="17"/>
              </w:rPr>
              <w:t>35.6%</w:t>
            </w:r>
          </w:p>
        </w:tc>
        <w:tc>
          <w:tcPr>
            <w:tcW w:type="dxa" w:w="1176"/>
            <w:vAlign w:val="center"/>
          </w:tcPr>
          <w:p>
            <w:r>
              <w:rPr>
                <w:sz w:val="17"/>
              </w:rPr>
              <w:t>$1,136,776</w:t>
            </w:r>
          </w:p>
        </w:tc>
        <w:tc>
          <w:tcPr>
            <w:tcW w:type="dxa" w:w="1176"/>
            <w:vAlign w:val="center"/>
          </w:tcPr>
          <w:p>
            <w:r>
              <w:rPr>
                <w:sz w:val="17"/>
              </w:rPr>
              <w:t>28.5%</w:t>
            </w:r>
          </w:p>
        </w:tc>
        <w:tc>
          <w:tcPr>
            <w:tcW w:type="dxa" w:w="1176"/>
            <w:vAlign w:val="center"/>
          </w:tcPr>
          <w:p>
            <w:r>
              <w:rPr>
                <w:sz w:val="17"/>
              </w:rPr>
              <w:t>$1,392,778</w:t>
            </w:r>
          </w:p>
        </w:tc>
        <w:tc>
          <w:tcPr>
            <w:tcW w:type="dxa" w:w="1176"/>
            <w:vAlign w:val="center"/>
          </w:tcPr>
          <w:p>
            <w:r>
              <w:rPr>
                <w:sz w:val="17"/>
              </w:rPr>
              <w:t>16.3%</w:t>
            </w:r>
          </w:p>
        </w:tc>
        <w:tc>
          <w:tcPr>
            <w:tcW w:type="dxa" w:w="1176"/>
            <w:vAlign w:val="center"/>
          </w:tcPr>
          <w:p>
            <w:r>
              <w:rPr>
                <w:sz w:val="17"/>
              </w:rPr>
              <w:t>LOSS</w:t>
            </w:r>
          </w:p>
        </w:tc>
      </w:tr>
      <w:tr>
        <w:tc>
          <w:tcPr>
            <w:tcW w:type="dxa" w:w="1176"/>
            <w:vAlign w:val="center"/>
          </w:tcPr>
          <w:p>
            <w:r>
              <w:rPr>
                <w:sz w:val="17"/>
              </w:rPr>
              <w:t>NFLX</w:t>
            </w:r>
          </w:p>
        </w:tc>
        <w:tc>
          <w:tcPr>
            <w:tcW w:type="dxa" w:w="1176"/>
            <w:vAlign w:val="center"/>
          </w:tcPr>
          <w:p>
            <w:r>
              <w:rPr>
                <w:sz w:val="17"/>
              </w:rPr>
              <w:t>$1,569,881</w:t>
            </w:r>
          </w:p>
        </w:tc>
        <w:tc>
          <w:tcPr>
            <w:tcW w:type="dxa" w:w="1176"/>
            <w:vAlign w:val="center"/>
          </w:tcPr>
          <w:p>
            <w:r>
              <w:rPr>
                <w:sz w:val="17"/>
              </w:rPr>
              <w:t>72.1%</w:t>
            </w:r>
          </w:p>
        </w:tc>
        <w:tc>
          <w:tcPr>
            <w:tcW w:type="dxa" w:w="1176"/>
            <w:vAlign w:val="center"/>
          </w:tcPr>
          <w:p>
            <w:r>
              <w:rPr>
                <w:sz w:val="17"/>
              </w:rPr>
              <w:t>$1,726,910</w:t>
            </w:r>
          </w:p>
        </w:tc>
        <w:tc>
          <w:tcPr>
            <w:tcW w:type="dxa" w:w="1176"/>
            <w:vAlign w:val="center"/>
          </w:tcPr>
          <w:p>
            <w:r>
              <w:rPr>
                <w:sz w:val="17"/>
              </w:rPr>
              <w:t>26.6%</w:t>
            </w:r>
          </w:p>
        </w:tc>
        <w:tc>
          <w:tcPr>
            <w:tcW w:type="dxa" w:w="1176"/>
            <w:vAlign w:val="center"/>
          </w:tcPr>
          <w:p>
            <w:r>
              <w:rPr>
                <w:sz w:val="17"/>
              </w:rPr>
              <w:t>$2,341,915</w:t>
            </w:r>
          </w:p>
        </w:tc>
        <w:tc>
          <w:tcPr>
            <w:tcW w:type="dxa" w:w="1176"/>
            <w:vAlign w:val="center"/>
          </w:tcPr>
          <w:p>
            <w:r>
              <w:rPr>
                <w:sz w:val="17"/>
              </w:rPr>
              <w:t>36.4%</w:t>
            </w:r>
          </w:p>
        </w:tc>
        <w:tc>
          <w:tcPr>
            <w:tcW w:type="dxa" w:w="1176"/>
            <w:vAlign w:val="center"/>
          </w:tcPr>
          <w:p>
            <w:r>
              <w:rPr>
                <w:sz w:val="17"/>
              </w:rPr>
              <w:t>WIN</w:t>
            </w:r>
          </w:p>
        </w:tc>
      </w:tr>
      <w:tr>
        <w:tc>
          <w:tcPr>
            <w:tcW w:type="dxa" w:w="1176"/>
            <w:vAlign w:val="center"/>
          </w:tcPr>
          <w:p>
            <w:r>
              <w:rPr>
                <w:sz w:val="17"/>
              </w:rPr>
              <w:t>NVDA</w:t>
            </w:r>
          </w:p>
        </w:tc>
        <w:tc>
          <w:tcPr>
            <w:tcW w:type="dxa" w:w="1176"/>
            <w:vAlign w:val="center"/>
          </w:tcPr>
          <w:p>
            <w:r>
              <w:rPr>
                <w:sz w:val="17"/>
              </w:rPr>
              <w:t>$6,238,282</w:t>
            </w:r>
          </w:p>
        </w:tc>
        <w:tc>
          <w:tcPr>
            <w:tcW w:type="dxa" w:w="1176"/>
            <w:vAlign w:val="center"/>
          </w:tcPr>
          <w:p>
            <w:r>
              <w:rPr>
                <w:sz w:val="17"/>
              </w:rPr>
              <w:t>62.7%</w:t>
            </w:r>
          </w:p>
        </w:tc>
        <w:tc>
          <w:tcPr>
            <w:tcW w:type="dxa" w:w="1176"/>
            <w:vAlign w:val="center"/>
          </w:tcPr>
          <w:p>
            <w:r>
              <w:rPr>
                <w:sz w:val="17"/>
              </w:rPr>
              <w:t>$2,706,346</w:t>
            </w:r>
          </w:p>
        </w:tc>
        <w:tc>
          <w:tcPr>
            <w:tcW w:type="dxa" w:w="1176"/>
            <w:vAlign w:val="center"/>
          </w:tcPr>
          <w:p>
            <w:r>
              <w:rPr>
                <w:sz w:val="17"/>
              </w:rPr>
              <w:t>53.0%</w:t>
            </w:r>
          </w:p>
        </w:tc>
        <w:tc>
          <w:tcPr>
            <w:tcW w:type="dxa" w:w="1176"/>
            <w:vAlign w:val="center"/>
          </w:tcPr>
          <w:p>
            <w:r>
              <w:rPr>
                <w:sz w:val="17"/>
              </w:rPr>
              <w:t>$5,293,104</w:t>
            </w:r>
          </w:p>
        </w:tc>
        <w:tc>
          <w:tcPr>
            <w:tcW w:type="dxa" w:w="1176"/>
            <w:vAlign w:val="center"/>
          </w:tcPr>
          <w:p>
            <w:r>
              <w:rPr>
                <w:sz w:val="17"/>
              </w:rPr>
              <w:t>36.9%</w:t>
            </w:r>
          </w:p>
        </w:tc>
        <w:tc>
          <w:tcPr>
            <w:tcW w:type="dxa" w:w="1176"/>
            <w:vAlign w:val="center"/>
          </w:tcPr>
          <w:p>
            <w:r>
              <w:rPr>
                <w:sz w:val="17"/>
              </w:rPr>
              <w:t>LOSS</w:t>
            </w:r>
          </w:p>
        </w:tc>
      </w:tr>
      <w:tr>
        <w:tc>
          <w:tcPr>
            <w:tcW w:type="dxa" w:w="1176"/>
            <w:vAlign w:val="center"/>
          </w:tcPr>
          <w:p>
            <w:r>
              <w:rPr>
                <w:sz w:val="17"/>
              </w:rPr>
              <w:t>ORCL</w:t>
            </w:r>
          </w:p>
        </w:tc>
        <w:tc>
          <w:tcPr>
            <w:tcW w:type="dxa" w:w="1176"/>
            <w:vAlign w:val="center"/>
          </w:tcPr>
          <w:p>
            <w:r>
              <w:rPr>
                <w:sz w:val="17"/>
              </w:rPr>
              <w:t>$2,368,841</w:t>
            </w:r>
          </w:p>
        </w:tc>
        <w:tc>
          <w:tcPr>
            <w:tcW w:type="dxa" w:w="1176"/>
            <w:vAlign w:val="center"/>
          </w:tcPr>
          <w:p>
            <w:r>
              <w:rPr>
                <w:sz w:val="17"/>
              </w:rPr>
              <w:t>45.6%</w:t>
            </w:r>
          </w:p>
        </w:tc>
        <w:tc>
          <w:tcPr>
            <w:tcW w:type="dxa" w:w="1176"/>
            <w:vAlign w:val="center"/>
          </w:tcPr>
          <w:p>
            <w:r>
              <w:rPr>
                <w:sz w:val="17"/>
              </w:rPr>
              <w:t>$1,783,983</w:t>
            </w:r>
          </w:p>
        </w:tc>
        <w:tc>
          <w:tcPr>
            <w:tcW w:type="dxa" w:w="1176"/>
            <w:vAlign w:val="center"/>
          </w:tcPr>
          <w:p>
            <w:r>
              <w:rPr>
                <w:sz w:val="17"/>
              </w:rPr>
              <w:t>35.9%</w:t>
            </w:r>
          </w:p>
        </w:tc>
        <w:tc>
          <w:tcPr>
            <w:tcW w:type="dxa" w:w="1176"/>
            <w:vAlign w:val="center"/>
          </w:tcPr>
          <w:p>
            <w:r>
              <w:rPr>
                <w:sz w:val="17"/>
              </w:rPr>
              <w:t>$1,726,435</w:t>
            </w:r>
          </w:p>
        </w:tc>
        <w:tc>
          <w:tcPr>
            <w:tcW w:type="dxa" w:w="1176"/>
            <w:vAlign w:val="center"/>
          </w:tcPr>
          <w:p>
            <w:r>
              <w:rPr>
                <w:sz w:val="17"/>
              </w:rPr>
              <w:t>34.7%</w:t>
            </w:r>
          </w:p>
        </w:tc>
        <w:tc>
          <w:tcPr>
            <w:tcW w:type="dxa" w:w="1176"/>
            <w:vAlign w:val="center"/>
          </w:tcPr>
          <w:p>
            <w:r>
              <w:rPr>
                <w:sz w:val="17"/>
              </w:rPr>
              <w:t>LOSS</w:t>
            </w:r>
          </w:p>
        </w:tc>
      </w:tr>
      <w:tr>
        <w:tc>
          <w:tcPr>
            <w:tcW w:type="dxa" w:w="1176"/>
            <w:vAlign w:val="center"/>
          </w:tcPr>
          <w:p>
            <w:r>
              <w:rPr>
                <w:sz w:val="17"/>
              </w:rPr>
              <w:t>PGR</w:t>
            </w:r>
          </w:p>
        </w:tc>
        <w:tc>
          <w:tcPr>
            <w:tcW w:type="dxa" w:w="1176"/>
            <w:vAlign w:val="center"/>
          </w:tcPr>
          <w:p>
            <w:r>
              <w:rPr>
                <w:sz w:val="17"/>
              </w:rPr>
              <w:t>$2,330,314</w:t>
            </w:r>
          </w:p>
        </w:tc>
        <w:tc>
          <w:tcPr>
            <w:tcW w:type="dxa" w:w="1176"/>
            <w:vAlign w:val="center"/>
          </w:tcPr>
          <w:p>
            <w:r>
              <w:rPr>
                <w:sz w:val="17"/>
              </w:rPr>
              <w:t>30.0%</w:t>
            </w:r>
          </w:p>
        </w:tc>
        <w:tc>
          <w:tcPr>
            <w:tcW w:type="dxa" w:w="1176"/>
            <w:vAlign w:val="center"/>
          </w:tcPr>
          <w:p>
            <w:r>
              <w:rPr>
                <w:sz w:val="17"/>
              </w:rPr>
              <w:t>$1,197,388</w:t>
            </w:r>
          </w:p>
        </w:tc>
        <w:tc>
          <w:tcPr>
            <w:tcW w:type="dxa" w:w="1176"/>
            <w:vAlign w:val="center"/>
          </w:tcPr>
          <w:p>
            <w:r>
              <w:rPr>
                <w:sz w:val="17"/>
              </w:rPr>
              <w:t>28.7%</w:t>
            </w:r>
          </w:p>
        </w:tc>
        <w:tc>
          <w:tcPr>
            <w:tcW w:type="dxa" w:w="1176"/>
            <w:vAlign w:val="center"/>
          </w:tcPr>
          <w:p>
            <w:r>
              <w:rPr>
                <w:sz w:val="17"/>
              </w:rPr>
              <w:t>$2,033,351</w:t>
            </w:r>
          </w:p>
        </w:tc>
        <w:tc>
          <w:tcPr>
            <w:tcW w:type="dxa" w:w="1176"/>
            <w:vAlign w:val="center"/>
          </w:tcPr>
          <w:p>
            <w:r>
              <w:rPr>
                <w:sz w:val="17"/>
              </w:rPr>
              <w:t>29.6%</w:t>
            </w:r>
          </w:p>
        </w:tc>
        <w:tc>
          <w:tcPr>
            <w:tcW w:type="dxa" w:w="1176"/>
            <w:vAlign w:val="center"/>
          </w:tcPr>
          <w:p>
            <w:r>
              <w:rPr>
                <w:sz w:val="17"/>
              </w:rPr>
              <w:t>LOSS</w:t>
            </w:r>
          </w:p>
        </w:tc>
      </w:tr>
      <w:tr>
        <w:tc>
          <w:tcPr>
            <w:tcW w:type="dxa" w:w="1176"/>
            <w:vAlign w:val="center"/>
          </w:tcPr>
          <w:p>
            <w:r>
              <w:rPr>
                <w:sz w:val="17"/>
              </w:rPr>
              <w:t>PLTR</w:t>
            </w:r>
          </w:p>
        </w:tc>
        <w:tc>
          <w:tcPr>
            <w:tcW w:type="dxa" w:w="1176"/>
            <w:vAlign w:val="center"/>
          </w:tcPr>
          <w:p>
            <w:r>
              <w:rPr>
                <w:sz w:val="17"/>
              </w:rPr>
              <w:t>$9,759,309</w:t>
            </w:r>
          </w:p>
        </w:tc>
        <w:tc>
          <w:tcPr>
            <w:tcW w:type="dxa" w:w="1176"/>
            <w:vAlign w:val="center"/>
          </w:tcPr>
          <w:p>
            <w:r>
              <w:rPr>
                <w:sz w:val="17"/>
              </w:rPr>
              <w:t>67.6%</w:t>
            </w:r>
          </w:p>
        </w:tc>
        <w:tc>
          <w:tcPr>
            <w:tcW w:type="dxa" w:w="1176"/>
            <w:vAlign w:val="center"/>
          </w:tcPr>
          <w:p>
            <w:r>
              <w:rPr>
                <w:sz w:val="17"/>
              </w:rPr>
              <w:t>$3,470,965</w:t>
            </w:r>
          </w:p>
        </w:tc>
        <w:tc>
          <w:tcPr>
            <w:tcW w:type="dxa" w:w="1176"/>
            <w:vAlign w:val="center"/>
          </w:tcPr>
          <w:p>
            <w:r>
              <w:rPr>
                <w:sz w:val="17"/>
              </w:rPr>
              <w:t>55.3%</w:t>
            </w:r>
          </w:p>
        </w:tc>
        <w:tc>
          <w:tcPr>
            <w:tcW w:type="dxa" w:w="1176"/>
            <w:vAlign w:val="center"/>
          </w:tcPr>
          <w:p>
            <w:r>
              <w:rPr>
                <w:sz w:val="17"/>
              </w:rPr>
              <w:t>$6,507,150</w:t>
            </w:r>
          </w:p>
        </w:tc>
        <w:tc>
          <w:tcPr>
            <w:tcW w:type="dxa" w:w="1176"/>
            <w:vAlign w:val="center"/>
          </w:tcPr>
          <w:p>
            <w:r>
              <w:rPr>
                <w:sz w:val="17"/>
              </w:rPr>
              <w:t>29.7%</w:t>
            </w:r>
          </w:p>
        </w:tc>
        <w:tc>
          <w:tcPr>
            <w:tcW w:type="dxa" w:w="1176"/>
            <w:vAlign w:val="center"/>
          </w:tcPr>
          <w:p>
            <w:r>
              <w:rPr>
                <w:sz w:val="17"/>
              </w:rPr>
              <w:t>LOSS</w:t>
            </w:r>
          </w:p>
        </w:tc>
      </w:tr>
      <w:tr>
        <w:tc>
          <w:tcPr>
            <w:tcW w:type="dxa" w:w="1176"/>
            <w:vAlign w:val="center"/>
          </w:tcPr>
          <w:p>
            <w:r>
              <w:rPr>
                <w:sz w:val="17"/>
              </w:rPr>
              <w:t>PPLT</w:t>
            </w:r>
          </w:p>
        </w:tc>
        <w:tc>
          <w:tcPr>
            <w:tcW w:type="dxa" w:w="1176"/>
            <w:vAlign w:val="center"/>
          </w:tcPr>
          <w:p>
            <w:r>
              <w:rPr>
                <w:sz w:val="17"/>
              </w:rPr>
              <w:t>$2,228,318</w:t>
            </w:r>
          </w:p>
        </w:tc>
        <w:tc>
          <w:tcPr>
            <w:tcW w:type="dxa" w:w="1176"/>
            <w:vAlign w:val="center"/>
          </w:tcPr>
          <w:p>
            <w:r>
              <w:rPr>
                <w:sz w:val="17"/>
              </w:rPr>
              <w:t>28.7%</w:t>
            </w:r>
          </w:p>
        </w:tc>
        <w:tc>
          <w:tcPr>
            <w:tcW w:type="dxa" w:w="1176"/>
            <w:vAlign w:val="center"/>
          </w:tcPr>
          <w:p>
            <w:r>
              <w:rPr>
                <w:sz w:val="17"/>
              </w:rPr>
              <w:t>$1,513,977</w:t>
            </w:r>
          </w:p>
        </w:tc>
        <w:tc>
          <w:tcPr>
            <w:tcW w:type="dxa" w:w="1176"/>
            <w:vAlign w:val="center"/>
          </w:tcPr>
          <w:p>
            <w:r>
              <w:rPr>
                <w:sz w:val="17"/>
              </w:rPr>
              <w:t>37.8%</w:t>
            </w:r>
          </w:p>
        </w:tc>
        <w:tc>
          <w:tcPr>
            <w:tcW w:type="dxa" w:w="1176"/>
            <w:vAlign w:val="center"/>
          </w:tcPr>
          <w:p>
            <w:r>
              <w:rPr>
                <w:sz w:val="17"/>
              </w:rPr>
              <w:t>$1,695,469</w:t>
            </w:r>
          </w:p>
        </w:tc>
        <w:tc>
          <w:tcPr>
            <w:tcW w:type="dxa" w:w="1176"/>
            <w:vAlign w:val="center"/>
          </w:tcPr>
          <w:p>
            <w:r>
              <w:rPr>
                <w:sz w:val="17"/>
              </w:rPr>
              <w:t>17.5%</w:t>
            </w:r>
          </w:p>
        </w:tc>
        <w:tc>
          <w:tcPr>
            <w:tcW w:type="dxa" w:w="1176"/>
            <w:vAlign w:val="center"/>
          </w:tcPr>
          <w:p>
            <w:r>
              <w:rPr>
                <w:sz w:val="17"/>
              </w:rPr>
              <w:t>LOSS</w:t>
            </w:r>
          </w:p>
        </w:tc>
      </w:tr>
      <w:tr>
        <w:tc>
          <w:tcPr>
            <w:tcW w:type="dxa" w:w="1176"/>
            <w:vAlign w:val="center"/>
          </w:tcPr>
          <w:p>
            <w:r>
              <w:rPr>
                <w:sz w:val="17"/>
              </w:rPr>
              <w:t>QCOM</w:t>
            </w:r>
          </w:p>
        </w:tc>
        <w:tc>
          <w:tcPr>
            <w:tcW w:type="dxa" w:w="1176"/>
            <w:vAlign w:val="center"/>
          </w:tcPr>
          <w:p>
            <w:r>
              <w:rPr>
                <w:sz w:val="17"/>
              </w:rPr>
              <w:t>$1,019,797</w:t>
            </w:r>
          </w:p>
        </w:tc>
        <w:tc>
          <w:tcPr>
            <w:tcW w:type="dxa" w:w="1176"/>
            <w:vAlign w:val="center"/>
          </w:tcPr>
          <w:p>
            <w:r>
              <w:rPr>
                <w:sz w:val="17"/>
              </w:rPr>
              <w:t>44.2%</w:t>
            </w:r>
          </w:p>
        </w:tc>
        <w:tc>
          <w:tcPr>
            <w:tcW w:type="dxa" w:w="1176"/>
            <w:vAlign w:val="center"/>
          </w:tcPr>
          <w:p>
            <w:r>
              <w:rPr>
                <w:sz w:val="17"/>
              </w:rPr>
              <w:t>$699,736</w:t>
            </w:r>
          </w:p>
        </w:tc>
        <w:tc>
          <w:tcPr>
            <w:tcW w:type="dxa" w:w="1176"/>
            <w:vAlign w:val="center"/>
          </w:tcPr>
          <w:p>
            <w:r>
              <w:rPr>
                <w:sz w:val="17"/>
              </w:rPr>
              <w:t>47.1%</w:t>
            </w:r>
          </w:p>
        </w:tc>
        <w:tc>
          <w:tcPr>
            <w:tcW w:type="dxa" w:w="1176"/>
            <w:vAlign w:val="center"/>
          </w:tcPr>
          <w:p>
            <w:r>
              <w:rPr>
                <w:sz w:val="17"/>
              </w:rPr>
              <w:t>$1,006,041</w:t>
            </w:r>
          </w:p>
        </w:tc>
        <w:tc>
          <w:tcPr>
            <w:tcW w:type="dxa" w:w="1176"/>
            <w:vAlign w:val="center"/>
          </w:tcPr>
          <w:p>
            <w:r>
              <w:rPr>
                <w:sz w:val="17"/>
              </w:rPr>
              <w:t>13.4%</w:t>
            </w:r>
          </w:p>
        </w:tc>
        <w:tc>
          <w:tcPr>
            <w:tcW w:type="dxa" w:w="1176"/>
            <w:vAlign w:val="center"/>
          </w:tcPr>
          <w:p>
            <w:r>
              <w:rPr>
                <w:sz w:val="17"/>
              </w:rPr>
              <w:t>LOSS</w:t>
            </w:r>
          </w:p>
        </w:tc>
      </w:tr>
      <w:tr>
        <w:tc>
          <w:tcPr>
            <w:tcW w:type="dxa" w:w="1176"/>
            <w:vAlign w:val="center"/>
          </w:tcPr>
          <w:p>
            <w:r>
              <w:rPr>
                <w:sz w:val="17"/>
              </w:rPr>
              <w:t>QQQ</w:t>
            </w:r>
          </w:p>
        </w:tc>
        <w:tc>
          <w:tcPr>
            <w:tcW w:type="dxa" w:w="1176"/>
            <w:vAlign w:val="center"/>
          </w:tcPr>
          <w:p>
            <w:r>
              <w:rPr>
                <w:sz w:val="17"/>
              </w:rPr>
              <w:t>$1,581,472</w:t>
            </w:r>
          </w:p>
        </w:tc>
        <w:tc>
          <w:tcPr>
            <w:tcW w:type="dxa" w:w="1176"/>
            <w:vAlign w:val="center"/>
          </w:tcPr>
          <w:p>
            <w:r>
              <w:rPr>
                <w:sz w:val="17"/>
              </w:rPr>
              <w:t>34.8%</w:t>
            </w:r>
          </w:p>
        </w:tc>
        <w:tc>
          <w:tcPr>
            <w:tcW w:type="dxa" w:w="1176"/>
            <w:vAlign w:val="center"/>
          </w:tcPr>
          <w:p>
            <w:r>
              <w:rPr>
                <w:sz w:val="17"/>
              </w:rPr>
              <w:t>$1,256,472</w:t>
            </w:r>
          </w:p>
        </w:tc>
        <w:tc>
          <w:tcPr>
            <w:tcW w:type="dxa" w:w="1176"/>
            <w:vAlign w:val="center"/>
          </w:tcPr>
          <w:p>
            <w:r>
              <w:rPr>
                <w:sz w:val="17"/>
              </w:rPr>
              <w:t>28.3%</w:t>
            </w:r>
          </w:p>
        </w:tc>
        <w:tc>
          <w:tcPr>
            <w:tcW w:type="dxa" w:w="1176"/>
            <w:vAlign w:val="center"/>
          </w:tcPr>
          <w:p>
            <w:r>
              <w:rPr>
                <w:sz w:val="17"/>
              </w:rPr>
              <w:t>$1,755,374</w:t>
            </w:r>
          </w:p>
        </w:tc>
        <w:tc>
          <w:tcPr>
            <w:tcW w:type="dxa" w:w="1176"/>
            <w:vAlign w:val="center"/>
          </w:tcPr>
          <w:p>
            <w:r>
              <w:rPr>
                <w:sz w:val="17"/>
              </w:rPr>
              <w:t>22.0%</w:t>
            </w:r>
          </w:p>
        </w:tc>
        <w:tc>
          <w:tcPr>
            <w:tcW w:type="dxa" w:w="1176"/>
            <w:vAlign w:val="center"/>
          </w:tcPr>
          <w:p>
            <w:r>
              <w:rPr>
                <w:sz w:val="17"/>
              </w:rPr>
              <w:t>WIN</w:t>
            </w:r>
          </w:p>
        </w:tc>
      </w:tr>
      <w:tr>
        <w:tc>
          <w:tcPr>
            <w:tcW w:type="dxa" w:w="1176"/>
            <w:vAlign w:val="center"/>
          </w:tcPr>
          <w:p>
            <w:r>
              <w:rPr>
                <w:sz w:val="17"/>
              </w:rPr>
              <w:t>REGN</w:t>
            </w:r>
          </w:p>
        </w:tc>
        <w:tc>
          <w:tcPr>
            <w:tcW w:type="dxa" w:w="1176"/>
            <w:vAlign w:val="center"/>
          </w:tcPr>
          <w:p>
            <w:r>
              <w:rPr>
                <w:sz w:val="17"/>
              </w:rPr>
              <w:t>$1,241,002</w:t>
            </w:r>
          </w:p>
        </w:tc>
        <w:tc>
          <w:tcPr>
            <w:tcW w:type="dxa" w:w="1176"/>
            <w:vAlign w:val="center"/>
          </w:tcPr>
          <w:p>
            <w:r>
              <w:rPr>
                <w:sz w:val="17"/>
              </w:rPr>
              <w:t>59.7%</w:t>
            </w:r>
          </w:p>
        </w:tc>
        <w:tc>
          <w:tcPr>
            <w:tcW w:type="dxa" w:w="1176"/>
            <w:vAlign w:val="center"/>
          </w:tcPr>
          <w:p>
            <w:r>
              <w:rPr>
                <w:sz w:val="17"/>
              </w:rPr>
              <w:t>$1,195,047</w:t>
            </w:r>
          </w:p>
        </w:tc>
        <w:tc>
          <w:tcPr>
            <w:tcW w:type="dxa" w:w="1176"/>
            <w:vAlign w:val="center"/>
          </w:tcPr>
          <w:p>
            <w:r>
              <w:rPr>
                <w:sz w:val="17"/>
              </w:rPr>
              <w:t>25.8%</w:t>
            </w:r>
          </w:p>
        </w:tc>
        <w:tc>
          <w:tcPr>
            <w:tcW w:type="dxa" w:w="1176"/>
            <w:vAlign w:val="center"/>
          </w:tcPr>
          <w:p>
            <w:r>
              <w:rPr>
                <w:sz w:val="17"/>
              </w:rPr>
              <w:t>$1,174,362</w:t>
            </w:r>
          </w:p>
        </w:tc>
        <w:tc>
          <w:tcPr>
            <w:tcW w:type="dxa" w:w="1176"/>
            <w:vAlign w:val="center"/>
          </w:tcPr>
          <w:p>
            <w:r>
              <w:rPr>
                <w:sz w:val="17"/>
              </w:rPr>
              <w:t>43.5%</w:t>
            </w:r>
          </w:p>
        </w:tc>
        <w:tc>
          <w:tcPr>
            <w:tcW w:type="dxa" w:w="1176"/>
            <w:vAlign w:val="center"/>
          </w:tcPr>
          <w:p>
            <w:r>
              <w:rPr>
                <w:sz w:val="17"/>
              </w:rPr>
              <w:t>LOSS</w:t>
            </w:r>
          </w:p>
        </w:tc>
      </w:tr>
      <w:tr>
        <w:tc>
          <w:tcPr>
            <w:tcW w:type="dxa" w:w="1176"/>
            <w:vAlign w:val="center"/>
          </w:tcPr>
          <w:p>
            <w:r>
              <w:rPr>
                <w:sz w:val="17"/>
              </w:rPr>
              <w:t>RY</w:t>
            </w:r>
          </w:p>
        </w:tc>
        <w:tc>
          <w:tcPr>
            <w:tcW w:type="dxa" w:w="1176"/>
            <w:vAlign w:val="center"/>
          </w:tcPr>
          <w:p>
            <w:r>
              <w:rPr>
                <w:sz w:val="17"/>
              </w:rPr>
              <w:t>$1,851,232</w:t>
            </w:r>
          </w:p>
        </w:tc>
        <w:tc>
          <w:tcPr>
            <w:tcW w:type="dxa" w:w="1176"/>
            <w:vAlign w:val="center"/>
          </w:tcPr>
          <w:p>
            <w:r>
              <w:rPr>
                <w:sz w:val="17"/>
              </w:rPr>
              <w:t>28.7%</w:t>
            </w:r>
          </w:p>
        </w:tc>
        <w:tc>
          <w:tcPr>
            <w:tcW w:type="dxa" w:w="1176"/>
            <w:vAlign w:val="center"/>
          </w:tcPr>
          <w:p>
            <w:r>
              <w:rPr>
                <w:sz w:val="17"/>
              </w:rPr>
              <w:t>$1,390,211</w:t>
            </w:r>
          </w:p>
        </w:tc>
        <w:tc>
          <w:tcPr>
            <w:tcW w:type="dxa" w:w="1176"/>
            <w:vAlign w:val="center"/>
          </w:tcPr>
          <w:p>
            <w:r>
              <w:rPr>
                <w:sz w:val="17"/>
              </w:rPr>
              <w:t>34.4%</w:t>
            </w:r>
          </w:p>
        </w:tc>
        <w:tc>
          <w:tcPr>
            <w:tcW w:type="dxa" w:w="1176"/>
            <w:vAlign w:val="center"/>
          </w:tcPr>
          <w:p>
            <w:r>
              <w:rPr>
                <w:sz w:val="17"/>
              </w:rPr>
              <w:t>$1,789,403</w:t>
            </w:r>
          </w:p>
        </w:tc>
        <w:tc>
          <w:tcPr>
            <w:tcW w:type="dxa" w:w="1176"/>
            <w:vAlign w:val="center"/>
          </w:tcPr>
          <w:p>
            <w:r>
              <w:rPr>
                <w:sz w:val="17"/>
              </w:rPr>
              <w:t>23.0%</w:t>
            </w:r>
          </w:p>
        </w:tc>
        <w:tc>
          <w:tcPr>
            <w:tcW w:type="dxa" w:w="1176"/>
            <w:vAlign w:val="center"/>
          </w:tcPr>
          <w:p>
            <w:r>
              <w:rPr>
                <w:sz w:val="17"/>
              </w:rPr>
              <w:t>LOSS</w:t>
            </w:r>
          </w:p>
        </w:tc>
      </w:tr>
      <w:tr>
        <w:tc>
          <w:tcPr>
            <w:tcW w:type="dxa" w:w="1176"/>
            <w:vAlign w:val="center"/>
          </w:tcPr>
          <w:p>
            <w:r>
              <w:rPr>
                <w:sz w:val="17"/>
              </w:rPr>
              <w:t>RYTM</w:t>
            </w:r>
          </w:p>
        </w:tc>
        <w:tc>
          <w:tcPr>
            <w:tcW w:type="dxa" w:w="1176"/>
            <w:vAlign w:val="center"/>
          </w:tcPr>
          <w:p>
            <w:r>
              <w:rPr>
                <w:sz w:val="17"/>
              </w:rPr>
              <w:t>$10,005,623</w:t>
            </w:r>
          </w:p>
        </w:tc>
        <w:tc>
          <w:tcPr>
            <w:tcW w:type="dxa" w:w="1176"/>
            <w:vAlign w:val="center"/>
          </w:tcPr>
          <w:p>
            <w:r>
              <w:rPr>
                <w:sz w:val="17"/>
              </w:rPr>
              <w:t>74.5%</w:t>
            </w:r>
          </w:p>
        </w:tc>
        <w:tc>
          <w:tcPr>
            <w:tcW w:type="dxa" w:w="1176"/>
            <w:vAlign w:val="center"/>
          </w:tcPr>
          <w:p>
            <w:r>
              <w:rPr>
                <w:sz w:val="17"/>
              </w:rPr>
              <w:t>$5,537,072</w:t>
            </w:r>
          </w:p>
        </w:tc>
        <w:tc>
          <w:tcPr>
            <w:tcW w:type="dxa" w:w="1176"/>
            <w:vAlign w:val="center"/>
          </w:tcPr>
          <w:p>
            <w:r>
              <w:rPr>
                <w:sz w:val="17"/>
              </w:rPr>
              <w:t>50.3%</w:t>
            </w:r>
          </w:p>
        </w:tc>
        <w:tc>
          <w:tcPr>
            <w:tcW w:type="dxa" w:w="1176"/>
            <w:vAlign w:val="center"/>
          </w:tcPr>
          <w:p>
            <w:r>
              <w:rPr>
                <w:sz w:val="17"/>
              </w:rPr>
              <w:t>$10,691,117</w:t>
            </w:r>
          </w:p>
        </w:tc>
        <w:tc>
          <w:tcPr>
            <w:tcW w:type="dxa" w:w="1176"/>
            <w:vAlign w:val="center"/>
          </w:tcPr>
          <w:p>
            <w:r>
              <w:rPr>
                <w:sz w:val="17"/>
              </w:rPr>
              <w:t>54.1%</w:t>
            </w:r>
          </w:p>
        </w:tc>
        <w:tc>
          <w:tcPr>
            <w:tcW w:type="dxa" w:w="1176"/>
            <w:vAlign w:val="center"/>
          </w:tcPr>
          <w:p>
            <w:r>
              <w:rPr>
                <w:sz w:val="17"/>
              </w:rPr>
              <w:t>WIN</w:t>
            </w:r>
          </w:p>
        </w:tc>
      </w:tr>
      <w:tr>
        <w:tc>
          <w:tcPr>
            <w:tcW w:type="dxa" w:w="1176"/>
            <w:vAlign w:val="center"/>
          </w:tcPr>
          <w:p>
            <w:r>
              <w:rPr>
                <w:sz w:val="17"/>
              </w:rPr>
              <w:t>SAP</w:t>
            </w:r>
          </w:p>
        </w:tc>
        <w:tc>
          <w:tcPr>
            <w:tcW w:type="dxa" w:w="1176"/>
            <w:vAlign w:val="center"/>
          </w:tcPr>
          <w:p>
            <w:r>
              <w:rPr>
                <w:sz w:val="17"/>
              </w:rPr>
              <w:t>$1,849,457</w:t>
            </w:r>
          </w:p>
        </w:tc>
        <w:tc>
          <w:tcPr>
            <w:tcW w:type="dxa" w:w="1176"/>
            <w:vAlign w:val="center"/>
          </w:tcPr>
          <w:p>
            <w:r>
              <w:rPr>
                <w:sz w:val="17"/>
              </w:rPr>
              <w:t>42.4%</w:t>
            </w:r>
          </w:p>
        </w:tc>
        <w:tc>
          <w:tcPr>
            <w:tcW w:type="dxa" w:w="1176"/>
            <w:vAlign w:val="center"/>
          </w:tcPr>
          <w:p>
            <w:r>
              <w:rPr>
                <w:sz w:val="17"/>
              </w:rPr>
              <w:t>$1,620,711</w:t>
            </w:r>
          </w:p>
        </w:tc>
        <w:tc>
          <w:tcPr>
            <w:tcW w:type="dxa" w:w="1176"/>
            <w:vAlign w:val="center"/>
          </w:tcPr>
          <w:p>
            <w:r>
              <w:rPr>
                <w:sz w:val="17"/>
              </w:rPr>
              <w:t>26.2%</w:t>
            </w:r>
          </w:p>
        </w:tc>
        <w:tc>
          <w:tcPr>
            <w:tcW w:type="dxa" w:w="1176"/>
            <w:vAlign w:val="center"/>
          </w:tcPr>
          <w:p>
            <w:r>
              <w:rPr>
                <w:sz w:val="17"/>
              </w:rPr>
              <w:t>$2,149,748</w:t>
            </w:r>
          </w:p>
        </w:tc>
        <w:tc>
          <w:tcPr>
            <w:tcW w:type="dxa" w:w="1176"/>
            <w:vAlign w:val="center"/>
          </w:tcPr>
          <w:p>
            <w:r>
              <w:rPr>
                <w:sz w:val="17"/>
              </w:rPr>
              <w:t>25.3%</w:t>
            </w:r>
          </w:p>
        </w:tc>
        <w:tc>
          <w:tcPr>
            <w:tcW w:type="dxa" w:w="1176"/>
            <w:vAlign w:val="center"/>
          </w:tcPr>
          <w:p>
            <w:r>
              <w:rPr>
                <w:sz w:val="17"/>
              </w:rPr>
              <w:t>WIN</w:t>
            </w:r>
          </w:p>
        </w:tc>
      </w:tr>
      <w:tr>
        <w:tc>
          <w:tcPr>
            <w:tcW w:type="dxa" w:w="1176"/>
            <w:vAlign w:val="center"/>
          </w:tcPr>
          <w:p>
            <w:r>
              <w:rPr>
                <w:sz w:val="17"/>
              </w:rPr>
              <w:t>SCHB</w:t>
            </w:r>
          </w:p>
        </w:tc>
        <w:tc>
          <w:tcPr>
            <w:tcW w:type="dxa" w:w="1176"/>
            <w:vAlign w:val="center"/>
          </w:tcPr>
          <w:p>
            <w:r>
              <w:rPr>
                <w:sz w:val="17"/>
              </w:rPr>
              <w:t>$1,475,427</w:t>
            </w:r>
          </w:p>
        </w:tc>
        <w:tc>
          <w:tcPr>
            <w:tcW w:type="dxa" w:w="1176"/>
            <w:vAlign w:val="center"/>
          </w:tcPr>
          <w:p>
            <w:r>
              <w:rPr>
                <w:sz w:val="17"/>
              </w:rPr>
              <w:t>25.4%</w:t>
            </w:r>
          </w:p>
        </w:tc>
        <w:tc>
          <w:tcPr>
            <w:tcW w:type="dxa" w:w="1176"/>
            <w:vAlign w:val="center"/>
          </w:tcPr>
          <w:p>
            <w:r>
              <w:rPr>
                <w:sz w:val="17"/>
              </w:rPr>
              <w:t>$1,210,484</w:t>
            </w:r>
          </w:p>
        </w:tc>
        <w:tc>
          <w:tcPr>
            <w:tcW w:type="dxa" w:w="1176"/>
            <w:vAlign w:val="center"/>
          </w:tcPr>
          <w:p>
            <w:r>
              <w:rPr>
                <w:sz w:val="17"/>
              </w:rPr>
              <w:t>26.9%</w:t>
            </w:r>
          </w:p>
        </w:tc>
        <w:tc>
          <w:tcPr>
            <w:tcW w:type="dxa" w:w="1176"/>
            <w:vAlign w:val="center"/>
          </w:tcPr>
          <w:p>
            <w:r>
              <w:rPr>
                <w:sz w:val="17"/>
              </w:rPr>
              <w:t>$1,574,775</w:t>
            </w:r>
          </w:p>
        </w:tc>
        <w:tc>
          <w:tcPr>
            <w:tcW w:type="dxa" w:w="1176"/>
            <w:vAlign w:val="center"/>
          </w:tcPr>
          <w:p>
            <w:r>
              <w:rPr>
                <w:sz w:val="17"/>
              </w:rPr>
              <w:t>18.1%</w:t>
            </w:r>
          </w:p>
        </w:tc>
        <w:tc>
          <w:tcPr>
            <w:tcW w:type="dxa" w:w="1176"/>
            <w:vAlign w:val="center"/>
          </w:tcPr>
          <w:p>
            <w:r>
              <w:rPr>
                <w:sz w:val="17"/>
              </w:rPr>
              <w:t>WIN</w:t>
            </w:r>
          </w:p>
        </w:tc>
      </w:tr>
      <w:tr>
        <w:tc>
          <w:tcPr>
            <w:tcW w:type="dxa" w:w="1176"/>
            <w:vAlign w:val="center"/>
          </w:tcPr>
          <w:p>
            <w:r>
              <w:rPr>
                <w:sz w:val="17"/>
              </w:rPr>
              <w:t>SCHD</w:t>
            </w:r>
          </w:p>
        </w:tc>
        <w:tc>
          <w:tcPr>
            <w:tcW w:type="dxa" w:w="1176"/>
            <w:vAlign w:val="center"/>
          </w:tcPr>
          <w:p>
            <w:r>
              <w:rPr>
                <w:sz w:val="17"/>
              </w:rPr>
              <w:t>$1,187,232</w:t>
            </w:r>
          </w:p>
        </w:tc>
        <w:tc>
          <w:tcPr>
            <w:tcW w:type="dxa" w:w="1176"/>
            <w:vAlign w:val="center"/>
          </w:tcPr>
          <w:p>
            <w:r>
              <w:rPr>
                <w:sz w:val="17"/>
              </w:rPr>
              <w:t>16.8%</w:t>
            </w:r>
          </w:p>
        </w:tc>
        <w:tc>
          <w:tcPr>
            <w:tcW w:type="dxa" w:w="1176"/>
            <w:vAlign w:val="center"/>
          </w:tcPr>
          <w:p>
            <w:r>
              <w:rPr>
                <w:sz w:val="17"/>
              </w:rPr>
              <w:t>$1,086,841</w:t>
            </w:r>
          </w:p>
        </w:tc>
        <w:tc>
          <w:tcPr>
            <w:tcW w:type="dxa" w:w="1176"/>
            <w:vAlign w:val="center"/>
          </w:tcPr>
          <w:p>
            <w:r>
              <w:rPr>
                <w:sz w:val="17"/>
              </w:rPr>
              <w:t>19.5%</w:t>
            </w:r>
          </w:p>
        </w:tc>
        <w:tc>
          <w:tcPr>
            <w:tcW w:type="dxa" w:w="1176"/>
            <w:vAlign w:val="center"/>
          </w:tcPr>
          <w:p>
            <w:r>
              <w:rPr>
                <w:sz w:val="17"/>
              </w:rPr>
              <w:t>$1,128,366</w:t>
            </w:r>
          </w:p>
        </w:tc>
        <w:tc>
          <w:tcPr>
            <w:tcW w:type="dxa" w:w="1176"/>
            <w:vAlign w:val="center"/>
          </w:tcPr>
          <w:p>
            <w:r>
              <w:rPr>
                <w:sz w:val="17"/>
              </w:rPr>
              <w:t>12.2%</w:t>
            </w:r>
          </w:p>
        </w:tc>
        <w:tc>
          <w:tcPr>
            <w:tcW w:type="dxa" w:w="1176"/>
            <w:vAlign w:val="center"/>
          </w:tcPr>
          <w:p>
            <w:r>
              <w:rPr>
                <w:sz w:val="17"/>
              </w:rPr>
              <w:t>LOSS</w:t>
            </w:r>
          </w:p>
        </w:tc>
      </w:tr>
      <w:tr>
        <w:tc>
          <w:tcPr>
            <w:tcW w:type="dxa" w:w="1176"/>
            <w:vAlign w:val="center"/>
          </w:tcPr>
          <w:p>
            <w:r>
              <w:rPr>
                <w:sz w:val="17"/>
              </w:rPr>
              <w:t>SCHF</w:t>
            </w:r>
          </w:p>
        </w:tc>
        <w:tc>
          <w:tcPr>
            <w:tcW w:type="dxa" w:w="1176"/>
            <w:vAlign w:val="center"/>
          </w:tcPr>
          <w:p>
            <w:r>
              <w:rPr>
                <w:sz w:val="17"/>
              </w:rPr>
              <w:t>$1,401,631</w:t>
            </w:r>
          </w:p>
        </w:tc>
        <w:tc>
          <w:tcPr>
            <w:tcW w:type="dxa" w:w="1176"/>
            <w:vAlign w:val="center"/>
          </w:tcPr>
          <w:p>
            <w:r>
              <w:rPr>
                <w:sz w:val="17"/>
              </w:rPr>
              <w:t>28.4%</w:t>
            </w:r>
          </w:p>
        </w:tc>
        <w:tc>
          <w:tcPr>
            <w:tcW w:type="dxa" w:w="1176"/>
            <w:vAlign w:val="center"/>
          </w:tcPr>
          <w:p>
            <w:r>
              <w:rPr>
                <w:sz w:val="17"/>
              </w:rPr>
              <w:t>$1,237,055</w:t>
            </w:r>
          </w:p>
        </w:tc>
        <w:tc>
          <w:tcPr>
            <w:tcW w:type="dxa" w:w="1176"/>
            <w:vAlign w:val="center"/>
          </w:tcPr>
          <w:p>
            <w:r>
              <w:rPr>
                <w:sz w:val="17"/>
              </w:rPr>
              <w:t>19.2%</w:t>
            </w:r>
          </w:p>
        </w:tc>
        <w:tc>
          <w:tcPr>
            <w:tcW w:type="dxa" w:w="1176"/>
            <w:vAlign w:val="center"/>
          </w:tcPr>
          <w:p>
            <w:r>
              <w:rPr>
                <w:sz w:val="17"/>
              </w:rPr>
              <w:t>$1,332,273</w:t>
            </w:r>
          </w:p>
        </w:tc>
        <w:tc>
          <w:tcPr>
            <w:tcW w:type="dxa" w:w="1176"/>
            <w:vAlign w:val="center"/>
          </w:tcPr>
          <w:p>
            <w:r>
              <w:rPr>
                <w:sz w:val="17"/>
              </w:rPr>
              <w:t>14.0%</w:t>
            </w:r>
          </w:p>
        </w:tc>
        <w:tc>
          <w:tcPr>
            <w:tcW w:type="dxa" w:w="1176"/>
            <w:vAlign w:val="center"/>
          </w:tcPr>
          <w:p>
            <w:r>
              <w:rPr>
                <w:sz w:val="17"/>
              </w:rPr>
              <w:t>LOSS</w:t>
            </w:r>
          </w:p>
        </w:tc>
      </w:tr>
      <w:tr>
        <w:tc>
          <w:tcPr>
            <w:tcW w:type="dxa" w:w="1176"/>
            <w:vAlign w:val="center"/>
          </w:tcPr>
          <w:p>
            <w:r>
              <w:rPr>
                <w:sz w:val="17"/>
              </w:rPr>
              <w:t>SCHG</w:t>
            </w:r>
          </w:p>
        </w:tc>
        <w:tc>
          <w:tcPr>
            <w:tcW w:type="dxa" w:w="1176"/>
            <w:vAlign w:val="center"/>
          </w:tcPr>
          <w:p>
            <w:r>
              <w:rPr>
                <w:sz w:val="17"/>
              </w:rPr>
              <w:t>$1,621,548</w:t>
            </w:r>
          </w:p>
        </w:tc>
        <w:tc>
          <w:tcPr>
            <w:tcW w:type="dxa" w:w="1176"/>
            <w:vAlign w:val="center"/>
          </w:tcPr>
          <w:p>
            <w:r>
              <w:rPr>
                <w:sz w:val="17"/>
              </w:rPr>
              <w:t>34.1%</w:t>
            </w:r>
          </w:p>
        </w:tc>
        <w:tc>
          <w:tcPr>
            <w:tcW w:type="dxa" w:w="1176"/>
            <w:vAlign w:val="center"/>
          </w:tcPr>
          <w:p>
            <w:r>
              <w:rPr>
                <w:sz w:val="17"/>
              </w:rPr>
              <w:t>$1,415,696</w:t>
            </w:r>
          </w:p>
        </w:tc>
        <w:tc>
          <w:tcPr>
            <w:tcW w:type="dxa" w:w="1176"/>
            <w:vAlign w:val="center"/>
          </w:tcPr>
          <w:p>
            <w:r>
              <w:rPr>
                <w:sz w:val="17"/>
              </w:rPr>
              <w:t>30.9%</w:t>
            </w:r>
          </w:p>
        </w:tc>
        <w:tc>
          <w:tcPr>
            <w:tcW w:type="dxa" w:w="1176"/>
            <w:vAlign w:val="center"/>
          </w:tcPr>
          <w:p>
            <w:r>
              <w:rPr>
                <w:sz w:val="17"/>
              </w:rPr>
              <w:t>$1,743,692</w:t>
            </w:r>
          </w:p>
        </w:tc>
        <w:tc>
          <w:tcPr>
            <w:tcW w:type="dxa" w:w="1176"/>
            <w:vAlign w:val="center"/>
          </w:tcPr>
          <w:p>
            <w:r>
              <w:rPr>
                <w:sz w:val="17"/>
              </w:rPr>
              <w:t>21.9%</w:t>
            </w:r>
          </w:p>
        </w:tc>
        <w:tc>
          <w:tcPr>
            <w:tcW w:type="dxa" w:w="1176"/>
            <w:vAlign w:val="center"/>
          </w:tcPr>
          <w:p>
            <w:r>
              <w:rPr>
                <w:sz w:val="17"/>
              </w:rPr>
              <w:t>WIN</w:t>
            </w:r>
          </w:p>
        </w:tc>
      </w:tr>
      <w:tr>
        <w:tc>
          <w:tcPr>
            <w:tcW w:type="dxa" w:w="1176"/>
            <w:vAlign w:val="center"/>
          </w:tcPr>
          <w:p>
            <w:r>
              <w:rPr>
                <w:sz w:val="17"/>
              </w:rPr>
              <w:t>SCHK</w:t>
            </w:r>
          </w:p>
        </w:tc>
        <w:tc>
          <w:tcPr>
            <w:tcW w:type="dxa" w:w="1176"/>
            <w:vAlign w:val="center"/>
          </w:tcPr>
          <w:p>
            <w:r>
              <w:rPr>
                <w:sz w:val="17"/>
              </w:rPr>
              <w:t>$1,492,056</w:t>
            </w:r>
          </w:p>
        </w:tc>
        <w:tc>
          <w:tcPr>
            <w:tcW w:type="dxa" w:w="1176"/>
            <w:vAlign w:val="center"/>
          </w:tcPr>
          <w:p>
            <w:r>
              <w:rPr>
                <w:sz w:val="17"/>
              </w:rPr>
              <w:t>25.4%</w:t>
            </w:r>
          </w:p>
        </w:tc>
        <w:tc>
          <w:tcPr>
            <w:tcW w:type="dxa" w:w="1176"/>
            <w:vAlign w:val="center"/>
          </w:tcPr>
          <w:p>
            <w:r>
              <w:rPr>
                <w:sz w:val="17"/>
              </w:rPr>
              <w:t>$1,191,714</w:t>
            </w:r>
          </w:p>
        </w:tc>
        <w:tc>
          <w:tcPr>
            <w:tcW w:type="dxa" w:w="1176"/>
            <w:vAlign w:val="center"/>
          </w:tcPr>
          <w:p>
            <w:r>
              <w:rPr>
                <w:sz w:val="17"/>
              </w:rPr>
              <w:t>26.2%</w:t>
            </w:r>
          </w:p>
        </w:tc>
        <w:tc>
          <w:tcPr>
            <w:tcW w:type="dxa" w:w="1176"/>
            <w:vAlign w:val="center"/>
          </w:tcPr>
          <w:p>
            <w:r>
              <w:rPr>
                <w:sz w:val="17"/>
              </w:rPr>
              <w:t>$1,603,958</w:t>
            </w:r>
          </w:p>
        </w:tc>
        <w:tc>
          <w:tcPr>
            <w:tcW w:type="dxa" w:w="1176"/>
            <w:vAlign w:val="center"/>
          </w:tcPr>
          <w:p>
            <w:r>
              <w:rPr>
                <w:sz w:val="17"/>
              </w:rPr>
              <w:t>18.7%</w:t>
            </w:r>
          </w:p>
        </w:tc>
        <w:tc>
          <w:tcPr>
            <w:tcW w:type="dxa" w:w="1176"/>
            <w:vAlign w:val="center"/>
          </w:tcPr>
          <w:p>
            <w:r>
              <w:rPr>
                <w:sz w:val="17"/>
              </w:rPr>
              <w:t>WIN</w:t>
            </w:r>
          </w:p>
        </w:tc>
      </w:tr>
      <w:tr>
        <w:tc>
          <w:tcPr>
            <w:tcW w:type="dxa" w:w="1176"/>
            <w:vAlign w:val="center"/>
          </w:tcPr>
          <w:p>
            <w:r>
              <w:rPr>
                <w:sz w:val="17"/>
              </w:rPr>
              <w:t>SCHV</w:t>
            </w:r>
          </w:p>
        </w:tc>
        <w:tc>
          <w:tcPr>
            <w:tcW w:type="dxa" w:w="1176"/>
            <w:vAlign w:val="center"/>
          </w:tcPr>
          <w:p>
            <w:r>
              <w:rPr>
                <w:sz w:val="17"/>
              </w:rPr>
              <w:t>$1,339,155</w:t>
            </w:r>
          </w:p>
        </w:tc>
        <w:tc>
          <w:tcPr>
            <w:tcW w:type="dxa" w:w="1176"/>
            <w:vAlign w:val="center"/>
          </w:tcPr>
          <w:p>
            <w:r>
              <w:rPr>
                <w:sz w:val="17"/>
              </w:rPr>
              <w:t>19.8%</w:t>
            </w:r>
          </w:p>
        </w:tc>
        <w:tc>
          <w:tcPr>
            <w:tcW w:type="dxa" w:w="1176"/>
            <w:vAlign w:val="center"/>
          </w:tcPr>
          <w:p>
            <w:r>
              <w:rPr>
                <w:sz w:val="17"/>
              </w:rPr>
              <w:t>$1,063,899</w:t>
            </w:r>
          </w:p>
        </w:tc>
        <w:tc>
          <w:tcPr>
            <w:tcW w:type="dxa" w:w="1176"/>
            <w:vAlign w:val="center"/>
          </w:tcPr>
          <w:p>
            <w:r>
              <w:rPr>
                <w:sz w:val="17"/>
              </w:rPr>
              <w:t>20.8%</w:t>
            </w:r>
          </w:p>
        </w:tc>
        <w:tc>
          <w:tcPr>
            <w:tcW w:type="dxa" w:w="1176"/>
            <w:vAlign w:val="center"/>
          </w:tcPr>
          <w:p>
            <w:r>
              <w:rPr>
                <w:sz w:val="17"/>
              </w:rPr>
              <w:t>$1,268,313</w:t>
            </w:r>
          </w:p>
        </w:tc>
        <w:tc>
          <w:tcPr>
            <w:tcW w:type="dxa" w:w="1176"/>
            <w:vAlign w:val="center"/>
          </w:tcPr>
          <w:p>
            <w:r>
              <w:rPr>
                <w:sz w:val="17"/>
              </w:rPr>
              <w:t>13.9%</w:t>
            </w:r>
          </w:p>
        </w:tc>
        <w:tc>
          <w:tcPr>
            <w:tcW w:type="dxa" w:w="1176"/>
            <w:vAlign w:val="center"/>
          </w:tcPr>
          <w:p>
            <w:r>
              <w:rPr>
                <w:sz w:val="17"/>
              </w:rPr>
              <w:t>LOSS</w:t>
            </w:r>
          </w:p>
        </w:tc>
      </w:tr>
      <w:tr>
        <w:tc>
          <w:tcPr>
            <w:tcW w:type="dxa" w:w="1176"/>
            <w:vAlign w:val="center"/>
          </w:tcPr>
          <w:p>
            <w:r>
              <w:rPr>
                <w:sz w:val="17"/>
              </w:rPr>
              <w:t>SCHW</w:t>
            </w:r>
          </w:p>
        </w:tc>
        <w:tc>
          <w:tcPr>
            <w:tcW w:type="dxa" w:w="1176"/>
            <w:vAlign w:val="center"/>
          </w:tcPr>
          <w:p>
            <w:r>
              <w:rPr>
                <w:sz w:val="17"/>
              </w:rPr>
              <w:t>$1,238,459</w:t>
            </w:r>
          </w:p>
        </w:tc>
        <w:tc>
          <w:tcPr>
            <w:tcW w:type="dxa" w:w="1176"/>
            <w:vAlign w:val="center"/>
          </w:tcPr>
          <w:p>
            <w:r>
              <w:rPr>
                <w:sz w:val="17"/>
              </w:rPr>
              <w:t>49.7%</w:t>
            </w:r>
          </w:p>
        </w:tc>
        <w:tc>
          <w:tcPr>
            <w:tcW w:type="dxa" w:w="1176"/>
            <w:vAlign w:val="center"/>
          </w:tcPr>
          <w:p>
            <w:r>
              <w:rPr>
                <w:sz w:val="17"/>
              </w:rPr>
              <w:t>$1,147,061</w:t>
            </w:r>
          </w:p>
        </w:tc>
        <w:tc>
          <w:tcPr>
            <w:tcW w:type="dxa" w:w="1176"/>
            <w:vAlign w:val="center"/>
          </w:tcPr>
          <w:p>
            <w:r>
              <w:rPr>
                <w:sz w:val="17"/>
              </w:rPr>
              <w:t>24.8%</w:t>
            </w:r>
          </w:p>
        </w:tc>
        <w:tc>
          <w:tcPr>
            <w:tcW w:type="dxa" w:w="1176"/>
            <w:vAlign w:val="center"/>
          </w:tcPr>
          <w:p>
            <w:r>
              <w:rPr>
                <w:sz w:val="17"/>
              </w:rPr>
              <w:t>$1,192,992</w:t>
            </w:r>
          </w:p>
        </w:tc>
        <w:tc>
          <w:tcPr>
            <w:tcW w:type="dxa" w:w="1176"/>
            <w:vAlign w:val="center"/>
          </w:tcPr>
          <w:p>
            <w:r>
              <w:rPr>
                <w:sz w:val="17"/>
              </w:rPr>
              <w:t>33.0%</w:t>
            </w:r>
          </w:p>
        </w:tc>
        <w:tc>
          <w:tcPr>
            <w:tcW w:type="dxa" w:w="1176"/>
            <w:vAlign w:val="center"/>
          </w:tcPr>
          <w:p>
            <w:r>
              <w:rPr>
                <w:sz w:val="17"/>
              </w:rPr>
              <w:t>LOSS</w:t>
            </w:r>
          </w:p>
        </w:tc>
      </w:tr>
      <w:tr>
        <w:tc>
          <w:tcPr>
            <w:tcW w:type="dxa" w:w="1176"/>
            <w:vAlign w:val="center"/>
          </w:tcPr>
          <w:p>
            <w:r>
              <w:rPr>
                <w:sz w:val="17"/>
              </w:rPr>
              <w:t>SLV</w:t>
            </w:r>
          </w:p>
        </w:tc>
        <w:tc>
          <w:tcPr>
            <w:tcW w:type="dxa" w:w="1176"/>
            <w:vAlign w:val="center"/>
          </w:tcPr>
          <w:p>
            <w:r>
              <w:rPr>
                <w:sz w:val="17"/>
              </w:rPr>
              <w:t>$3,256,846</w:t>
            </w:r>
          </w:p>
        </w:tc>
        <w:tc>
          <w:tcPr>
            <w:tcW w:type="dxa" w:w="1176"/>
            <w:vAlign w:val="center"/>
          </w:tcPr>
          <w:p>
            <w:r>
              <w:rPr>
                <w:sz w:val="17"/>
              </w:rPr>
              <w:t>33.0%</w:t>
            </w:r>
          </w:p>
        </w:tc>
        <w:tc>
          <w:tcPr>
            <w:tcW w:type="dxa" w:w="1176"/>
            <w:vAlign w:val="center"/>
          </w:tcPr>
          <w:p>
            <w:r>
              <w:rPr>
                <w:sz w:val="17"/>
              </w:rPr>
              <w:t>$2,066,946</w:t>
            </w:r>
          </w:p>
        </w:tc>
        <w:tc>
          <w:tcPr>
            <w:tcW w:type="dxa" w:w="1176"/>
            <w:vAlign w:val="center"/>
          </w:tcPr>
          <w:p>
            <w:r>
              <w:rPr>
                <w:sz w:val="17"/>
              </w:rPr>
              <w:t>28.9%</w:t>
            </w:r>
          </w:p>
        </w:tc>
        <w:tc>
          <w:tcPr>
            <w:tcW w:type="dxa" w:w="1176"/>
            <w:vAlign w:val="center"/>
          </w:tcPr>
          <w:p>
            <w:r>
              <w:rPr>
                <w:sz w:val="17"/>
              </w:rPr>
              <w:t>$3,010,715</w:t>
            </w:r>
          </w:p>
        </w:tc>
        <w:tc>
          <w:tcPr>
            <w:tcW w:type="dxa" w:w="1176"/>
            <w:vAlign w:val="center"/>
          </w:tcPr>
          <w:p>
            <w:r>
              <w:rPr>
                <w:sz w:val="17"/>
              </w:rPr>
              <w:t>24.5%</w:t>
            </w:r>
          </w:p>
        </w:tc>
        <w:tc>
          <w:tcPr>
            <w:tcW w:type="dxa" w:w="1176"/>
            <w:vAlign w:val="center"/>
          </w:tcPr>
          <w:p>
            <w:r>
              <w:rPr>
                <w:sz w:val="17"/>
              </w:rPr>
              <w:t>LOSS</w:t>
            </w:r>
          </w:p>
        </w:tc>
      </w:tr>
      <w:tr>
        <w:tc>
          <w:tcPr>
            <w:tcW w:type="dxa" w:w="1176"/>
            <w:vAlign w:val="center"/>
          </w:tcPr>
          <w:p>
            <w:r>
              <w:rPr>
                <w:sz w:val="17"/>
              </w:rPr>
              <w:t>SNY</w:t>
            </w:r>
          </w:p>
        </w:tc>
        <w:tc>
          <w:tcPr>
            <w:tcW w:type="dxa" w:w="1176"/>
            <w:vAlign w:val="center"/>
          </w:tcPr>
          <w:p>
            <w:r>
              <w:rPr>
                <w:sz w:val="17"/>
              </w:rPr>
              <w:t>$1,128,776</w:t>
            </w:r>
          </w:p>
        </w:tc>
        <w:tc>
          <w:tcPr>
            <w:tcW w:type="dxa" w:w="1176"/>
            <w:vAlign w:val="center"/>
          </w:tcPr>
          <w:p>
            <w:r>
              <w:rPr>
                <w:sz w:val="17"/>
              </w:rPr>
              <w:t>33.5%</w:t>
            </w:r>
          </w:p>
        </w:tc>
        <w:tc>
          <w:tcPr>
            <w:tcW w:type="dxa" w:w="1176"/>
            <w:vAlign w:val="center"/>
          </w:tcPr>
          <w:p>
            <w:r>
              <w:rPr>
                <w:sz w:val="17"/>
              </w:rPr>
              <w:t>$807,651</w:t>
            </w:r>
          </w:p>
        </w:tc>
        <w:tc>
          <w:tcPr>
            <w:tcW w:type="dxa" w:w="1176"/>
            <w:vAlign w:val="center"/>
          </w:tcPr>
          <w:p>
            <w:r>
              <w:rPr>
                <w:sz w:val="17"/>
              </w:rPr>
              <w:t>35.6%</w:t>
            </w:r>
          </w:p>
        </w:tc>
        <w:tc>
          <w:tcPr>
            <w:tcW w:type="dxa" w:w="1176"/>
            <w:vAlign w:val="center"/>
          </w:tcPr>
          <w:p>
            <w:r>
              <w:rPr>
                <w:sz w:val="17"/>
              </w:rPr>
              <w:t>$1,040,064</w:t>
            </w:r>
          </w:p>
        </w:tc>
        <w:tc>
          <w:tcPr>
            <w:tcW w:type="dxa" w:w="1176"/>
            <w:vAlign w:val="center"/>
          </w:tcPr>
          <w:p>
            <w:r>
              <w:rPr>
                <w:sz w:val="17"/>
              </w:rPr>
              <w:t>9.8%</w:t>
            </w:r>
          </w:p>
        </w:tc>
        <w:tc>
          <w:tcPr>
            <w:tcW w:type="dxa" w:w="1176"/>
            <w:vAlign w:val="center"/>
          </w:tcPr>
          <w:p>
            <w:r>
              <w:rPr>
                <w:sz w:val="17"/>
              </w:rPr>
              <w:t>LOSS</w:t>
            </w:r>
          </w:p>
        </w:tc>
      </w:tr>
      <w:tr>
        <w:tc>
          <w:tcPr>
            <w:tcW w:type="dxa" w:w="1176"/>
            <w:vAlign w:val="center"/>
          </w:tcPr>
          <w:p>
            <w:r>
              <w:rPr>
                <w:sz w:val="17"/>
              </w:rPr>
              <w:t>SPOT</w:t>
            </w:r>
          </w:p>
        </w:tc>
        <w:tc>
          <w:tcPr>
            <w:tcW w:type="dxa" w:w="1176"/>
            <w:vAlign w:val="center"/>
          </w:tcPr>
          <w:p>
            <w:r>
              <w:rPr>
                <w:sz w:val="17"/>
              </w:rPr>
              <w:t>$2,361,894</w:t>
            </w:r>
          </w:p>
        </w:tc>
        <w:tc>
          <w:tcPr>
            <w:tcW w:type="dxa" w:w="1176"/>
            <w:vAlign w:val="center"/>
          </w:tcPr>
          <w:p>
            <w:r>
              <w:rPr>
                <w:sz w:val="17"/>
              </w:rPr>
              <w:t>70.9%</w:t>
            </w:r>
          </w:p>
        </w:tc>
        <w:tc>
          <w:tcPr>
            <w:tcW w:type="dxa" w:w="1176"/>
            <w:vAlign w:val="center"/>
          </w:tcPr>
          <w:p>
            <w:r>
              <w:rPr>
                <w:sz w:val="17"/>
              </w:rPr>
              <w:t>$4,119,711</w:t>
            </w:r>
          </w:p>
        </w:tc>
        <w:tc>
          <w:tcPr>
            <w:tcW w:type="dxa" w:w="1176"/>
            <w:vAlign w:val="center"/>
          </w:tcPr>
          <w:p>
            <w:r>
              <w:rPr>
                <w:sz w:val="17"/>
              </w:rPr>
              <w:t>25.5%</w:t>
            </w:r>
          </w:p>
        </w:tc>
        <w:tc>
          <w:tcPr>
            <w:tcW w:type="dxa" w:w="1176"/>
            <w:vAlign w:val="center"/>
          </w:tcPr>
          <w:p>
            <w:r>
              <w:rPr>
                <w:sz w:val="17"/>
              </w:rPr>
              <w:t>$3,900,635</w:t>
            </w:r>
          </w:p>
        </w:tc>
        <w:tc>
          <w:tcPr>
            <w:tcW w:type="dxa" w:w="1176"/>
            <w:vAlign w:val="center"/>
          </w:tcPr>
          <w:p>
            <w:r>
              <w:rPr>
                <w:sz w:val="17"/>
              </w:rPr>
              <w:t>31.7%</w:t>
            </w:r>
          </w:p>
        </w:tc>
        <w:tc>
          <w:tcPr>
            <w:tcW w:type="dxa" w:w="1176"/>
            <w:vAlign w:val="center"/>
          </w:tcPr>
          <w:p>
            <w:r>
              <w:rPr>
                <w:sz w:val="17"/>
              </w:rPr>
              <w:t>WIN</w:t>
            </w:r>
          </w:p>
        </w:tc>
      </w:tr>
      <w:tr>
        <w:tc>
          <w:tcPr>
            <w:tcW w:type="dxa" w:w="1176"/>
            <w:vAlign w:val="center"/>
          </w:tcPr>
          <w:p>
            <w:r>
              <w:rPr>
                <w:sz w:val="17"/>
              </w:rPr>
              <w:t>SPY</w:t>
            </w:r>
          </w:p>
        </w:tc>
        <w:tc>
          <w:tcPr>
            <w:tcW w:type="dxa" w:w="1176"/>
            <w:vAlign w:val="center"/>
          </w:tcPr>
          <w:p>
            <w:r>
              <w:rPr>
                <w:sz w:val="17"/>
              </w:rPr>
              <w:t>$1,520,354</w:t>
            </w:r>
          </w:p>
        </w:tc>
        <w:tc>
          <w:tcPr>
            <w:tcW w:type="dxa" w:w="1176"/>
            <w:vAlign w:val="center"/>
          </w:tcPr>
          <w:p>
            <w:r>
              <w:rPr>
                <w:sz w:val="17"/>
              </w:rPr>
              <w:t>24.5%</w:t>
            </w:r>
          </w:p>
        </w:tc>
        <w:tc>
          <w:tcPr>
            <w:tcW w:type="dxa" w:w="1176"/>
            <w:vAlign w:val="center"/>
          </w:tcPr>
          <w:p>
            <w:r>
              <w:rPr>
                <w:sz w:val="17"/>
              </w:rPr>
              <w:t>$1,233,202</w:t>
            </w:r>
          </w:p>
        </w:tc>
        <w:tc>
          <w:tcPr>
            <w:tcW w:type="dxa" w:w="1176"/>
            <w:vAlign w:val="center"/>
          </w:tcPr>
          <w:p>
            <w:r>
              <w:rPr>
                <w:sz w:val="17"/>
              </w:rPr>
              <w:t>25.2%</w:t>
            </w:r>
          </w:p>
        </w:tc>
        <w:tc>
          <w:tcPr>
            <w:tcW w:type="dxa" w:w="1176"/>
            <w:vAlign w:val="center"/>
          </w:tcPr>
          <w:p>
            <w:r>
              <w:rPr>
                <w:sz w:val="17"/>
              </w:rPr>
              <w:t>$1,610,579</w:t>
            </w:r>
          </w:p>
        </w:tc>
        <w:tc>
          <w:tcPr>
            <w:tcW w:type="dxa" w:w="1176"/>
            <w:vAlign w:val="center"/>
          </w:tcPr>
          <w:p>
            <w:r>
              <w:rPr>
                <w:sz w:val="17"/>
              </w:rPr>
              <w:t>17.9%</w:t>
            </w:r>
          </w:p>
        </w:tc>
        <w:tc>
          <w:tcPr>
            <w:tcW w:type="dxa" w:w="1176"/>
            <w:vAlign w:val="center"/>
          </w:tcPr>
          <w:p>
            <w:r>
              <w:rPr>
                <w:sz w:val="17"/>
              </w:rPr>
              <w:t>WIN</w:t>
            </w:r>
          </w:p>
        </w:tc>
      </w:tr>
      <w:tr>
        <w:tc>
          <w:tcPr>
            <w:tcW w:type="dxa" w:w="1176"/>
            <w:vAlign w:val="center"/>
          </w:tcPr>
          <w:p>
            <w:r>
              <w:rPr>
                <w:sz w:val="17"/>
              </w:rPr>
              <w:t>SPYG</w:t>
            </w:r>
          </w:p>
        </w:tc>
        <w:tc>
          <w:tcPr>
            <w:tcW w:type="dxa" w:w="1176"/>
            <w:vAlign w:val="center"/>
          </w:tcPr>
          <w:p>
            <w:r>
              <w:rPr>
                <w:sz w:val="17"/>
              </w:rPr>
              <w:t>$1,523,258</w:t>
            </w:r>
          </w:p>
        </w:tc>
        <w:tc>
          <w:tcPr>
            <w:tcW w:type="dxa" w:w="1176"/>
            <w:vAlign w:val="center"/>
          </w:tcPr>
          <w:p>
            <w:r>
              <w:rPr>
                <w:sz w:val="17"/>
              </w:rPr>
              <w:t>32.3%</w:t>
            </w:r>
          </w:p>
        </w:tc>
        <w:tc>
          <w:tcPr>
            <w:tcW w:type="dxa" w:w="1176"/>
            <w:vAlign w:val="center"/>
          </w:tcPr>
          <w:p>
            <w:r>
              <w:rPr>
                <w:sz w:val="17"/>
              </w:rPr>
              <w:t>$1,299,160</w:t>
            </w:r>
          </w:p>
        </w:tc>
        <w:tc>
          <w:tcPr>
            <w:tcW w:type="dxa" w:w="1176"/>
            <w:vAlign w:val="center"/>
          </w:tcPr>
          <w:p>
            <w:r>
              <w:rPr>
                <w:sz w:val="17"/>
              </w:rPr>
              <w:t>30.5%</w:t>
            </w:r>
          </w:p>
        </w:tc>
        <w:tc>
          <w:tcPr>
            <w:tcW w:type="dxa" w:w="1176"/>
            <w:vAlign w:val="center"/>
          </w:tcPr>
          <w:p>
            <w:r>
              <w:rPr>
                <w:sz w:val="17"/>
              </w:rPr>
              <w:t>$1,681,168</w:t>
            </w:r>
          </w:p>
        </w:tc>
        <w:tc>
          <w:tcPr>
            <w:tcW w:type="dxa" w:w="1176"/>
            <w:vAlign w:val="center"/>
          </w:tcPr>
          <w:p>
            <w:r>
              <w:rPr>
                <w:sz w:val="17"/>
              </w:rPr>
              <w:t>21.3%</w:t>
            </w:r>
          </w:p>
        </w:tc>
        <w:tc>
          <w:tcPr>
            <w:tcW w:type="dxa" w:w="1176"/>
            <w:vAlign w:val="center"/>
          </w:tcPr>
          <w:p>
            <w:r>
              <w:rPr>
                <w:sz w:val="17"/>
              </w:rPr>
              <w:t>WIN</w:t>
            </w:r>
          </w:p>
        </w:tc>
      </w:tr>
      <w:tr>
        <w:tc>
          <w:tcPr>
            <w:tcW w:type="dxa" w:w="1176"/>
            <w:vAlign w:val="center"/>
          </w:tcPr>
          <w:p>
            <w:r>
              <w:rPr>
                <w:sz w:val="17"/>
              </w:rPr>
              <w:t>SPYV</w:t>
            </w:r>
          </w:p>
        </w:tc>
        <w:tc>
          <w:tcPr>
            <w:tcW w:type="dxa" w:w="1176"/>
            <w:vAlign w:val="center"/>
          </w:tcPr>
          <w:p>
            <w:r>
              <w:rPr>
                <w:sz w:val="17"/>
              </w:rPr>
              <w:t>$1,474,247</w:t>
            </w:r>
          </w:p>
        </w:tc>
        <w:tc>
          <w:tcPr>
            <w:tcW w:type="dxa" w:w="1176"/>
            <w:vAlign w:val="center"/>
          </w:tcPr>
          <w:p>
            <w:r>
              <w:rPr>
                <w:sz w:val="17"/>
              </w:rPr>
              <w:t>17.9%</w:t>
            </w:r>
          </w:p>
        </w:tc>
        <w:tc>
          <w:tcPr>
            <w:tcW w:type="dxa" w:w="1176"/>
            <w:vAlign w:val="center"/>
          </w:tcPr>
          <w:p>
            <w:r>
              <w:rPr>
                <w:sz w:val="17"/>
              </w:rPr>
              <w:t>$1,042,406</w:t>
            </w:r>
          </w:p>
        </w:tc>
        <w:tc>
          <w:tcPr>
            <w:tcW w:type="dxa" w:w="1176"/>
            <w:vAlign w:val="center"/>
          </w:tcPr>
          <w:p>
            <w:r>
              <w:rPr>
                <w:sz w:val="17"/>
              </w:rPr>
              <w:t>18.2%</w:t>
            </w:r>
          </w:p>
        </w:tc>
        <w:tc>
          <w:tcPr>
            <w:tcW w:type="dxa" w:w="1176"/>
            <w:vAlign w:val="center"/>
          </w:tcPr>
          <w:p>
            <w:r>
              <w:rPr>
                <w:sz w:val="17"/>
              </w:rPr>
              <w:t>$1,358,076</w:t>
            </w:r>
          </w:p>
        </w:tc>
        <w:tc>
          <w:tcPr>
            <w:tcW w:type="dxa" w:w="1176"/>
            <w:vAlign w:val="center"/>
          </w:tcPr>
          <w:p>
            <w:r>
              <w:rPr>
                <w:sz w:val="17"/>
              </w:rPr>
              <w:t>14.5%</w:t>
            </w:r>
          </w:p>
        </w:tc>
        <w:tc>
          <w:tcPr>
            <w:tcW w:type="dxa" w:w="1176"/>
            <w:vAlign w:val="center"/>
          </w:tcPr>
          <w:p>
            <w:r>
              <w:rPr>
                <w:sz w:val="17"/>
              </w:rPr>
              <w:t>LOSS</w:t>
            </w:r>
          </w:p>
        </w:tc>
      </w:tr>
      <w:tr>
        <w:tc>
          <w:tcPr>
            <w:tcW w:type="dxa" w:w="1176"/>
            <w:vAlign w:val="center"/>
          </w:tcPr>
          <w:p>
            <w:r>
              <w:rPr>
                <w:sz w:val="17"/>
              </w:rPr>
              <w:t>SPYX</w:t>
            </w:r>
          </w:p>
        </w:tc>
        <w:tc>
          <w:tcPr>
            <w:tcW w:type="dxa" w:w="1176"/>
            <w:vAlign w:val="center"/>
          </w:tcPr>
          <w:p>
            <w:r>
              <w:rPr>
                <w:sz w:val="17"/>
              </w:rPr>
              <w:t>$1,505,991</w:t>
            </w:r>
          </w:p>
        </w:tc>
        <w:tc>
          <w:tcPr>
            <w:tcW w:type="dxa" w:w="1176"/>
            <w:vAlign w:val="center"/>
          </w:tcPr>
          <w:p>
            <w:r>
              <w:rPr>
                <w:sz w:val="17"/>
              </w:rPr>
              <w:t>26.1%</w:t>
            </w:r>
          </w:p>
        </w:tc>
        <w:tc>
          <w:tcPr>
            <w:tcW w:type="dxa" w:w="1176"/>
            <w:vAlign w:val="center"/>
          </w:tcPr>
          <w:p>
            <w:r>
              <w:rPr>
                <w:sz w:val="17"/>
              </w:rPr>
              <w:t>$1,231,689</w:t>
            </w:r>
          </w:p>
        </w:tc>
        <w:tc>
          <w:tcPr>
            <w:tcW w:type="dxa" w:w="1176"/>
            <w:vAlign w:val="center"/>
          </w:tcPr>
          <w:p>
            <w:r>
              <w:rPr>
                <w:sz w:val="17"/>
              </w:rPr>
              <w:t>25.9%</w:t>
            </w:r>
          </w:p>
        </w:tc>
        <w:tc>
          <w:tcPr>
            <w:tcW w:type="dxa" w:w="1176"/>
            <w:vAlign w:val="center"/>
          </w:tcPr>
          <w:p>
            <w:r>
              <w:rPr>
                <w:sz w:val="17"/>
              </w:rPr>
              <w:t>$1,612,745</w:t>
            </w:r>
          </w:p>
        </w:tc>
        <w:tc>
          <w:tcPr>
            <w:tcW w:type="dxa" w:w="1176"/>
            <w:vAlign w:val="center"/>
          </w:tcPr>
          <w:p>
            <w:r>
              <w:rPr>
                <w:sz w:val="17"/>
              </w:rPr>
              <w:t>18.7%</w:t>
            </w:r>
          </w:p>
        </w:tc>
        <w:tc>
          <w:tcPr>
            <w:tcW w:type="dxa" w:w="1176"/>
            <w:vAlign w:val="center"/>
          </w:tcPr>
          <w:p>
            <w:r>
              <w:rPr>
                <w:sz w:val="17"/>
              </w:rPr>
              <w:t>WIN</w:t>
            </w:r>
          </w:p>
        </w:tc>
      </w:tr>
      <w:tr>
        <w:tc>
          <w:tcPr>
            <w:tcW w:type="dxa" w:w="1176"/>
            <w:vAlign w:val="center"/>
          </w:tcPr>
          <w:p>
            <w:r>
              <w:rPr>
                <w:sz w:val="17"/>
              </w:rPr>
              <w:t>TAN</w:t>
            </w:r>
          </w:p>
        </w:tc>
        <w:tc>
          <w:tcPr>
            <w:tcW w:type="dxa" w:w="1176"/>
            <w:vAlign w:val="center"/>
          </w:tcPr>
          <w:p>
            <w:r>
              <w:rPr>
                <w:sz w:val="17"/>
              </w:rPr>
              <w:t>$634,744</w:t>
            </w:r>
          </w:p>
        </w:tc>
        <w:tc>
          <w:tcPr>
            <w:tcW w:type="dxa" w:w="1176"/>
            <w:vAlign w:val="center"/>
          </w:tcPr>
          <w:p>
            <w:r>
              <w:rPr>
                <w:sz w:val="17"/>
              </w:rPr>
              <w:t>70.9%</w:t>
            </w:r>
          </w:p>
        </w:tc>
        <w:tc>
          <w:tcPr>
            <w:tcW w:type="dxa" w:w="1176"/>
            <w:vAlign w:val="center"/>
          </w:tcPr>
          <w:p>
            <w:r>
              <w:rPr>
                <w:sz w:val="17"/>
              </w:rPr>
              <w:t>$584,385</w:t>
            </w:r>
          </w:p>
        </w:tc>
        <w:tc>
          <w:tcPr>
            <w:tcW w:type="dxa" w:w="1176"/>
            <w:vAlign w:val="center"/>
          </w:tcPr>
          <w:p>
            <w:r>
              <w:rPr>
                <w:sz w:val="17"/>
              </w:rPr>
              <w:t>59.7%</w:t>
            </w:r>
          </w:p>
        </w:tc>
        <w:tc>
          <w:tcPr>
            <w:tcW w:type="dxa" w:w="1176"/>
            <w:vAlign w:val="center"/>
          </w:tcPr>
          <w:p>
            <w:r>
              <w:rPr>
                <w:sz w:val="17"/>
              </w:rPr>
              <w:t>$871,369</w:t>
            </w:r>
          </w:p>
        </w:tc>
        <w:tc>
          <w:tcPr>
            <w:tcW w:type="dxa" w:w="1176"/>
            <w:vAlign w:val="center"/>
          </w:tcPr>
          <w:p>
            <w:r>
              <w:rPr>
                <w:sz w:val="17"/>
              </w:rPr>
              <w:t>47.1%</w:t>
            </w:r>
          </w:p>
        </w:tc>
        <w:tc>
          <w:tcPr>
            <w:tcW w:type="dxa" w:w="1176"/>
            <w:vAlign w:val="center"/>
          </w:tcPr>
          <w:p>
            <w:r>
              <w:rPr>
                <w:sz w:val="17"/>
              </w:rPr>
              <w:t>WIN</w:t>
            </w:r>
          </w:p>
        </w:tc>
      </w:tr>
      <w:tr>
        <w:tc>
          <w:tcPr>
            <w:tcW w:type="dxa" w:w="1176"/>
            <w:vAlign w:val="center"/>
          </w:tcPr>
          <w:p>
            <w:r>
              <w:rPr>
                <w:sz w:val="17"/>
              </w:rPr>
              <w:t>TMUS</w:t>
            </w:r>
          </w:p>
        </w:tc>
        <w:tc>
          <w:tcPr>
            <w:tcW w:type="dxa" w:w="1176"/>
            <w:vAlign w:val="center"/>
          </w:tcPr>
          <w:p>
            <w:r>
              <w:rPr>
                <w:sz w:val="17"/>
              </w:rPr>
              <w:t>$1,843,485</w:t>
            </w:r>
          </w:p>
        </w:tc>
        <w:tc>
          <w:tcPr>
            <w:tcW w:type="dxa" w:w="1176"/>
            <w:vAlign w:val="center"/>
          </w:tcPr>
          <w:p>
            <w:r>
              <w:rPr>
                <w:sz w:val="17"/>
              </w:rPr>
              <w:t>27.6%</w:t>
            </w:r>
          </w:p>
        </w:tc>
        <w:tc>
          <w:tcPr>
            <w:tcW w:type="dxa" w:w="1176"/>
            <w:vAlign w:val="center"/>
          </w:tcPr>
          <w:p>
            <w:r>
              <w:rPr>
                <w:sz w:val="17"/>
              </w:rPr>
              <w:t>$1,085,376</w:t>
            </w:r>
          </w:p>
        </w:tc>
        <w:tc>
          <w:tcPr>
            <w:tcW w:type="dxa" w:w="1176"/>
            <w:vAlign w:val="center"/>
          </w:tcPr>
          <w:p>
            <w:r>
              <w:rPr>
                <w:sz w:val="17"/>
              </w:rPr>
              <w:t>28.0%</w:t>
            </w:r>
          </w:p>
        </w:tc>
        <w:tc>
          <w:tcPr>
            <w:tcW w:type="dxa" w:w="1176"/>
            <w:vAlign w:val="center"/>
          </w:tcPr>
          <w:p>
            <w:r>
              <w:rPr>
                <w:sz w:val="17"/>
              </w:rPr>
              <w:t>$1,737,397</w:t>
            </w:r>
          </w:p>
        </w:tc>
        <w:tc>
          <w:tcPr>
            <w:tcW w:type="dxa" w:w="1176"/>
            <w:vAlign w:val="center"/>
          </w:tcPr>
          <w:p>
            <w:r>
              <w:rPr>
                <w:sz w:val="17"/>
              </w:rPr>
              <w:t>27.6%</w:t>
            </w:r>
          </w:p>
        </w:tc>
        <w:tc>
          <w:tcPr>
            <w:tcW w:type="dxa" w:w="1176"/>
            <w:vAlign w:val="center"/>
          </w:tcPr>
          <w:p>
            <w:r>
              <w:rPr>
                <w:sz w:val="17"/>
              </w:rPr>
              <w:t>LOSS</w:t>
            </w:r>
          </w:p>
        </w:tc>
      </w:tr>
      <w:tr>
        <w:tc>
          <w:tcPr>
            <w:tcW w:type="dxa" w:w="1176"/>
            <w:vAlign w:val="center"/>
          </w:tcPr>
          <w:p>
            <w:r>
              <w:rPr>
                <w:sz w:val="17"/>
              </w:rPr>
              <w:t>TSLA</w:t>
            </w:r>
          </w:p>
        </w:tc>
        <w:tc>
          <w:tcPr>
            <w:tcW w:type="dxa" w:w="1176"/>
            <w:vAlign w:val="center"/>
          </w:tcPr>
          <w:p>
            <w:r>
              <w:rPr>
                <w:sz w:val="17"/>
              </w:rPr>
              <w:t>$1,136,283</w:t>
            </w:r>
          </w:p>
        </w:tc>
        <w:tc>
          <w:tcPr>
            <w:tcW w:type="dxa" w:w="1176"/>
            <w:vAlign w:val="center"/>
          </w:tcPr>
          <w:p>
            <w:r>
              <w:rPr>
                <w:sz w:val="17"/>
              </w:rPr>
              <w:t>73.0%</w:t>
            </w:r>
          </w:p>
        </w:tc>
        <w:tc>
          <w:tcPr>
            <w:tcW w:type="dxa" w:w="1176"/>
            <w:vAlign w:val="center"/>
          </w:tcPr>
          <w:p>
            <w:r>
              <w:rPr>
                <w:sz w:val="17"/>
              </w:rPr>
              <w:t>$702,896</w:t>
            </w:r>
          </w:p>
        </w:tc>
        <w:tc>
          <w:tcPr>
            <w:tcW w:type="dxa" w:w="1176"/>
            <w:vAlign w:val="center"/>
          </w:tcPr>
          <w:p>
            <w:r>
              <w:rPr>
                <w:sz w:val="17"/>
              </w:rPr>
              <w:t>58.2%</w:t>
            </w:r>
          </w:p>
        </w:tc>
        <w:tc>
          <w:tcPr>
            <w:tcW w:type="dxa" w:w="1176"/>
            <w:vAlign w:val="center"/>
          </w:tcPr>
          <w:p>
            <w:r>
              <w:rPr>
                <w:sz w:val="17"/>
              </w:rPr>
              <w:t>$1,186,176</w:t>
            </w:r>
          </w:p>
        </w:tc>
        <w:tc>
          <w:tcPr>
            <w:tcW w:type="dxa" w:w="1176"/>
            <w:vAlign w:val="center"/>
          </w:tcPr>
          <w:p>
            <w:r>
              <w:rPr>
                <w:sz w:val="17"/>
              </w:rPr>
              <w:t>24.4%</w:t>
            </w:r>
          </w:p>
        </w:tc>
        <w:tc>
          <w:tcPr>
            <w:tcW w:type="dxa" w:w="1176"/>
            <w:vAlign w:val="center"/>
          </w:tcPr>
          <w:p>
            <w:r>
              <w:rPr>
                <w:sz w:val="17"/>
              </w:rPr>
              <w:t>WIN</w:t>
            </w:r>
          </w:p>
        </w:tc>
      </w:tr>
      <w:tr>
        <w:tc>
          <w:tcPr>
            <w:tcW w:type="dxa" w:w="1176"/>
            <w:vAlign w:val="center"/>
          </w:tcPr>
          <w:p>
            <w:r>
              <w:rPr>
                <w:sz w:val="17"/>
              </w:rPr>
              <w:t>TSM</w:t>
            </w:r>
          </w:p>
        </w:tc>
        <w:tc>
          <w:tcPr>
            <w:tcW w:type="dxa" w:w="1176"/>
            <w:vAlign w:val="center"/>
          </w:tcPr>
          <w:p>
            <w:r>
              <w:rPr>
                <w:sz w:val="17"/>
              </w:rPr>
              <w:t>$2,489,716</w:t>
            </w:r>
          </w:p>
        </w:tc>
        <w:tc>
          <w:tcPr>
            <w:tcW w:type="dxa" w:w="1176"/>
            <w:vAlign w:val="center"/>
          </w:tcPr>
          <w:p>
            <w:r>
              <w:rPr>
                <w:sz w:val="17"/>
              </w:rPr>
              <w:t>56.5%</w:t>
            </w:r>
          </w:p>
        </w:tc>
        <w:tc>
          <w:tcPr>
            <w:tcW w:type="dxa" w:w="1176"/>
            <w:vAlign w:val="center"/>
          </w:tcPr>
          <w:p>
            <w:r>
              <w:rPr>
                <w:sz w:val="17"/>
              </w:rPr>
              <w:t>$1,938,002</w:t>
            </w:r>
          </w:p>
        </w:tc>
        <w:tc>
          <w:tcPr>
            <w:tcW w:type="dxa" w:w="1176"/>
            <w:vAlign w:val="center"/>
          </w:tcPr>
          <w:p>
            <w:r>
              <w:rPr>
                <w:sz w:val="17"/>
              </w:rPr>
              <w:t>25.5%</w:t>
            </w:r>
          </w:p>
        </w:tc>
        <w:tc>
          <w:tcPr>
            <w:tcW w:type="dxa" w:w="1176"/>
            <w:vAlign w:val="center"/>
          </w:tcPr>
          <w:p>
            <w:r>
              <w:rPr>
                <w:sz w:val="17"/>
              </w:rPr>
              <w:t>$2,941,876</w:t>
            </w:r>
          </w:p>
        </w:tc>
        <w:tc>
          <w:tcPr>
            <w:tcW w:type="dxa" w:w="1176"/>
            <w:vAlign w:val="center"/>
          </w:tcPr>
          <w:p>
            <w:r>
              <w:rPr>
                <w:sz w:val="17"/>
              </w:rPr>
              <w:t>37.0%</w:t>
            </w:r>
          </w:p>
        </w:tc>
        <w:tc>
          <w:tcPr>
            <w:tcW w:type="dxa" w:w="1176"/>
            <w:vAlign w:val="center"/>
          </w:tcPr>
          <w:p>
            <w:r>
              <w:rPr>
                <w:sz w:val="17"/>
              </w:rPr>
              <w:t>WIN</w:t>
            </w:r>
          </w:p>
        </w:tc>
      </w:tr>
      <w:tr>
        <w:tc>
          <w:tcPr>
            <w:tcW w:type="dxa" w:w="1176"/>
            <w:vAlign w:val="center"/>
          </w:tcPr>
          <w:p>
            <w:r>
              <w:rPr>
                <w:sz w:val="17"/>
              </w:rPr>
              <w:t>V</w:t>
            </w:r>
          </w:p>
        </w:tc>
        <w:tc>
          <w:tcPr>
            <w:tcW w:type="dxa" w:w="1176"/>
            <w:vAlign w:val="center"/>
          </w:tcPr>
          <w:p>
            <w:r>
              <w:rPr>
                <w:sz w:val="17"/>
              </w:rPr>
              <w:t>$1,645,845</w:t>
            </w:r>
          </w:p>
        </w:tc>
        <w:tc>
          <w:tcPr>
            <w:tcW w:type="dxa" w:w="1176"/>
            <w:vAlign w:val="center"/>
          </w:tcPr>
          <w:p>
            <w:r>
              <w:rPr>
                <w:sz w:val="17"/>
              </w:rPr>
              <w:t>24.1%</w:t>
            </w:r>
          </w:p>
        </w:tc>
        <w:tc>
          <w:tcPr>
            <w:tcW w:type="dxa" w:w="1176"/>
            <w:vAlign w:val="center"/>
          </w:tcPr>
          <w:p>
            <w:r>
              <w:rPr>
                <w:sz w:val="17"/>
              </w:rPr>
              <w:t>$906,667</w:t>
            </w:r>
          </w:p>
        </w:tc>
        <w:tc>
          <w:tcPr>
            <w:tcW w:type="dxa" w:w="1176"/>
            <w:vAlign w:val="center"/>
          </w:tcPr>
          <w:p>
            <w:r>
              <w:rPr>
                <w:sz w:val="17"/>
              </w:rPr>
              <w:t>29.2%</w:t>
            </w:r>
          </w:p>
        </w:tc>
        <w:tc>
          <w:tcPr>
            <w:tcW w:type="dxa" w:w="1176"/>
            <w:vAlign w:val="center"/>
          </w:tcPr>
          <w:p>
            <w:r>
              <w:rPr>
                <w:sz w:val="17"/>
              </w:rPr>
              <w:t>$1,353,498</w:t>
            </w:r>
          </w:p>
        </w:tc>
        <w:tc>
          <w:tcPr>
            <w:tcW w:type="dxa" w:w="1176"/>
            <w:vAlign w:val="center"/>
          </w:tcPr>
          <w:p>
            <w:r>
              <w:rPr>
                <w:sz w:val="17"/>
              </w:rPr>
              <w:t>13.8%</w:t>
            </w:r>
          </w:p>
        </w:tc>
        <w:tc>
          <w:tcPr>
            <w:tcW w:type="dxa" w:w="1176"/>
            <w:vAlign w:val="center"/>
          </w:tcPr>
          <w:p>
            <w:r>
              <w:rPr>
                <w:sz w:val="17"/>
              </w:rPr>
              <w:t>LOSS</w:t>
            </w:r>
          </w:p>
        </w:tc>
      </w:tr>
      <w:tr>
        <w:tc>
          <w:tcPr>
            <w:tcW w:type="dxa" w:w="1176"/>
            <w:vAlign w:val="center"/>
          </w:tcPr>
          <w:p>
            <w:r>
              <w:rPr>
                <w:sz w:val="17"/>
              </w:rPr>
              <w:t>VOO</w:t>
            </w:r>
          </w:p>
        </w:tc>
        <w:tc>
          <w:tcPr>
            <w:tcW w:type="dxa" w:w="1176"/>
            <w:vAlign w:val="center"/>
          </w:tcPr>
          <w:p>
            <w:r>
              <w:rPr>
                <w:sz w:val="17"/>
              </w:rPr>
              <w:t>$1,523,856</w:t>
            </w:r>
          </w:p>
        </w:tc>
        <w:tc>
          <w:tcPr>
            <w:tcW w:type="dxa" w:w="1176"/>
            <w:vAlign w:val="center"/>
          </w:tcPr>
          <w:p>
            <w:r>
              <w:rPr>
                <w:sz w:val="17"/>
              </w:rPr>
              <w:t>24.5%</w:t>
            </w:r>
          </w:p>
        </w:tc>
        <w:tc>
          <w:tcPr>
            <w:tcW w:type="dxa" w:w="1176"/>
            <w:vAlign w:val="center"/>
          </w:tcPr>
          <w:p>
            <w:r>
              <w:rPr>
                <w:sz w:val="17"/>
              </w:rPr>
              <w:t>$1,238,179</w:t>
            </w:r>
          </w:p>
        </w:tc>
        <w:tc>
          <w:tcPr>
            <w:tcW w:type="dxa" w:w="1176"/>
            <w:vAlign w:val="center"/>
          </w:tcPr>
          <w:p>
            <w:r>
              <w:rPr>
                <w:sz w:val="17"/>
              </w:rPr>
              <w:t>25.2%</w:t>
            </w:r>
          </w:p>
        </w:tc>
        <w:tc>
          <w:tcPr>
            <w:tcW w:type="dxa" w:w="1176"/>
            <w:vAlign w:val="center"/>
          </w:tcPr>
          <w:p>
            <w:r>
              <w:rPr>
                <w:sz w:val="17"/>
              </w:rPr>
              <w:t>$1,638,375</w:t>
            </w:r>
          </w:p>
        </w:tc>
        <w:tc>
          <w:tcPr>
            <w:tcW w:type="dxa" w:w="1176"/>
            <w:vAlign w:val="center"/>
          </w:tcPr>
          <w:p>
            <w:r>
              <w:rPr>
                <w:sz w:val="17"/>
              </w:rPr>
              <w:t>18.4%</w:t>
            </w:r>
          </w:p>
        </w:tc>
        <w:tc>
          <w:tcPr>
            <w:tcW w:type="dxa" w:w="1176"/>
            <w:vAlign w:val="center"/>
          </w:tcPr>
          <w:p>
            <w:r>
              <w:rPr>
                <w:sz w:val="17"/>
              </w:rPr>
              <w:t>WIN</w:t>
            </w:r>
          </w:p>
        </w:tc>
      </w:tr>
      <w:tr>
        <w:tc>
          <w:tcPr>
            <w:tcW w:type="dxa" w:w="1176"/>
            <w:vAlign w:val="center"/>
          </w:tcPr>
          <w:p>
            <w:r>
              <w:rPr>
                <w:sz w:val="17"/>
              </w:rPr>
              <w:t>VTI</w:t>
            </w:r>
          </w:p>
        </w:tc>
        <w:tc>
          <w:tcPr>
            <w:tcW w:type="dxa" w:w="1176"/>
            <w:vAlign w:val="center"/>
          </w:tcPr>
          <w:p>
            <w:r>
              <w:rPr>
                <w:sz w:val="17"/>
              </w:rPr>
              <w:t>$1,472,633</w:t>
            </w:r>
          </w:p>
        </w:tc>
        <w:tc>
          <w:tcPr>
            <w:tcW w:type="dxa" w:w="1176"/>
            <w:vAlign w:val="center"/>
          </w:tcPr>
          <w:p>
            <w:r>
              <w:rPr>
                <w:sz w:val="17"/>
              </w:rPr>
              <w:t>25.4%</w:t>
            </w:r>
          </w:p>
        </w:tc>
        <w:tc>
          <w:tcPr>
            <w:tcW w:type="dxa" w:w="1176"/>
            <w:vAlign w:val="center"/>
          </w:tcPr>
          <w:p>
            <w:r>
              <w:rPr>
                <w:sz w:val="17"/>
              </w:rPr>
              <w:t>$1,206,211</w:t>
            </w:r>
          </w:p>
        </w:tc>
        <w:tc>
          <w:tcPr>
            <w:tcW w:type="dxa" w:w="1176"/>
            <w:vAlign w:val="center"/>
          </w:tcPr>
          <w:p>
            <w:r>
              <w:rPr>
                <w:sz w:val="17"/>
              </w:rPr>
              <w:t>27.0%</w:t>
            </w:r>
          </w:p>
        </w:tc>
        <w:tc>
          <w:tcPr>
            <w:tcW w:type="dxa" w:w="1176"/>
            <w:vAlign w:val="center"/>
          </w:tcPr>
          <w:p>
            <w:r>
              <w:rPr>
                <w:sz w:val="17"/>
              </w:rPr>
              <w:t>$1,570,558</w:t>
            </w:r>
          </w:p>
        </w:tc>
        <w:tc>
          <w:tcPr>
            <w:tcW w:type="dxa" w:w="1176"/>
            <w:vAlign w:val="center"/>
          </w:tcPr>
          <w:p>
            <w:r>
              <w:rPr>
                <w:sz w:val="17"/>
              </w:rPr>
              <w:t>18.0%</w:t>
            </w:r>
          </w:p>
        </w:tc>
        <w:tc>
          <w:tcPr>
            <w:tcW w:type="dxa" w:w="1176"/>
            <w:vAlign w:val="center"/>
          </w:tcPr>
          <w:p>
            <w:r>
              <w:rPr>
                <w:sz w:val="17"/>
              </w:rPr>
              <w:t>WIN</w:t>
            </w:r>
          </w:p>
        </w:tc>
      </w:tr>
      <w:tr>
        <w:tc>
          <w:tcPr>
            <w:tcW w:type="dxa" w:w="1176"/>
            <w:vAlign w:val="center"/>
          </w:tcPr>
          <w:p>
            <w:r>
              <w:rPr>
                <w:sz w:val="17"/>
              </w:rPr>
              <w:t>VYM</w:t>
            </w:r>
          </w:p>
        </w:tc>
        <w:tc>
          <w:tcPr>
            <w:tcW w:type="dxa" w:w="1176"/>
            <w:vAlign w:val="center"/>
          </w:tcPr>
          <w:p>
            <w:r>
              <w:rPr>
                <w:sz w:val="17"/>
              </w:rPr>
              <w:t>$1,443,783</w:t>
            </w:r>
          </w:p>
        </w:tc>
        <w:tc>
          <w:tcPr>
            <w:tcW w:type="dxa" w:w="1176"/>
            <w:vAlign w:val="center"/>
          </w:tcPr>
          <w:p>
            <w:r>
              <w:rPr>
                <w:sz w:val="17"/>
              </w:rPr>
              <w:t>15.8%</w:t>
            </w:r>
          </w:p>
        </w:tc>
        <w:tc>
          <w:tcPr>
            <w:tcW w:type="dxa" w:w="1176"/>
            <w:vAlign w:val="center"/>
          </w:tcPr>
          <w:p>
            <w:r>
              <w:rPr>
                <w:sz w:val="17"/>
              </w:rPr>
              <w:t>$1,029,974</w:t>
            </w:r>
          </w:p>
        </w:tc>
        <w:tc>
          <w:tcPr>
            <w:tcW w:type="dxa" w:w="1176"/>
            <w:vAlign w:val="center"/>
          </w:tcPr>
          <w:p>
            <w:r>
              <w:rPr>
                <w:sz w:val="17"/>
              </w:rPr>
              <w:t>22.6%</w:t>
            </w:r>
          </w:p>
        </w:tc>
        <w:tc>
          <w:tcPr>
            <w:tcW w:type="dxa" w:w="1176"/>
            <w:vAlign w:val="center"/>
          </w:tcPr>
          <w:p>
            <w:r>
              <w:rPr>
                <w:sz w:val="17"/>
              </w:rPr>
              <w:t>$1,316,569</w:t>
            </w:r>
          </w:p>
        </w:tc>
        <w:tc>
          <w:tcPr>
            <w:tcW w:type="dxa" w:w="1176"/>
            <w:vAlign w:val="center"/>
          </w:tcPr>
          <w:p>
            <w:r>
              <w:rPr>
                <w:sz w:val="17"/>
              </w:rPr>
              <w:t>13.1%</w:t>
            </w:r>
          </w:p>
        </w:tc>
        <w:tc>
          <w:tcPr>
            <w:tcW w:type="dxa" w:w="1176"/>
            <w:vAlign w:val="center"/>
          </w:tcPr>
          <w:p>
            <w:r>
              <w:rPr>
                <w:sz w:val="17"/>
              </w:rPr>
              <w:t>LOSS</w:t>
            </w:r>
          </w:p>
        </w:tc>
      </w:tr>
      <w:tr>
        <w:tc>
          <w:tcPr>
            <w:tcW w:type="dxa" w:w="1176"/>
            <w:vAlign w:val="center"/>
          </w:tcPr>
          <w:p>
            <w:r>
              <w:rPr>
                <w:sz w:val="17"/>
              </w:rPr>
              <w:t>VYMI</w:t>
            </w:r>
          </w:p>
        </w:tc>
        <w:tc>
          <w:tcPr>
            <w:tcW w:type="dxa" w:w="1176"/>
            <w:vAlign w:val="center"/>
          </w:tcPr>
          <w:p>
            <w:r>
              <w:rPr>
                <w:sz w:val="17"/>
              </w:rPr>
              <w:t>$1,604,708</w:t>
            </w:r>
          </w:p>
        </w:tc>
        <w:tc>
          <w:tcPr>
            <w:tcW w:type="dxa" w:w="1176"/>
            <w:vAlign w:val="center"/>
          </w:tcPr>
          <w:p>
            <w:r>
              <w:rPr>
                <w:sz w:val="17"/>
              </w:rPr>
              <w:t>24.1%</w:t>
            </w:r>
          </w:p>
        </w:tc>
        <w:tc>
          <w:tcPr>
            <w:tcW w:type="dxa" w:w="1176"/>
            <w:vAlign w:val="center"/>
          </w:tcPr>
          <w:p>
            <w:r>
              <w:rPr>
                <w:sz w:val="17"/>
              </w:rPr>
              <w:t>$1,335,424</w:t>
            </w:r>
          </w:p>
        </w:tc>
        <w:tc>
          <w:tcPr>
            <w:tcW w:type="dxa" w:w="1176"/>
            <w:vAlign w:val="center"/>
          </w:tcPr>
          <w:p>
            <w:r>
              <w:rPr>
                <w:sz w:val="17"/>
              </w:rPr>
              <w:t>20.2%</w:t>
            </w:r>
          </w:p>
        </w:tc>
        <w:tc>
          <w:tcPr>
            <w:tcW w:type="dxa" w:w="1176"/>
            <w:vAlign w:val="center"/>
          </w:tcPr>
          <w:p>
            <w:r>
              <w:rPr>
                <w:sz w:val="17"/>
              </w:rPr>
              <w:t>$1,388,970</w:t>
            </w:r>
          </w:p>
        </w:tc>
        <w:tc>
          <w:tcPr>
            <w:tcW w:type="dxa" w:w="1176"/>
            <w:vAlign w:val="center"/>
          </w:tcPr>
          <w:p>
            <w:r>
              <w:rPr>
                <w:sz w:val="17"/>
              </w:rPr>
              <w:t>14.9%</w:t>
            </w:r>
          </w:p>
        </w:tc>
        <w:tc>
          <w:tcPr>
            <w:tcW w:type="dxa" w:w="1176"/>
            <w:vAlign w:val="center"/>
          </w:tcPr>
          <w:p>
            <w:r>
              <w:rPr>
                <w:sz w:val="17"/>
              </w:rPr>
              <w:t>LOSS</w:t>
            </w:r>
          </w:p>
        </w:tc>
      </w:tr>
      <w:tr>
        <w:tc>
          <w:tcPr>
            <w:tcW w:type="dxa" w:w="1176"/>
            <w:vAlign w:val="center"/>
          </w:tcPr>
          <w:p>
            <w:r>
              <w:rPr>
                <w:sz w:val="17"/>
              </w:rPr>
              <w:t>XLF</w:t>
            </w:r>
          </w:p>
        </w:tc>
        <w:tc>
          <w:tcPr>
            <w:tcW w:type="dxa" w:w="1176"/>
            <w:vAlign w:val="center"/>
          </w:tcPr>
          <w:p>
            <w:r>
              <w:rPr>
                <w:sz w:val="17"/>
              </w:rPr>
              <w:t>$1,495,550</w:t>
            </w:r>
          </w:p>
        </w:tc>
        <w:tc>
          <w:tcPr>
            <w:tcW w:type="dxa" w:w="1176"/>
            <w:vAlign w:val="center"/>
          </w:tcPr>
          <w:p>
            <w:r>
              <w:rPr>
                <w:sz w:val="17"/>
              </w:rPr>
              <w:t>25.8%</w:t>
            </w:r>
          </w:p>
        </w:tc>
        <w:tc>
          <w:tcPr>
            <w:tcW w:type="dxa" w:w="1176"/>
            <w:vAlign w:val="center"/>
          </w:tcPr>
          <w:p>
            <w:r>
              <w:rPr>
                <w:sz w:val="17"/>
              </w:rPr>
              <w:t>$1,248,016</w:t>
            </w:r>
          </w:p>
        </w:tc>
        <w:tc>
          <w:tcPr>
            <w:tcW w:type="dxa" w:w="1176"/>
            <w:vAlign w:val="center"/>
          </w:tcPr>
          <w:p>
            <w:r>
              <w:rPr>
                <w:sz w:val="17"/>
              </w:rPr>
              <w:t>16.9%</w:t>
            </w:r>
          </w:p>
        </w:tc>
        <w:tc>
          <w:tcPr>
            <w:tcW w:type="dxa" w:w="1176"/>
            <w:vAlign w:val="center"/>
          </w:tcPr>
          <w:p>
            <w:r>
              <w:rPr>
                <w:sz w:val="17"/>
              </w:rPr>
              <w:t>$1,530,610</w:t>
            </w:r>
          </w:p>
        </w:tc>
        <w:tc>
          <w:tcPr>
            <w:tcW w:type="dxa" w:w="1176"/>
            <w:vAlign w:val="center"/>
          </w:tcPr>
          <w:p>
            <w:r>
              <w:rPr>
                <w:sz w:val="17"/>
              </w:rPr>
              <w:t>18.7%</w:t>
            </w:r>
          </w:p>
        </w:tc>
        <w:tc>
          <w:tcPr>
            <w:tcW w:type="dxa" w:w="1176"/>
            <w:vAlign w:val="center"/>
          </w:tcPr>
          <w:p>
            <w:r>
              <w:rPr>
                <w:sz w:val="17"/>
              </w:rPr>
              <w:t>WIN</w:t>
            </w:r>
          </w:p>
        </w:tc>
      </w:tr>
      <w:tr>
        <w:tc>
          <w:tcPr>
            <w:tcW w:type="dxa" w:w="1176"/>
            <w:vAlign w:val="center"/>
          </w:tcPr>
          <w:p>
            <w:r>
              <w:rPr>
                <w:sz w:val="17"/>
              </w:rPr>
              <w:t>XLI</w:t>
            </w:r>
          </w:p>
        </w:tc>
        <w:tc>
          <w:tcPr>
            <w:tcW w:type="dxa" w:w="1176"/>
            <w:vAlign w:val="center"/>
          </w:tcPr>
          <w:p>
            <w:r>
              <w:rPr>
                <w:sz w:val="17"/>
              </w:rPr>
              <w:t>$1,587,922</w:t>
            </w:r>
          </w:p>
        </w:tc>
        <w:tc>
          <w:tcPr>
            <w:tcW w:type="dxa" w:w="1176"/>
            <w:vAlign w:val="center"/>
          </w:tcPr>
          <w:p>
            <w:r>
              <w:rPr>
                <w:sz w:val="17"/>
              </w:rPr>
              <w:t>21.6%</w:t>
            </w:r>
          </w:p>
        </w:tc>
        <w:tc>
          <w:tcPr>
            <w:tcW w:type="dxa" w:w="1176"/>
            <w:vAlign w:val="center"/>
          </w:tcPr>
          <w:p>
            <w:r>
              <w:rPr>
                <w:sz w:val="17"/>
              </w:rPr>
              <w:t>$1,123,541</w:t>
            </w:r>
          </w:p>
        </w:tc>
        <w:tc>
          <w:tcPr>
            <w:tcW w:type="dxa" w:w="1176"/>
            <w:vAlign w:val="center"/>
          </w:tcPr>
          <w:p>
            <w:r>
              <w:rPr>
                <w:sz w:val="17"/>
              </w:rPr>
              <w:t>25.5%</w:t>
            </w:r>
          </w:p>
        </w:tc>
        <w:tc>
          <w:tcPr>
            <w:tcW w:type="dxa" w:w="1176"/>
            <w:vAlign w:val="center"/>
          </w:tcPr>
          <w:p>
            <w:r>
              <w:rPr>
                <w:sz w:val="17"/>
              </w:rPr>
              <w:t>$1,609,616</w:t>
            </w:r>
          </w:p>
        </w:tc>
        <w:tc>
          <w:tcPr>
            <w:tcW w:type="dxa" w:w="1176"/>
            <w:vAlign w:val="center"/>
          </w:tcPr>
          <w:p>
            <w:r>
              <w:rPr>
                <w:sz w:val="17"/>
              </w:rPr>
              <w:t>17.5%</w:t>
            </w:r>
          </w:p>
        </w:tc>
        <w:tc>
          <w:tcPr>
            <w:tcW w:type="dxa" w:w="1176"/>
            <w:vAlign w:val="center"/>
          </w:tcPr>
          <w:p>
            <w:r>
              <w:rPr>
                <w:sz w:val="17"/>
              </w:rPr>
              <w:t>WIN</w:t>
            </w:r>
          </w:p>
        </w:tc>
      </w:tr>
      <w:tr>
        <w:tc>
          <w:tcPr>
            <w:tcW w:type="dxa" w:w="1176"/>
            <w:vAlign w:val="center"/>
          </w:tcPr>
          <w:p>
            <w:r>
              <w:rPr>
                <w:sz w:val="17"/>
              </w:rPr>
              <w:t>XLK</w:t>
            </w:r>
          </w:p>
        </w:tc>
        <w:tc>
          <w:tcPr>
            <w:tcW w:type="dxa" w:w="1176"/>
            <w:vAlign w:val="center"/>
          </w:tcPr>
          <w:p>
            <w:r>
              <w:rPr>
                <w:sz w:val="17"/>
              </w:rPr>
              <w:t>$1,709,851</w:t>
            </w:r>
          </w:p>
        </w:tc>
        <w:tc>
          <w:tcPr>
            <w:tcW w:type="dxa" w:w="1176"/>
            <w:vAlign w:val="center"/>
          </w:tcPr>
          <w:p>
            <w:r>
              <w:rPr>
                <w:sz w:val="17"/>
              </w:rPr>
              <w:t>33.1%</w:t>
            </w:r>
          </w:p>
        </w:tc>
        <w:tc>
          <w:tcPr>
            <w:tcW w:type="dxa" w:w="1176"/>
            <w:vAlign w:val="center"/>
          </w:tcPr>
          <w:p>
            <w:r>
              <w:rPr>
                <w:sz w:val="17"/>
              </w:rPr>
              <w:t>$1,037,786</w:t>
            </w:r>
          </w:p>
        </w:tc>
        <w:tc>
          <w:tcPr>
            <w:tcW w:type="dxa" w:w="1176"/>
            <w:vAlign w:val="center"/>
          </w:tcPr>
          <w:p>
            <w:r>
              <w:rPr>
                <w:sz w:val="17"/>
              </w:rPr>
              <w:t>27.5%</w:t>
            </w:r>
          </w:p>
        </w:tc>
        <w:tc>
          <w:tcPr>
            <w:tcW w:type="dxa" w:w="1176"/>
            <w:vAlign w:val="center"/>
          </w:tcPr>
          <w:p>
            <w:r>
              <w:rPr>
                <w:sz w:val="17"/>
              </w:rPr>
              <w:t>$1,774,890</w:t>
            </w:r>
          </w:p>
        </w:tc>
        <w:tc>
          <w:tcPr>
            <w:tcW w:type="dxa" w:w="1176"/>
            <w:vAlign w:val="center"/>
          </w:tcPr>
          <w:p>
            <w:r>
              <w:rPr>
                <w:sz w:val="17"/>
              </w:rPr>
              <w:t>21.7%</w:t>
            </w:r>
          </w:p>
        </w:tc>
        <w:tc>
          <w:tcPr>
            <w:tcW w:type="dxa" w:w="1176"/>
            <w:vAlign w:val="center"/>
          </w:tcPr>
          <w:p>
            <w:r>
              <w:rPr>
                <w:sz w:val="17"/>
              </w:rPr>
              <w:t>WIN</w:t>
            </w:r>
          </w:p>
        </w:tc>
      </w:tr>
      <w:tr>
        <w:tc>
          <w:tcPr>
            <w:tcW w:type="dxa" w:w="1176"/>
            <w:vAlign w:val="center"/>
          </w:tcPr>
          <w:p>
            <w:r>
              <w:rPr>
                <w:sz w:val="17"/>
              </w:rPr>
              <w:t>XLU</w:t>
            </w:r>
          </w:p>
        </w:tc>
        <w:tc>
          <w:tcPr>
            <w:tcW w:type="dxa" w:w="1176"/>
            <w:vAlign w:val="center"/>
          </w:tcPr>
          <w:p>
            <w:r>
              <w:rPr>
                <w:sz w:val="17"/>
              </w:rPr>
              <w:t>$1,369,338</w:t>
            </w:r>
          </w:p>
        </w:tc>
        <w:tc>
          <w:tcPr>
            <w:tcW w:type="dxa" w:w="1176"/>
            <w:vAlign w:val="center"/>
          </w:tcPr>
          <w:p>
            <w:r>
              <w:rPr>
                <w:sz w:val="17"/>
              </w:rPr>
              <w:t>25.3%</w:t>
            </w:r>
          </w:p>
        </w:tc>
        <w:tc>
          <w:tcPr>
            <w:tcW w:type="dxa" w:w="1176"/>
            <w:vAlign w:val="center"/>
          </w:tcPr>
          <w:p>
            <w:r>
              <w:rPr>
                <w:sz w:val="17"/>
              </w:rPr>
              <w:t>$1,014,111</w:t>
            </w:r>
          </w:p>
        </w:tc>
        <w:tc>
          <w:tcPr>
            <w:tcW w:type="dxa" w:w="1176"/>
            <w:vAlign w:val="center"/>
          </w:tcPr>
          <w:p>
            <w:r>
              <w:rPr>
                <w:sz w:val="17"/>
              </w:rPr>
              <w:t>25.5%</w:t>
            </w:r>
          </w:p>
        </w:tc>
        <w:tc>
          <w:tcPr>
            <w:tcW w:type="dxa" w:w="1176"/>
            <w:vAlign w:val="center"/>
          </w:tcPr>
          <w:p>
            <w:r>
              <w:rPr>
                <w:sz w:val="17"/>
              </w:rPr>
              <w:t>$1,369,215</w:t>
            </w:r>
          </w:p>
        </w:tc>
        <w:tc>
          <w:tcPr>
            <w:tcW w:type="dxa" w:w="1176"/>
            <w:vAlign w:val="center"/>
          </w:tcPr>
          <w:p>
            <w:r>
              <w:rPr>
                <w:sz w:val="17"/>
              </w:rPr>
              <w:t>23.9%</w:t>
            </w:r>
          </w:p>
        </w:tc>
        <w:tc>
          <w:tcPr>
            <w:tcW w:type="dxa" w:w="1176"/>
            <w:vAlign w:val="center"/>
          </w:tcPr>
          <w:p>
            <w:r>
              <w:rPr>
                <w:sz w:val="17"/>
              </w:rPr>
              <w:t>tie</w:t>
            </w:r>
          </w:p>
        </w:tc>
      </w:tr>
    </w:tbl>
    <w:p>
      <w:pPr>
        <w:jc w:val="center"/>
      </w:pPr>
      <w:r>
        <w:rPr>
          <w:i/>
          <w:sz w:val="20"/>
        </w:rPr>
        <w:t>Table B.1 — Full per-ticker test-window result across the 70-ticker test universe (2022–2025). RL means are over three seeds at the 10 000-PPO-timestep Phase-1 budget. Stop-5 = 5 % trailing stop with 20/50-day moving-average re-entry.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