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10 consecutive trading days of the probabilistic agent on SPY (the S&amp;P 500 ETF) at the very start of the test window: 3 to 14 January 2022. Every trading day is shown. Weekends are absent because the market is closed (8 and 9 January were a Saturday and Sunday, so the table goes from 7 Jan directly to 10 Jan).</w:t>
      </w:r>
    </w:p>
    <w:p>
      <w:r>
        <w:rPr>
          <w:b w:val="0"/>
          <w:i w:val="0"/>
        </w:rPr>
        <w:t>Reading the table — what each column represents:</w:t>
      </w:r>
    </w:p>
    <w:p>
      <w:pPr>
        <w:pStyle w:val="ListBullet"/>
      </w:pPr>
      <w:r>
        <w:t>SPY Price / Change: the market facts for that day — closing price and how much it moved from yesterday. The agent does not control these.</w:t>
      </w:r>
    </w:p>
    <w:p>
      <w:pPr>
        <w:pStyle w:val="ListBullet"/>
      </w:pPr>
      <w:r>
        <w:t>Uncertainty: the LSTM forecaster's confidence score (0 = confident, 1 = uncertain).</w:t>
      </w:r>
    </w:p>
    <w:p>
      <w:pPr>
        <w:pStyle w:val="ListBullet"/>
      </w:pPr>
      <w:r>
        <w:t>Trade: the new action the agent took. 'BUY +2.0%' means the agent moved 2% of available cash into SPY. This column shows the trade decision only, not any return.</w:t>
      </w:r>
    </w:p>
    <w:p>
      <w:pPr>
        <w:pStyle w:val="ListBullet"/>
      </w:pPr>
      <w:r>
        <w:t>% in SPY: the cumulative share of the portfolio invested in SPY after the trade. The rest sits in cash. This is the key to understanding P&amp;L — the bigger this number, the more the portfolio is exposed to SPY's price swings.</w:t>
      </w:r>
    </w:p>
    <w:p>
      <w:pPr>
        <w:pStyle w:val="ListBullet"/>
      </w:pPr>
      <w:r>
        <w:t>Portfolio / Daily P&amp;L: the total portfolio value at end of day, and how much it changed from the day before. The P&amp;L is driven by the market's effect on existing SPY holdings, not by the new trade itself.</w:t>
      </w:r>
    </w:p>
    <w:tbl>
      <w:tblPr>
        <w:tblStyle w:val="LightList-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4"/>
              </w:rPr>
              <w:t>Day</w:t>
            </w:r>
          </w:p>
        </w:tc>
        <w:tc>
          <w:tcPr>
            <w:tcW w:type="dxa" w:w="1176"/>
          </w:tcPr>
          <w:p>
            <w:r>
              <w:rPr>
                <w:b/>
                <w:sz w:val="14"/>
              </w:rPr>
              <w:t>SPY Price</w:t>
            </w:r>
          </w:p>
        </w:tc>
        <w:tc>
          <w:tcPr>
            <w:tcW w:type="dxa" w:w="1176"/>
          </w:tcPr>
          <w:p>
            <w:r>
              <w:rPr>
                <w:b/>
                <w:sz w:val="14"/>
              </w:rPr>
              <w:t>Change</w:t>
            </w:r>
          </w:p>
        </w:tc>
        <w:tc>
          <w:tcPr>
            <w:tcW w:type="dxa" w:w="1176"/>
          </w:tcPr>
          <w:p>
            <w:r>
              <w:rPr>
                <w:b/>
                <w:sz w:val="14"/>
              </w:rPr>
              <w:t>Uncertainty</w:t>
            </w:r>
          </w:p>
        </w:tc>
        <w:tc>
          <w:tcPr>
            <w:tcW w:type="dxa" w:w="1176"/>
          </w:tcPr>
          <w:p>
            <w:r>
              <w:rPr>
                <w:b/>
                <w:sz w:val="14"/>
              </w:rPr>
              <w:t>Trade</w:t>
            </w:r>
          </w:p>
        </w:tc>
        <w:tc>
          <w:tcPr>
            <w:tcW w:type="dxa" w:w="1176"/>
          </w:tcPr>
          <w:p>
            <w:r>
              <w:rPr>
                <w:b/>
                <w:sz w:val="14"/>
              </w:rPr>
              <w:t>% in SPY</w:t>
            </w:r>
          </w:p>
        </w:tc>
        <w:tc>
          <w:tcPr>
            <w:tcW w:type="dxa" w:w="1176"/>
          </w:tcPr>
          <w:p>
            <w:r>
              <w:rPr>
                <w:b/>
                <w:sz w:val="14"/>
              </w:rPr>
              <w:t>Portfolio</w:t>
            </w:r>
          </w:p>
        </w:tc>
        <w:tc>
          <w:tcPr>
            <w:tcW w:type="dxa" w:w="1176"/>
          </w:tcPr>
          <w:p>
            <w:r>
              <w:rPr>
                <w:b/>
                <w:sz w:val="14"/>
              </w:rPr>
              <w:t>Daily P&amp;L</w:t>
            </w:r>
          </w:p>
        </w:tc>
      </w:tr>
      <w:tr>
        <w:tc>
          <w:tcPr>
            <w:tcW w:type="dxa" w:w="1176"/>
          </w:tcPr>
          <w:p>
            <w:r>
              <w:rPr>
                <w:sz w:val="14"/>
              </w:rPr>
              <w:t>3 Jan</w:t>
            </w:r>
          </w:p>
        </w:tc>
        <w:tc>
          <w:tcPr>
            <w:tcW w:type="dxa" w:w="1176"/>
          </w:tcPr>
          <w:p>
            <w:r>
              <w:rPr>
                <w:sz w:val="14"/>
              </w:rPr>
              <w:t>$474.96</w:t>
            </w:r>
          </w:p>
        </w:tc>
        <w:tc>
          <w:tcPr>
            <w:tcW w:type="dxa" w:w="1176"/>
          </w:tcPr>
          <w:p>
            <w:r>
              <w:rPr>
                <w:sz w:val="14"/>
              </w:rPr>
              <w:t>-0.12%</w:t>
            </w:r>
          </w:p>
        </w:tc>
        <w:tc>
          <w:tcPr>
            <w:tcW w:type="dxa" w:w="1176"/>
          </w:tcPr>
          <w:p>
            <w:r>
              <w:rPr>
                <w:sz w:val="14"/>
              </w:rPr>
              <w:t>0.23 (low)</w:t>
            </w:r>
          </w:p>
        </w:tc>
        <w:tc>
          <w:tcPr>
            <w:tcW w:type="dxa" w:w="1176"/>
          </w:tcPr>
          <w:p>
            <w:r>
              <w:rPr>
                <w:sz w:val="14"/>
              </w:rPr>
              <w:t>BUY +3.2%</w:t>
            </w:r>
          </w:p>
        </w:tc>
        <w:tc>
          <w:tcPr>
            <w:tcW w:type="dxa" w:w="1176"/>
          </w:tcPr>
          <w:p>
            <w:r>
              <w:rPr>
                <w:sz w:val="14"/>
              </w:rPr>
              <w:t>3.2%</w:t>
            </w:r>
          </w:p>
        </w:tc>
        <w:tc>
          <w:tcPr>
            <w:tcW w:type="dxa" w:w="1176"/>
          </w:tcPr>
          <w:p>
            <w:r>
              <w:rPr>
                <w:sz w:val="14"/>
              </w:rPr>
              <w:t>$1,000,320</w:t>
            </w:r>
          </w:p>
        </w:tc>
        <w:tc>
          <w:tcPr>
            <w:tcW w:type="dxa" w:w="1176"/>
          </w:tcPr>
          <w:p>
            <w:r>
              <w:rPr>
                <w:color w:val="008000"/>
                <w:sz w:val="14"/>
              </w:rPr>
              <w:t>+$320</w:t>
            </w:r>
          </w:p>
        </w:tc>
      </w:tr>
      <w:tr>
        <w:tc>
          <w:tcPr>
            <w:tcW w:type="dxa" w:w="1176"/>
          </w:tcPr>
          <w:p>
            <w:r>
              <w:rPr>
                <w:sz w:val="14"/>
              </w:rPr>
              <w:t>4 Jan</w:t>
            </w:r>
          </w:p>
        </w:tc>
        <w:tc>
          <w:tcPr>
            <w:tcW w:type="dxa" w:w="1176"/>
          </w:tcPr>
          <w:p>
            <w:r>
              <w:rPr>
                <w:sz w:val="14"/>
              </w:rPr>
              <w:t>$477.63</w:t>
            </w:r>
          </w:p>
        </w:tc>
        <w:tc>
          <w:tcPr>
            <w:tcW w:type="dxa" w:w="1176"/>
          </w:tcPr>
          <w:p>
            <w:r>
              <w:rPr>
                <w:sz w:val="14"/>
              </w:rPr>
              <w:t>+0.56%</w:t>
            </w:r>
          </w:p>
        </w:tc>
        <w:tc>
          <w:tcPr>
            <w:tcW w:type="dxa" w:w="1176"/>
          </w:tcPr>
          <w:p>
            <w:r>
              <w:rPr>
                <w:sz w:val="14"/>
              </w:rPr>
              <w:t>0.19 (low)</w:t>
            </w:r>
          </w:p>
        </w:tc>
        <w:tc>
          <w:tcPr>
            <w:tcW w:type="dxa" w:w="1176"/>
          </w:tcPr>
          <w:p>
            <w:r>
              <w:rPr>
                <w:sz w:val="14"/>
              </w:rPr>
              <w:t>BUY +2.8%</w:t>
            </w:r>
          </w:p>
        </w:tc>
        <w:tc>
          <w:tcPr>
            <w:tcW w:type="dxa" w:w="1176"/>
          </w:tcPr>
          <w:p>
            <w:r>
              <w:rPr>
                <w:sz w:val="14"/>
              </w:rPr>
              <w:t>6.0%</w:t>
            </w:r>
          </w:p>
        </w:tc>
        <w:tc>
          <w:tcPr>
            <w:tcW w:type="dxa" w:w="1176"/>
          </w:tcPr>
          <w:p>
            <w:r>
              <w:rPr>
                <w:sz w:val="14"/>
              </w:rPr>
              <w:t>$1,002,147</w:t>
            </w:r>
          </w:p>
        </w:tc>
        <w:tc>
          <w:tcPr>
            <w:tcW w:type="dxa" w:w="1176"/>
          </w:tcPr>
          <w:p>
            <w:r>
              <w:rPr>
                <w:color w:val="008000"/>
                <w:sz w:val="14"/>
              </w:rPr>
              <w:t>+$1,827</w:t>
            </w:r>
          </w:p>
        </w:tc>
      </w:tr>
      <w:tr>
        <w:tc>
          <w:tcPr>
            <w:tcW w:type="dxa" w:w="1176"/>
          </w:tcPr>
          <w:p>
            <w:r>
              <w:rPr>
                <w:sz w:val="14"/>
              </w:rPr>
              <w:t>5 Jan</w:t>
            </w:r>
          </w:p>
        </w:tc>
        <w:tc>
          <w:tcPr>
            <w:tcW w:type="dxa" w:w="1176"/>
          </w:tcPr>
          <w:p>
            <w:r>
              <w:rPr>
                <w:sz w:val="14"/>
              </w:rPr>
              <w:t>$468.38</w:t>
            </w:r>
          </w:p>
        </w:tc>
        <w:tc>
          <w:tcPr>
            <w:tcW w:type="dxa" w:w="1176"/>
          </w:tcPr>
          <w:p>
            <w:r>
              <w:rPr>
                <w:sz w:val="14"/>
              </w:rPr>
              <w:t>-1.94%</w:t>
            </w:r>
          </w:p>
        </w:tc>
        <w:tc>
          <w:tcPr>
            <w:tcW w:type="dxa" w:w="1176"/>
          </w:tcPr>
          <w:p>
            <w:r>
              <w:rPr>
                <w:sz w:val="14"/>
              </w:rPr>
              <w:t>0.34 (low)</w:t>
            </w:r>
          </w:p>
        </w:tc>
        <w:tc>
          <w:tcPr>
            <w:tcW w:type="dxa" w:w="1176"/>
          </w:tcPr>
          <w:p>
            <w:r>
              <w:rPr>
                <w:sz w:val="14"/>
              </w:rPr>
              <w:t>BUY +2.0%</w:t>
            </w:r>
          </w:p>
        </w:tc>
        <w:tc>
          <w:tcPr>
            <w:tcW w:type="dxa" w:w="1176"/>
          </w:tcPr>
          <w:p>
            <w:r>
              <w:rPr>
                <w:sz w:val="14"/>
              </w:rPr>
              <w:t>8.0%</w:t>
            </w:r>
          </w:p>
        </w:tc>
        <w:tc>
          <w:tcPr>
            <w:tcW w:type="dxa" w:w="1176"/>
          </w:tcPr>
          <w:p>
            <w:r>
              <w:rPr>
                <w:sz w:val="14"/>
              </w:rPr>
              <w:t>$999,880</w:t>
            </w:r>
          </w:p>
        </w:tc>
        <w:tc>
          <w:tcPr>
            <w:tcW w:type="dxa" w:w="1176"/>
          </w:tcPr>
          <w:p>
            <w:r>
              <w:rPr>
                <w:color w:val="CC0000"/>
                <w:sz w:val="14"/>
              </w:rPr>
              <w:t>-$2,267</w:t>
            </w:r>
          </w:p>
        </w:tc>
      </w:tr>
      <w:tr>
        <w:tc>
          <w:tcPr>
            <w:tcW w:type="dxa" w:w="1176"/>
          </w:tcPr>
          <w:p>
            <w:r>
              <w:rPr>
                <w:sz w:val="14"/>
              </w:rPr>
              <w:t>6 Jan</w:t>
            </w:r>
          </w:p>
        </w:tc>
        <w:tc>
          <w:tcPr>
            <w:tcW w:type="dxa" w:w="1176"/>
          </w:tcPr>
          <w:p>
            <w:r>
              <w:rPr>
                <w:sz w:val="14"/>
              </w:rPr>
              <w:t>$467.94</w:t>
            </w:r>
          </w:p>
        </w:tc>
        <w:tc>
          <w:tcPr>
            <w:tcW w:type="dxa" w:w="1176"/>
          </w:tcPr>
          <w:p>
            <w:r>
              <w:rPr>
                <w:sz w:val="14"/>
              </w:rPr>
              <w:t>-0.09%</w:t>
            </w:r>
          </w:p>
        </w:tc>
        <w:tc>
          <w:tcPr>
            <w:tcW w:type="dxa" w:w="1176"/>
          </w:tcPr>
          <w:p>
            <w:r>
              <w:rPr>
                <w:sz w:val="14"/>
              </w:rPr>
              <w:t>0.41 (med)</w:t>
            </w:r>
          </w:p>
        </w:tc>
        <w:tc>
          <w:tcPr>
            <w:tcW w:type="dxa" w:w="1176"/>
          </w:tcPr>
          <w:p>
            <w:r>
              <w:rPr>
                <w:sz w:val="14"/>
              </w:rPr>
              <w:t>BUY +1.6%</w:t>
            </w:r>
          </w:p>
        </w:tc>
        <w:tc>
          <w:tcPr>
            <w:tcW w:type="dxa" w:w="1176"/>
          </w:tcPr>
          <w:p>
            <w:r>
              <w:rPr>
                <w:sz w:val="14"/>
              </w:rPr>
              <w:t>9.6%</w:t>
            </w:r>
          </w:p>
        </w:tc>
        <w:tc>
          <w:tcPr>
            <w:tcW w:type="dxa" w:w="1176"/>
          </w:tcPr>
          <w:p>
            <w:r>
              <w:rPr>
                <w:sz w:val="14"/>
              </w:rPr>
              <w:t>$999,710</w:t>
            </w:r>
          </w:p>
        </w:tc>
        <w:tc>
          <w:tcPr>
            <w:tcW w:type="dxa" w:w="1176"/>
          </w:tcPr>
          <w:p>
            <w:r>
              <w:rPr>
                <w:color w:val="CC0000"/>
                <w:sz w:val="14"/>
              </w:rPr>
              <w:t>-$170</w:t>
            </w:r>
          </w:p>
        </w:tc>
      </w:tr>
      <w:tr>
        <w:tc>
          <w:tcPr>
            <w:tcW w:type="dxa" w:w="1176"/>
          </w:tcPr>
          <w:p>
            <w:r>
              <w:rPr>
                <w:sz w:val="14"/>
              </w:rPr>
              <w:t>7 Jan</w:t>
            </w:r>
          </w:p>
        </w:tc>
        <w:tc>
          <w:tcPr>
            <w:tcW w:type="dxa" w:w="1176"/>
          </w:tcPr>
          <w:p>
            <w:r>
              <w:rPr>
                <w:sz w:val="14"/>
              </w:rPr>
              <w:t>$466.09</w:t>
            </w:r>
          </w:p>
        </w:tc>
        <w:tc>
          <w:tcPr>
            <w:tcW w:type="dxa" w:w="1176"/>
          </w:tcPr>
          <w:p>
            <w:r>
              <w:rPr>
                <w:sz w:val="14"/>
              </w:rPr>
              <w:t>-0.40%</w:t>
            </w:r>
          </w:p>
        </w:tc>
        <w:tc>
          <w:tcPr>
            <w:tcW w:type="dxa" w:w="1176"/>
          </w:tcPr>
          <w:p>
            <w:r>
              <w:rPr>
                <w:sz w:val="14"/>
              </w:rPr>
              <w:t>0.48 (med)</w:t>
            </w:r>
          </w:p>
        </w:tc>
        <w:tc>
          <w:tcPr>
            <w:tcW w:type="dxa" w:w="1176"/>
          </w:tcPr>
          <w:p>
            <w:r>
              <w:rPr>
                <w:sz w:val="14"/>
              </w:rPr>
              <w:t>BUY +1.3%</w:t>
            </w:r>
          </w:p>
        </w:tc>
        <w:tc>
          <w:tcPr>
            <w:tcW w:type="dxa" w:w="1176"/>
          </w:tcPr>
          <w:p>
            <w:r>
              <w:rPr>
                <w:sz w:val="14"/>
              </w:rPr>
              <w:t>10.9%</w:t>
            </w:r>
          </w:p>
        </w:tc>
        <w:tc>
          <w:tcPr>
            <w:tcW w:type="dxa" w:w="1176"/>
          </w:tcPr>
          <w:p>
            <w:r>
              <w:rPr>
                <w:sz w:val="14"/>
              </w:rPr>
              <w:t>$999,230</w:t>
            </w:r>
          </w:p>
        </w:tc>
        <w:tc>
          <w:tcPr>
            <w:tcW w:type="dxa" w:w="1176"/>
          </w:tcPr>
          <w:p>
            <w:r>
              <w:rPr>
                <w:color w:val="CC0000"/>
                <w:sz w:val="14"/>
              </w:rPr>
              <w:t>-$480</w:t>
            </w:r>
          </w:p>
        </w:tc>
      </w:tr>
      <w:tr>
        <w:tc>
          <w:tcPr>
            <w:tcW w:type="dxa" w:w="1176"/>
          </w:tcPr>
          <w:p>
            <w:r>
              <w:rPr>
                <w:sz w:val="14"/>
              </w:rPr>
              <w:t>10 Jan</w:t>
            </w:r>
          </w:p>
        </w:tc>
        <w:tc>
          <w:tcPr>
            <w:tcW w:type="dxa" w:w="1176"/>
          </w:tcPr>
          <w:p>
            <w:r>
              <w:rPr>
                <w:sz w:val="14"/>
              </w:rPr>
              <w:t>$462.83</w:t>
            </w:r>
          </w:p>
        </w:tc>
        <w:tc>
          <w:tcPr>
            <w:tcW w:type="dxa" w:w="1176"/>
          </w:tcPr>
          <w:p>
            <w:r>
              <w:rPr>
                <w:sz w:val="14"/>
              </w:rPr>
              <w:t>-0.70%</w:t>
            </w:r>
          </w:p>
        </w:tc>
        <w:tc>
          <w:tcPr>
            <w:tcW w:type="dxa" w:w="1176"/>
          </w:tcPr>
          <w:p>
            <w:r>
              <w:rPr>
                <w:sz w:val="14"/>
              </w:rPr>
              <w:t>0.58 (med)</w:t>
            </w:r>
          </w:p>
        </w:tc>
        <w:tc>
          <w:tcPr>
            <w:tcW w:type="dxa" w:w="1176"/>
          </w:tcPr>
          <w:p>
            <w:r>
              <w:rPr>
                <w:sz w:val="14"/>
              </w:rPr>
              <w:t>HOLD</w:t>
            </w:r>
          </w:p>
        </w:tc>
        <w:tc>
          <w:tcPr>
            <w:tcW w:type="dxa" w:w="1176"/>
          </w:tcPr>
          <w:p>
            <w:r>
              <w:rPr>
                <w:sz w:val="14"/>
              </w:rPr>
              <w:t>10.9%</w:t>
            </w:r>
          </w:p>
        </w:tc>
        <w:tc>
          <w:tcPr>
            <w:tcW w:type="dxa" w:w="1176"/>
          </w:tcPr>
          <w:p>
            <w:r>
              <w:rPr>
                <w:sz w:val="14"/>
              </w:rPr>
              <w:t>$997,850</w:t>
            </w:r>
          </w:p>
        </w:tc>
        <w:tc>
          <w:tcPr>
            <w:tcW w:type="dxa" w:w="1176"/>
          </w:tcPr>
          <w:p>
            <w:r>
              <w:rPr>
                <w:color w:val="CC0000"/>
                <w:sz w:val="14"/>
              </w:rPr>
              <w:t>-$1,380</w:t>
            </w:r>
          </w:p>
        </w:tc>
      </w:tr>
      <w:tr>
        <w:tc>
          <w:tcPr>
            <w:tcW w:type="dxa" w:w="1176"/>
          </w:tcPr>
          <w:p>
            <w:r>
              <w:rPr>
                <w:sz w:val="14"/>
              </w:rPr>
              <w:t>11 Jan</w:t>
            </w:r>
          </w:p>
        </w:tc>
        <w:tc>
          <w:tcPr>
            <w:tcW w:type="dxa" w:w="1176"/>
          </w:tcPr>
          <w:p>
            <w:r>
              <w:rPr>
                <w:sz w:val="14"/>
              </w:rPr>
              <w:t>$469.75</w:t>
            </w:r>
          </w:p>
        </w:tc>
        <w:tc>
          <w:tcPr>
            <w:tcW w:type="dxa" w:w="1176"/>
          </w:tcPr>
          <w:p>
            <w:r>
              <w:rPr>
                <w:sz w:val="14"/>
              </w:rPr>
              <w:t>+1.49%</w:t>
            </w:r>
          </w:p>
        </w:tc>
        <w:tc>
          <w:tcPr>
            <w:tcW w:type="dxa" w:w="1176"/>
          </w:tcPr>
          <w:p>
            <w:r>
              <w:rPr>
                <w:sz w:val="14"/>
              </w:rPr>
              <w:t>0.44 (med)</w:t>
            </w:r>
          </w:p>
        </w:tc>
        <w:tc>
          <w:tcPr>
            <w:tcW w:type="dxa" w:w="1176"/>
          </w:tcPr>
          <w:p>
            <w:r>
              <w:rPr>
                <w:sz w:val="14"/>
              </w:rPr>
              <w:t>BUY +1.5%</w:t>
            </w:r>
          </w:p>
        </w:tc>
        <w:tc>
          <w:tcPr>
            <w:tcW w:type="dxa" w:w="1176"/>
          </w:tcPr>
          <w:p>
            <w:r>
              <w:rPr>
                <w:sz w:val="14"/>
              </w:rPr>
              <w:t>12.4%</w:t>
            </w:r>
          </w:p>
        </w:tc>
        <w:tc>
          <w:tcPr>
            <w:tcW w:type="dxa" w:w="1176"/>
          </w:tcPr>
          <w:p>
            <w:r>
              <w:rPr>
                <w:sz w:val="14"/>
              </w:rPr>
              <w:t>$1,001,400</w:t>
            </w:r>
          </w:p>
        </w:tc>
        <w:tc>
          <w:tcPr>
            <w:tcW w:type="dxa" w:w="1176"/>
          </w:tcPr>
          <w:p>
            <w:r>
              <w:rPr>
                <w:color w:val="008000"/>
                <w:sz w:val="14"/>
              </w:rPr>
              <w:t>+$3,550</w:t>
            </w:r>
          </w:p>
        </w:tc>
      </w:tr>
      <w:tr>
        <w:tc>
          <w:tcPr>
            <w:tcW w:type="dxa" w:w="1176"/>
          </w:tcPr>
          <w:p>
            <w:r>
              <w:rPr>
                <w:sz w:val="14"/>
              </w:rPr>
              <w:t>12 Jan</w:t>
            </w:r>
          </w:p>
        </w:tc>
        <w:tc>
          <w:tcPr>
            <w:tcW w:type="dxa" w:w="1176"/>
          </w:tcPr>
          <w:p>
            <w:r>
              <w:rPr>
                <w:sz w:val="14"/>
              </w:rPr>
              <w:t>$471.02</w:t>
            </w:r>
          </w:p>
        </w:tc>
        <w:tc>
          <w:tcPr>
            <w:tcW w:type="dxa" w:w="1176"/>
          </w:tcPr>
          <w:p>
            <w:r>
              <w:rPr>
                <w:sz w:val="14"/>
              </w:rPr>
              <w:t>+0.27%</w:t>
            </w:r>
          </w:p>
        </w:tc>
        <w:tc>
          <w:tcPr>
            <w:tcW w:type="dxa" w:w="1176"/>
          </w:tcPr>
          <w:p>
            <w:r>
              <w:rPr>
                <w:sz w:val="14"/>
              </w:rPr>
              <w:t>0.38 (low)</w:t>
            </w:r>
          </w:p>
        </w:tc>
        <w:tc>
          <w:tcPr>
            <w:tcW w:type="dxa" w:w="1176"/>
          </w:tcPr>
          <w:p>
            <w:r>
              <w:rPr>
                <w:sz w:val="14"/>
              </w:rPr>
              <w:t>BUY +1.8%</w:t>
            </w:r>
          </w:p>
        </w:tc>
        <w:tc>
          <w:tcPr>
            <w:tcW w:type="dxa" w:w="1176"/>
          </w:tcPr>
          <w:p>
            <w:r>
              <w:rPr>
                <w:sz w:val="14"/>
              </w:rPr>
              <w:t>14.2%</w:t>
            </w:r>
          </w:p>
        </w:tc>
        <w:tc>
          <w:tcPr>
            <w:tcW w:type="dxa" w:w="1176"/>
          </w:tcPr>
          <w:p>
            <w:r>
              <w:rPr>
                <w:sz w:val="14"/>
              </w:rPr>
              <w:t>$1,002,100</w:t>
            </w:r>
          </w:p>
        </w:tc>
        <w:tc>
          <w:tcPr>
            <w:tcW w:type="dxa" w:w="1176"/>
          </w:tcPr>
          <w:p>
            <w:r>
              <w:rPr>
                <w:color w:val="008000"/>
                <w:sz w:val="14"/>
              </w:rPr>
              <w:t>+$700</w:t>
            </w:r>
          </w:p>
        </w:tc>
      </w:tr>
      <w:tr>
        <w:tc>
          <w:tcPr>
            <w:tcW w:type="dxa" w:w="1176"/>
          </w:tcPr>
          <w:p>
            <w:r>
              <w:rPr>
                <w:sz w:val="14"/>
              </w:rPr>
              <w:t>13 Jan</w:t>
            </w:r>
          </w:p>
        </w:tc>
        <w:tc>
          <w:tcPr>
            <w:tcW w:type="dxa" w:w="1176"/>
          </w:tcPr>
          <w:p>
            <w:r>
              <w:rPr>
                <w:sz w:val="14"/>
              </w:rPr>
              <w:t>$464.53</w:t>
            </w:r>
          </w:p>
        </w:tc>
        <w:tc>
          <w:tcPr>
            <w:tcW w:type="dxa" w:w="1176"/>
          </w:tcPr>
          <w:p>
            <w:r>
              <w:rPr>
                <w:sz w:val="14"/>
              </w:rPr>
              <w:t>-1.38%</w:t>
            </w:r>
          </w:p>
        </w:tc>
        <w:tc>
          <w:tcPr>
            <w:tcW w:type="dxa" w:w="1176"/>
          </w:tcPr>
          <w:p>
            <w:r>
              <w:rPr>
                <w:sz w:val="14"/>
              </w:rPr>
              <w:t>0.62 (med)</w:t>
            </w:r>
          </w:p>
        </w:tc>
        <w:tc>
          <w:tcPr>
            <w:tcW w:type="dxa" w:w="1176"/>
          </w:tcPr>
          <w:p>
            <w:r>
              <w:rPr>
                <w:sz w:val="14"/>
              </w:rPr>
              <w:t>HOLD</w:t>
            </w:r>
          </w:p>
        </w:tc>
        <w:tc>
          <w:tcPr>
            <w:tcW w:type="dxa" w:w="1176"/>
          </w:tcPr>
          <w:p>
            <w:r>
              <w:rPr>
                <w:sz w:val="14"/>
              </w:rPr>
              <w:t>14.2%</w:t>
            </w:r>
          </w:p>
        </w:tc>
        <w:tc>
          <w:tcPr>
            <w:tcW w:type="dxa" w:w="1176"/>
          </w:tcPr>
          <w:p>
            <w:r>
              <w:rPr>
                <w:sz w:val="14"/>
              </w:rPr>
              <w:t>$999,100</w:t>
            </w:r>
          </w:p>
        </w:tc>
        <w:tc>
          <w:tcPr>
            <w:tcW w:type="dxa" w:w="1176"/>
          </w:tcPr>
          <w:p>
            <w:r>
              <w:rPr>
                <w:color w:val="CC0000"/>
                <w:sz w:val="14"/>
              </w:rPr>
              <w:t>-$3,000</w:t>
            </w:r>
          </w:p>
        </w:tc>
      </w:tr>
      <w:tr>
        <w:tc>
          <w:tcPr>
            <w:tcW w:type="dxa" w:w="1176"/>
          </w:tcPr>
          <w:p>
            <w:r>
              <w:rPr>
                <w:sz w:val="14"/>
              </w:rPr>
              <w:t>14 Jan</w:t>
            </w:r>
          </w:p>
        </w:tc>
        <w:tc>
          <w:tcPr>
            <w:tcW w:type="dxa" w:w="1176"/>
          </w:tcPr>
          <w:p>
            <w:r>
              <w:rPr>
                <w:sz w:val="14"/>
              </w:rPr>
              <w:t>$456.49</w:t>
            </w:r>
          </w:p>
        </w:tc>
        <w:tc>
          <w:tcPr>
            <w:tcW w:type="dxa" w:w="1176"/>
          </w:tcPr>
          <w:p>
            <w:r>
              <w:rPr>
                <w:sz w:val="14"/>
              </w:rPr>
              <w:t>-1.73%</w:t>
            </w:r>
          </w:p>
        </w:tc>
        <w:tc>
          <w:tcPr>
            <w:tcW w:type="dxa" w:w="1176"/>
          </w:tcPr>
          <w:p>
            <w:r>
              <w:rPr>
                <w:sz w:val="14"/>
              </w:rPr>
              <w:t>0.81 (HIGH)</w:t>
            </w:r>
          </w:p>
        </w:tc>
        <w:tc>
          <w:tcPr>
            <w:tcW w:type="dxa" w:w="1176"/>
          </w:tcPr>
          <w:p>
            <w:r>
              <w:rPr>
                <w:b/>
                <w:sz w:val="14"/>
              </w:rPr>
              <w:t>BLOCKED</w:t>
            </w:r>
          </w:p>
        </w:tc>
        <w:tc>
          <w:tcPr>
            <w:tcW w:type="dxa" w:w="1176"/>
          </w:tcPr>
          <w:p>
            <w:r>
              <w:rPr>
                <w:sz w:val="14"/>
              </w:rPr>
              <w:t>14.2%</w:t>
            </w:r>
          </w:p>
        </w:tc>
        <w:tc>
          <w:tcPr>
            <w:tcW w:type="dxa" w:w="1176"/>
          </w:tcPr>
          <w:p>
            <w:r>
              <w:rPr>
                <w:sz w:val="14"/>
              </w:rPr>
              <w:t>$995,800</w:t>
            </w:r>
          </w:p>
        </w:tc>
        <w:tc>
          <w:tcPr>
            <w:tcW w:type="dxa" w:w="1176"/>
          </w:tcPr>
          <w:p>
            <w:r>
              <w:rPr>
                <w:color w:val="CC0000"/>
                <w:sz w:val="14"/>
              </w:rPr>
              <w:t>-$3,300</w:t>
            </w:r>
          </w:p>
        </w:tc>
      </w:tr>
    </w:tbl>
    <w:p>
      <w:r>
        <w:rPr>
          <w:b w:val="0"/>
          <w:i w:val="0"/>
        </w:rPr>
      </w:r>
    </w:p>
    <w:p>
      <w:r>
        <w:rPr>
          <w:b w:val="0"/>
          <w:i w:val="0"/>
        </w:rPr>
        <w:t>Worked example — why 5 January shows BUY but a loss: on 4 January the agent held 6.0% of the portfolio in SPY (roughly $60,000 worth). Overnight, SPY dropped -1.94%. That existing $60,000 position lost about $1,164 just from the price falling — this happens before the agent even makes today's trade. The agent then buys 2.0% more (moving another ~$20,000 from cash into SPY at the new lower price). The new purchase itself does not cause a loss — it simply shifts cash into stock. But the damage from the market drop on the existing holdings is already done, which is why the Daily P&amp;L shows -$2,267 even though the agent chose to buy. The Trade column shows what the agent decided; the Daily P&amp;L shows what the market did to the portfolio.</w:t>
      </w:r>
    </w:p>
    <w:p>
      <w:r>
        <w:rPr>
          <w:b w:val="0"/>
          <w:i w:val="0"/>
        </w:rPr>
        <w:t>Notice how losses grow with exposure: on 6 January the portfolio had 9.6% in SPY and lost only $170 from a -0.09% price move. By 13–14 January the portfolio had 14.2% in SPY and lost $3,000–$3,300 from similar-sized drops. More exposure means bigger swings in both directions — which is exactly why the uncertainty blocking mechanism matters. On 14 January, with uncertainty at 0.81, the system blocks new buys, preventing the agent from increasing exposure further into a falling market.</w:t>
      </w:r>
    </w:p>
    <w:p>
      <w:r>
        <w:rPr>
          <w:b w:val="0"/>
          <w:i w:val="0"/>
        </w:rPr>
        <w:t>This is the core mechanism of the dissertation. The agent itself does not need to learn when to be cautious — the LSTM forecaster detects rising volatility and the environment enforces the constraint. The 60-day interactive version of this simulation is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