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42.png" ContentType="image/png"/>
  <Override PartName="/word/media/rId49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ch:results_simple"/>
    <w:p>
      <w:pPr>
        <w:pStyle w:val="Heading1"/>
      </w:pPr>
      <w:r>
        <w:t xml:space="preserve">Empirical Results &amp; Analysis</w:t>
      </w:r>
    </w:p>
    <w:p>
      <w:pPr>
        <w:pStyle w:val="FirstParagraph"/>
      </w:pPr>
      <w:r>
        <w:t xml:space="preserve">This chapter reports every experiment on the simple-modelling track in the order the methodology builds: Phase 0 validates the learning algorithms on games with known outcomes; Phase 1 applies the validated PPO loop to real SPY data under Iteration 1 (3-D state) and Iteration 2 (5-D state). All numbers are produced by committed scripts; none are illustrative placeholders.</w:t>
      </w:r>
    </w:p>
    <w:bookmarkStart w:id="11" w:name="sec:setup_simple"/>
    <w:p>
      <w:pPr>
        <w:pStyle w:val="Heading2"/>
      </w:pPr>
      <w:r>
        <w:t xml:space="preserve">Experimental setup and evaluation metrics</w:t>
      </w:r>
    </w:p>
    <w:bookmarkStart w:id="9" w:name="phase-0-games."/>
    <w:p>
      <w:pPr>
        <w:pStyle w:val="Heading5"/>
      </w:pPr>
      <w:r>
        <w:t xml:space="preserve">Phase 0 (games).</w:t>
      </w:r>
    </w:p>
    <w:p>
      <w:pPr>
        <w:pStyle w:val="FirstParagraph"/>
      </w:pPr>
      <w:r>
        <w:t xml:space="preserve">Fixed seed 42. Budgets: 50</w:t>
      </w:r>
      <w:r>
        <w:t xml:space="preserve">,</w:t>
      </w:r>
      <w:r>
        <w:t xml:space="preserve">000 environment timesteps on CartPole; 150</w:t>
      </w:r>
      <w:r>
        <w:t xml:space="preserve">,</w:t>
      </w:r>
      <w:r>
        <w:t xml:space="preserve">000 on Flappy Bird and LunarLander; REINFORCE uses an equivalent episode budget. Evaluation: 30 greedy episodes. Metric: mean evaluation return.</w:t>
      </w:r>
    </w:p>
    <w:bookmarkEnd w:id="9"/>
    <w:bookmarkStart w:id="10" w:name="phase-1-trading."/>
    <w:p>
      <w:pPr>
        <w:pStyle w:val="Heading5"/>
      </w:pPr>
      <w:r>
        <w:t xml:space="preserve">Phase 1 (trading).</w:t>
      </w:r>
    </w:p>
    <w:p>
      <w:pPr>
        <w:pStyle w:val="FirstParagraph"/>
      </w:pPr>
      <w:r>
        <w:t xml:space="preserve">SPY daily closes 2018–2024, chronological 58 / 26 month split (test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Nov 2022 – Dec 2024).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 bps, PPO 80</w:t>
      </w:r>
      <w:r>
        <w:t xml:space="preserve">,</w:t>
      </w:r>
      <w:r>
        <w:t xml:space="preserve">000 timesteps, seed 42. Metrics: wealth change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($), trades per month, win rate vs the strongest passive baseline. Standing diagnostics: accounting identity (tolerance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 and illegal-action request rate.</w:t>
      </w:r>
    </w:p>
    <w:bookmarkEnd w:id="10"/>
    <w:bookmarkEnd w:id="11"/>
    <w:bookmarkStart w:id="30" w:name="sec:phase0_results"/>
    <w:p>
      <w:pPr>
        <w:pStyle w:val="Heading2"/>
      </w:pPr>
      <w:r>
        <w:t xml:space="preserve">Phase 0: algorithm validation on games</w:t>
      </w:r>
    </w:p>
    <w:p>
      <w:pPr>
        <w:pStyle w:val="FirstParagraph"/>
      </w:pPr>
      <w:r>
        <w:t xml:space="preserve">Table </w:t>
      </w:r>
      <w:hyperlink w:anchor="tab:phase0_result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and Figures </w:t>
      </w:r>
      <w:hyperlink w:anchor="fig:phase0_cartpole_bar">
        <w:r>
          <w:rPr>
            <w:rStyle w:val="Hyperlink"/>
          </w:rPr>
          <w:t xml:space="preserve">1.1</w:t>
        </w:r>
      </w:hyperlink>
      <w:r>
        <w:t xml:space="preserve">–</w:t>
      </w:r>
      <w:hyperlink w:anchor="fig:phase0_lunar_bar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summarise the three-game suite.</w:t>
      </w:r>
    </w:p>
    <w:bookmarkStart w:id="12" w:name="tab:phase0_results"/>
    <w:p>
      <w:pPr>
        <w:pStyle w:val="TableCaption"/>
      </w:pPr>
      <w:r>
        <w:t xml:space="preserve">Phase 0 mean evaluation return (30 greedy episodes, seed 42). CartPole solved</w:t>
      </w:r>
      <w:r>
        <w:t xml:space="preserve"> </w:t>
      </w:r>
      <m:oMath>
        <m:r>
          <m:rPr>
            <m:sty m:val="p"/>
          </m:rPr>
          <m:t>≈</m:t>
        </m:r>
        <m:r>
          <m:t>475</m:t>
        </m:r>
      </m:oMath>
      <w:r>
        <w:t xml:space="preserve">; LunarLander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. Tabular Q-learning only on discretized CartPole.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0 mean evaluation return (30 greedy episodes, seed 42). CartPole solved \approx 475; LunarLander \approx 200. Tabular Q-learning only on discretized CartPol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CartPole-v1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FlappyBird-v0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LunarLander-v3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7.4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183.4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Q-learning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 (scratch)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41.2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</w:t>
            </w:r>
          </w:p>
        </w:tc>
      </w:tr>
    </w:tbl>
    <w:bookmarkEnd w:id="12"/>
    <w:bookmarkStart w:id="16" w:name="fig:phase0_cartpole_bar"/>
    <w:p>
      <w:pPr>
        <w:pStyle w:val="CaptionedFigure"/>
      </w:pPr>
      <w:r>
        <w:drawing>
          <wp:inline>
            <wp:extent cx="4533900" cy="246617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phase0_cartpole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CartPole algorithm comparison. Learning methods clear the random floor; Q-table / DQN / A2C / PPO hit the 500-step cap.</w:t>
      </w:r>
    </w:p>
    <w:bookmarkEnd w:id="16"/>
    <w:bookmarkStart w:id="20" w:name="fig:phase0_curves"/>
    <w:p>
      <w:pPr>
        <w:pStyle w:val="CaptionedFigure"/>
      </w:pPr>
      <w:r>
        <w:drawing>
          <wp:inline>
            <wp:extent cx="4533900" cy="257815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phase0_cartpole_curv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7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CartPole learning curves (25-episode moving average). Scratch REINFORCE learns but plateaus below the clipped / actor–critic methods.</w:t>
      </w:r>
    </w:p>
    <w:bookmarkEnd w:id="20"/>
    <w:bookmarkStart w:id="24" w:name="fig:phase0_flappy_bar"/>
    <w:p>
      <w:pPr>
        <w:pStyle w:val="CaptionedFigure"/>
      </w:pPr>
      <w:r>
        <w:drawing>
          <wp:inline>
            <wp:extent cx="4533900" cy="246356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hase0_flappy_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Flappy Bird comparison. PPO is the strongest learner under the fixed budget.</w:t>
      </w:r>
    </w:p>
    <w:bookmarkEnd w:id="24"/>
    <w:bookmarkStart w:id="28" w:name="fig:phase0_lunar_bar"/>
    <w:p>
      <w:pPr>
        <w:pStyle w:val="CaptionedFigure"/>
      </w:pPr>
      <w:r>
        <w:drawing>
          <wp:inline>
            <wp:extent cx="4533900" cy="246356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hase0_lunarlander_comparis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LunarLander-v3 comparison. PPO and DQN approach the solved threshold (</w:t>
      </w:r>
      <m:oMath>
        <m:r>
          <m:rPr>
            <m:sty m:val="p"/>
          </m:rPr>
          <m:t>≈</m:t>
        </m:r>
        <m:r>
          <m:t>200</m:t>
        </m:r>
      </m:oMath>
      <w:r>
        <w:t xml:space="preserve">).</w:t>
      </w:r>
    </w:p>
    <w:bookmarkEnd w:id="28"/>
    <w:bookmarkStart w:id="29" w:name="carry-forward."/>
    <w:p>
      <w:pPr>
        <w:pStyle w:val="Heading5"/>
      </w:pPr>
      <w:r>
        <w:t xml:space="preserve">Carry-forward.</w:t>
      </w:r>
    </w:p>
    <w:p>
      <w:pPr>
        <w:pStyle w:val="FirstParagraph"/>
      </w:pPr>
      <w:r>
        <w:t xml:space="preserve">Every implementation clears its random floor. Scratch REINFORCE works but is noisy — the textbook motivation for actor–critic and clipping. Tabular Q-learning reaches 500 on CartPole</w:t>
      </w:r>
      <w:r>
        <w:t xml:space="preserve"> </w:t>
      </w:r>
      <w:r>
        <w:rPr>
          <w:i/>
          <w:iCs/>
        </w:rPr>
        <w:t xml:space="preserve">only after</w:t>
      </w:r>
      <w:r>
        <w:t xml:space="preserve"> </w:t>
      </w:r>
      <w:r>
        <w:t xml:space="preserve">hand-binning; trading states with continuous cash and prices make that table explode, so Phase 1 uses policy-gradient methods with function approximation. PPO is the most consistent learner across games and is therefore the trading algorithm.</w:t>
      </w:r>
    </w:p>
    <w:bookmarkEnd w:id="29"/>
    <w:bookmarkEnd w:id="30"/>
    <w:bookmarkStart w:id="47" w:name="sec:phase1_iter1_results"/>
    <w:p>
      <w:pPr>
        <w:pStyle w:val="Heading2"/>
      </w:pPr>
      <w:r>
        <w:t xml:space="preserve">Phase 1, Iteration 1: the 3-D state agent</w:t>
      </w:r>
    </w:p>
    <w:p>
      <w:pPr>
        <w:pStyle w:val="FirstParagraph"/>
      </w:pPr>
      <w:r>
        <w:t xml:space="preserve">Table </w:t>
      </w:r>
      <w:hyperlink w:anchor="tab:phase1_iter1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and Figure </w:t>
      </w:r>
      <w:hyperlink w:anchor="fig:phase1_iter1_bar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compare PPO on</w:t>
      </w:r>
      <w:r>
        <w:t xml:space="preserve"> </w:t>
      </w:r>
      <w:r>
        <w:rPr>
          <w:rStyle w:val="VerbatimChar"/>
        </w:rPr>
        <w:t xml:space="preserve">TradingEnv-v0</w:t>
      </w:r>
      <w:r>
        <w:t xml:space="preserve"> </w:t>
      </w:r>
      <w:r>
        <w:t xml:space="preserve">against four baselines with explicit objectives.</w:t>
      </w:r>
    </w:p>
    <w:bookmarkStart w:id="31" w:name="tab:phase1_iter1"/>
    <w:p>
      <w:pPr>
        <w:pStyle w:val="TableCaption"/>
      </w:pPr>
      <w:r>
        <w:t xml:space="preserve">Iteration 1 on 26 held-out SPY test months.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in dollars; fee 5 bps; PPO 80k steps.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teration 1 on 26 held-out SPY test months. \Delta W in dollars; fee 5 bps; PPO 80k step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Trades/mo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Win vs B1b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 do-nothing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buy-one-hold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B1b buy-max-hold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random (masked)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PPO (3-D state)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bookmarkEnd w:id="31"/>
    <w:bookmarkStart w:id="35" w:name="fig:phase1_iter1_bar"/>
    <w:p>
      <w:pPr>
        <w:pStyle w:val="CaptionedFigure"/>
      </w:pPr>
      <w:r>
        <w:drawing>
          <wp:inline>
            <wp:extent cx="4533900" cy="252346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hase1_spy_daily_delta_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2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Iteration 1 mean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on test months. A1 matches B1b exactly once the fair fully-invested baseline is included.</w:t>
      </w:r>
    </w:p>
    <w:bookmarkEnd w:id="35"/>
    <w:bookmarkStart w:id="39" w:name="fig:phase1_wealth"/>
    <w:p>
      <w:pPr>
        <w:pStyle w:val="CaptionedFigure"/>
      </w:pPr>
      <w:r>
        <w:drawing>
          <wp:inline>
            <wp:extent cx="4533900" cy="250586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hase1_spy_daily_wealth_path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0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Wealth path for a representative test month: B1b buy-max hold vs A1 PPO (identical after collapse).</w:t>
      </w:r>
    </w:p>
    <w:bookmarkEnd w:id="39"/>
    <w:bookmarkStart w:id="40" w:name="honest-headline."/>
    <w:p>
      <w:pPr>
        <w:pStyle w:val="Heading5"/>
      </w:pPr>
      <w:r>
        <w:t xml:space="preserve">Honest headline.</w:t>
      </w:r>
    </w:p>
    <w:p>
      <w:pPr>
        <w:pStyle w:val="FirstParagraph"/>
      </w:pPr>
      <w:r>
        <w:t xml:space="preserve">Deterministic PPO matched B1b on</w:t>
      </w:r>
      <w:r>
        <w:t xml:space="preserve"> </w:t>
      </w:r>
      <w:r>
        <w:rPr>
          <w:b/>
          <w:bCs/>
        </w:rPr>
        <w:t xml:space="preserve">all 26</w:t>
      </w:r>
      <w:r>
        <w:t xml:space="preserve"> </w:t>
      </w:r>
      <w:r>
        <w:t xml:space="preserve">test months: under pure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with a 3-D state, the learned policy is</w:t>
      </w:r>
      <w:r>
        <w:t xml:space="preserve"> </w:t>
      </w:r>
      <w:r>
        <w:t xml:space="preserve">“get fully invested and stay there.”</w:t>
      </w:r>
      <w:r>
        <w:t xml:space="preserve"> </w:t>
      </w:r>
      <w:r>
        <w:t xml:space="preserve">Against the one-share baseline B1 this would look like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win; against fair B1b it is rediscovered buy-and-hold. Accounting identity held exactly; illegal-action request rate was 3.9%.</w:t>
      </w:r>
    </w:p>
    <w:bookmarkEnd w:id="40"/>
    <w:bookmarkStart w:id="46" w:name="sec:phase1_ablation"/>
    <w:p>
      <w:pPr>
        <w:pStyle w:val="Heading3"/>
      </w:pPr>
      <w:r>
        <w:t xml:space="preserve">Policy-family ablation: is the collapse specific to PPO?</w:t>
      </w:r>
    </w:p>
    <w:p>
      <w:pPr>
        <w:pStyle w:val="FirstParagraph"/>
      </w:pPr>
      <w:r>
        <w:t xml:space="preserve">To test whether the collapse is an artefact of the optimiser, the identical MDP, data split, fee, seed and 80</w:t>
      </w:r>
      <w:r>
        <w:t xml:space="preserve">,</w:t>
      </w:r>
      <w:r>
        <w:t xml:space="preserve">000-step budget were re-run with two further policy-gradient methods: a from-scratch masked REINFORCE implementation (</w:t>
      </w:r>
      <w:r>
        <w:rPr>
          <w:rStyle w:val="VerbatimChar"/>
        </w:rPr>
        <w:t xml:space="preserve">reinforce_trading.py</w:t>
      </w:r>
      <w:r>
        <w:t xml:space="preserve">; infeasible actions receive logit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before sampling) and A2C. Value-based methods were excluded by design: tabular Q-learning cannot index a continuous cash–price state, and DQN sits off the policy-based track this project follows.</w:t>
      </w:r>
    </w:p>
    <w:bookmarkStart w:id="41" w:name="tab:phase1_ablation"/>
    <w:p>
      <w:pPr>
        <w:pStyle w:val="TableCaption"/>
      </w:pPr>
      <w:r>
        <w:t xml:space="preserve">Policy-family ablation on the Iteration-1 MDP (26 held-out SPY months, matched 80k-step budget, seed 42).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licy-family ablation on the Iteration-1 MDP (26 held-out SPY months, matched 80k-step budget, seed 42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Trades/mo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Months identical to B1b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B1b buy-max-hold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26/26 (def.)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 (scratch)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26/26</w:t>
            </w:r>
          </w:p>
        </w:tc>
      </w:tr>
    </w:tbl>
    <w:bookmarkEnd w:id="41"/>
    <w:bookmarkStart w:id="45" w:name="fig:phase1_ablation"/>
    <w:p>
      <w:pPr>
        <w:pStyle w:val="CaptionedFigure"/>
      </w:pPr>
      <w:r>
        <w:drawing>
          <wp:inline>
            <wp:extent cx="4533900" cy="228312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hase1_algo_ablation_delta_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8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Policy-family ablation. REINFORCE, A2C and PPO execute the identical buy-max action sequence on every test month.</w:t>
      </w:r>
    </w:p>
    <w:bookmarkEnd w:id="45"/>
    <w:p>
      <w:pPr>
        <w:pStyle w:val="BodyText"/>
      </w:pPr>
      <w:r>
        <w:t xml:space="preserve">All three optimisers converge to the same fully-invested policy, with identical executed action sequences on every test month (Table </w:t>
      </w:r>
      <w:hyperlink w:anchor="tab:phase1_ablation">
        <w:r>
          <w:rPr>
            <w:rStyle w:val="Hyperlink"/>
          </w:rPr>
          <w:t xml:space="preserve">1.3</w:t>
        </w:r>
      </w:hyperlink>
      <w:r>
        <w:t xml:space="preserve">). The collapse is therefore a property of the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— a risk-neutral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reward in a predominantly rising window — and not of PPO. PPO remains the primary algorithm on stability grounds: it was the only policy method consistently strong across the harder Phase-0 games, and its clipped updates guard against the destructive policy jumps unclipped methods permit.</w:t>
      </w:r>
    </w:p>
    <w:bookmarkEnd w:id="46"/>
    <w:bookmarkEnd w:id="47"/>
    <w:bookmarkStart w:id="53" w:name="sec:phase1_iter2_results"/>
    <w:p>
      <w:pPr>
        <w:pStyle w:val="Heading2"/>
      </w:pPr>
      <w:r>
        <w:t xml:space="preserve">Phase 1, Iteration 2: the 5-D state agent</w:t>
      </w:r>
    </w:p>
    <w:p>
      <w:pPr>
        <w:pStyle w:val="FirstParagraph"/>
      </w:pPr>
      <w:r>
        <w:t xml:space="preserve">Iteration 2 re-trains the identical PPO configuration on</w:t>
      </w:r>
      <w:r>
        <w:t xml:space="preserve"> </w:t>
      </w:r>
      <w:r>
        <w:rPr>
          <w:rStyle w:val="VerbatimChar"/>
        </w:rPr>
        <w:t xml:space="preserve">TradingEnv-v1</w:t>
      </w:r>
      <w:r>
        <w:t xml:space="preserve">, changing only the state. Table </w:t>
      </w:r>
      <w:hyperlink w:anchor="tab:phase1_iter2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and Figure </w:t>
      </w:r>
      <w:hyperlink w:anchor="fig:phase1_iter2_bar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report the comparison.</w:t>
      </w:r>
    </w:p>
    <w:bookmarkStart w:id="48" w:name="tab:phase1_iter2"/>
    <w:p>
      <w:pPr>
        <w:pStyle w:val="TableCaption"/>
      </w:pPr>
      <w:r>
        <w:t xml:space="preserve">Iteration 2 vs Iteration 1 on the same 26 test months, budget, fee and seed.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teration 2 vs Iteration 1 on the same 26 test months, budget, fee and se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Trades/mo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Months identical to B1b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PPO, 3-D (Iter. 1)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PPO, 5-D (Iter. 2)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B1b buy-max-hold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48"/>
    <w:bookmarkStart w:id="52" w:name="fig:phase1_iter2_bar"/>
    <w:p>
      <w:pPr>
        <w:pStyle w:val="CaptionedFigure"/>
      </w:pPr>
      <w:r>
        <w:drawing>
          <wp:inline>
            <wp:extent cx="4533900" cy="252346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hase1_iteration2_delta_w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2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Iteration 2 (5-D) vs Iteration 1 / buy-max. Richer state breaks the collapse but converges mostly-flat under deterministic evaluation.</w:t>
      </w:r>
    </w:p>
    <w:bookmarkEnd w:id="52"/>
    <w:p>
      <w:pPr>
        <w:pStyle w:val="BodyText"/>
      </w:pPr>
      <w:r>
        <w:t xml:space="preserve">The richer state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break the buy-and-hold collapse (0/26 months identical to B1b) but converged to the opposite corner: a cautious, mostly-flat policy. Mean action probabilities on a representative test month: Hold 0.66, Buy 0.12, Sell 0.22 — so argmax evaluation never trades. Sampling actions stochastically yields mean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$</m:t>
        </m:r>
        <m:r>
          <m:t>1.87</m:t>
        </m:r>
      </m:oMath>
      <w:r>
        <w:t xml:space="preserve">. Month-by-month, the flat agent still beats fully-invested B1b in 8 of 26 months (the falling ones).</w:t>
      </w:r>
    </w:p>
    <w:bookmarkEnd w:id="53"/>
    <w:bookmarkStart w:id="55" w:name="sec:master_table"/>
    <w:p>
      <w:pPr>
        <w:pStyle w:val="Heading2"/>
      </w:pPr>
      <w:r>
        <w:t xml:space="preserve">Master comparison across iterations</w:t>
      </w:r>
    </w:p>
    <w:bookmarkStart w:id="54" w:name="tab:master"/>
    <w:p>
      <w:pPr>
        <w:pStyle w:val="TableCaption"/>
      </w:pPr>
      <w:r>
        <w:t xml:space="preserve">Master results table for the simple-modelling track (Phase 1, SPY test months).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ster results table for the simple-modelling track (Phase 1, SPY test month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B1b buy-max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Iter. 1 PPO (3-D)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Iter. 2 PPO (5-D)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dimension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</m:oMath>
            <w:r>
              <w:t xml:space="preserve"> </w:t>
            </w:r>
            <w:r>
              <w:t xml:space="preserve">($)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trades / month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Identical to B1b (months)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26/26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bookmarkEnd w:id="54"/>
    <w:bookmarkEnd w:id="55"/>
    <w:bookmarkStart w:id="60" w:name="sec:analysis_simple"/>
    <w:p>
      <w:pPr>
        <w:pStyle w:val="Heading2"/>
      </w:pPr>
      <w:r>
        <w:t xml:space="preserve">Analysis and key findings</w:t>
      </w:r>
    </w:p>
    <w:bookmarkStart w:id="56" w:name="X7c23384b159a518e2cf5e2eaf001808365232a3"/>
    <w:p>
      <w:pPr>
        <w:pStyle w:val="Heading5"/>
      </w:pPr>
      <w:r>
        <w:t xml:space="preserve">1. The reward, not the state (or the algorithm), sets the incentive.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 a mostly-rising test window, full investment is near-optimal and Iteration 1 found exactly that. The policy-family ablation (Section </w:t>
      </w:r>
      <w:hyperlink w:anchor="sec:phase1_ablation">
        <w:r>
          <w:rPr>
            <w:rStyle w:val="Hyperlink"/>
          </w:rPr>
          <w:t xml:space="preserve">1.3.1</w:t>
        </w:r>
      </w:hyperlink>
      <w:r>
        <w:t xml:space="preserve">) confirms the finding is optimiser-independent: REINFORCE, A2C and PPO all converge to the identical buy-max policy. Adding entry and time context moved the policy along the exposure axis (always-invested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almost-never-invested) without creating selective timing. Both extremes are rational responses to a risk-neutral reward estimated from noisy monthly episodes whose training window includes the COVID crash and the 2022 bear market.</w:t>
      </w:r>
    </w:p>
    <w:bookmarkEnd w:id="56"/>
    <w:bookmarkStart w:id="57" w:name="baseline-design-is-itself-a-result."/>
    <w:p>
      <w:pPr>
        <w:pStyle w:val="Heading5"/>
      </w:pPr>
      <w:r>
        <w:t xml:space="preserve">2. Baseline design is itself a result.</w:t>
      </w:r>
    </w:p>
    <w:p>
      <w:pPr>
        <w:pStyle w:val="FirstParagraph"/>
      </w:pPr>
      <w:r>
        <w:t xml:space="preserve">Without fair B1b, Iteration 1 would have been reported as</w:t>
      </w:r>
      <w:r>
        <w:t xml:space="preserve"> </w:t>
      </w:r>
      <w:r>
        <w:t xml:space="preserve">“PPO beats buy-and-hold by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.”</w:t>
      </w:r>
      <w:r>
        <w:t xml:space="preserve"> </w:t>
      </w:r>
      <w:r>
        <w:t xml:space="preserve">With it, the correct statement is</w:t>
      </w:r>
      <w:r>
        <w:t xml:space="preserve"> </w:t>
      </w:r>
      <w:r>
        <w:t xml:space="preserve">“PPO rediscovered buy-and-hold.”</w:t>
      </w:r>
    </w:p>
    <w:bookmarkEnd w:id="57"/>
    <w:bookmarkStart w:id="58" w:name="what-iteration-3-must-change."/>
    <w:p>
      <w:pPr>
        <w:pStyle w:val="Heading5"/>
      </w:pPr>
      <w:r>
        <w:t xml:space="preserve">3. What Iteration 3 must change.</w:t>
      </w:r>
    </w:p>
    <w:p>
      <w:pPr>
        <w:pStyle w:val="FirstParagraph"/>
      </w:pPr>
      <w:r>
        <w:t xml:space="preserve">Because the state upgrade only shifted exposure, the next iteration targets the objective: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λ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(drawdown penalty) gives a reason to hold</w:t>
      </w:r>
      <w:r>
        <w:t xml:space="preserve"> </w:t>
      </w:r>
      <w:r>
        <w:rPr>
          <w:i/>
          <w:iCs/>
        </w:rPr>
        <w:t xml:space="preserve">selectively</w:t>
      </w:r>
      <w:r>
        <w:t xml:space="preserve">. The masked-action rate and accounting identity carry forward as standing diagnostics.</w:t>
      </w:r>
    </w:p>
    <w:bookmarkEnd w:id="58"/>
    <w:bookmarkStart w:id="59" w:name="scope."/>
    <w:p>
      <w:pPr>
        <w:pStyle w:val="Heading5"/>
      </w:pPr>
      <w:r>
        <w:t xml:space="preserve">Scope.</w:t>
      </w:r>
    </w:p>
    <w:p>
      <w:pPr>
        <w:pStyle w:val="FirstParagraph"/>
      </w:pPr>
      <w:r>
        <w:t xml:space="preserve">Single-seed, fixed budget, monthly daily-bar episodes. Multi-seed confidence intervals, minute-bar episodes (</w:t>
      </w:r>
      <m:oMath>
        <m:r>
          <m:t>T</m:t>
        </m:r>
        <m:r>
          <m:rPr>
            <m:sty m:val="p"/>
          </m:rPr>
          <m:t>=</m:t>
        </m:r>
        <m:r>
          <m:t>390</m:t>
        </m:r>
      </m:oMath>
      <w:r>
        <w:t xml:space="preserve">), and the drawdown-penalised reward are the planned extensions, in that order.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2026-08-06T01:33:25Z</dcterms:created>
  <dcterms:modified xsi:type="dcterms:W3CDTF">2026-08-06T01:33:25Z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