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h:implementation_simple"/>
    <w:p>
      <w:pPr>
        <w:pStyle w:val="Heading1"/>
      </w:pPr>
      <w:r>
        <w:t xml:space="preserve">System Architecture &amp; Implementation</w:t>
      </w:r>
    </w:p>
    <w:p>
      <w:pPr>
        <w:pStyle w:val="FirstParagraph"/>
      </w:pPr>
      <w:r>
        <w:t xml:space="preserve">This chapter describes how the mathematical model of Chapter 3 becomes running Python code. The implementation translates the Markov Decision Process (MDP) into a modular execution system built on Gymnasium and PyTorch, separating market state handling, policy evaluation, transaction verification, and performance evaluation. Everything here is verifiable on the public orphan branch</w:t>
      </w:r>
      <w:r>
        <w:t xml:space="preserve"> </w:t>
      </w:r>
      <w:r>
        <w:rPr>
          <w:rStyle w:val="VerbatimChar"/>
        </w:rPr>
        <w:t xml:space="preserve">simple-modelling-clean</w:t>
      </w:r>
      <w:r>
        <w:t xml:space="preserve"> </w:t>
      </w:r>
      <w:r>
        <w:t xml:space="preserve">of</w:t>
      </w:r>
      <w:r>
        <w:t xml:space="preserve"> </w:t>
      </w:r>
      <w:hyperlink r:id="rId9">
        <w:r>
          <w:rPr>
            <w:rStyle w:val="Hyperlink"/>
          </w:rPr>
          <w:t xml:space="preserve">https://github.com/TheFinix13/dissertation-project</w:t>
        </w:r>
      </w:hyperlink>
      <w:r>
        <w:t xml:space="preserve">.</w:t>
      </w:r>
    </w:p>
    <w:bookmarkStart w:id="18" w:name="sec:system_overview_simple"/>
    <w:p>
      <w:pPr>
        <w:pStyle w:val="Heading2"/>
      </w:pPr>
      <w:r>
        <w:t xml:space="preserve">Overview of system design</w:t>
      </w:r>
    </w:p>
    <w:p>
      <w:pPr>
        <w:pStyle w:val="FirstParagraph"/>
      </w:pPr>
      <w:r>
        <w:t xml:space="preserve">Figure </w:t>
      </w:r>
      <w:hyperlink w:anchor="fig:environment_cycle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shows the single loop everything else plugs into. The policy network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proposes a discrete action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; the trading environment (a Gymnasium</w:t>
      </w:r>
      <w:r>
        <w:t xml:space="preserve"> </w:t>
      </w:r>
      <w:r>
        <w:rPr>
          <w:rStyle w:val="VerbatimChar"/>
        </w:rPr>
        <w:t xml:space="preserve">gym.Env</w:t>
      </w:r>
      <w:r>
        <w:t xml:space="preserve"> </w:t>
      </w:r>
      <w:r>
        <w:t xml:space="preserve">subclass) executes the action against the market data stream and returns the next state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reward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. Training is running this cycle many times and adjusting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so actions that increased wealth become more probable.</w:t>
      </w:r>
    </w:p>
    <w:bookmarkStart w:id="13" w:name="fig:environment_cycle"/>
    <w:p>
      <w:pPr>
        <w:pStyle w:val="CaptionedFigure"/>
      </w:pPr>
      <w:r>
        <w:drawing>
          <wp:inline>
            <wp:extent cx="4693920" cy="236878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environment_cycl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6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Environment cycle: the policy network exchanges actions for states and rewards with the Gymnasium trading environment wrapping the market data stream.</w:t>
      </w:r>
    </w:p>
    <w:bookmarkEnd w:id="13"/>
    <w:p>
      <w:pPr>
        <w:pStyle w:val="BodyText"/>
      </w:pPr>
      <w:r>
        <w:t xml:space="preserve">Figure </w:t>
      </w:r>
      <w:hyperlink w:anchor="fig:actor_critic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places the same loop in the actor–critic architecture used by A2C and PPO: a shared observation feeds a policy head (actor) and a value head (critic). The actor proposes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; the critic estimates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so the policy update can be written as an advantage rather than a raw Monte-Carlo return.</w:t>
      </w:r>
    </w:p>
    <w:bookmarkStart w:id="17" w:name="fig:actor_critic"/>
    <w:p>
      <w:pPr>
        <w:pStyle w:val="CaptionedFigure"/>
      </w:pPr>
      <w:r>
        <w:drawing>
          <wp:inline>
            <wp:extent cx="4800600" cy="531130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actor_critic_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311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Actor–critic architecture used by A2C and PPO. The actor is the trading policy; the critic supplies the baseline for the advantage estimate.</w:t>
      </w:r>
    </w:p>
    <w:bookmarkEnd w:id="17"/>
    <w:bookmarkEnd w:id="18"/>
    <w:bookmarkStart w:id="21" w:name="sec:env_engine_simple"/>
    <w:p>
      <w:pPr>
        <w:pStyle w:val="Heading2"/>
      </w:pPr>
      <w:r>
        <w:t xml:space="preserve">Environment engine (</w:t>
      </w:r>
      <w:r>
        <w:rPr>
          <w:rStyle w:val="VerbatimChar"/>
        </w:rPr>
        <w:t xml:space="preserve">TradingEnv</w:t>
      </w:r>
      <w:r>
        <w:t xml:space="preserve">)</w:t>
      </w:r>
    </w:p>
    <w:p>
      <w:pPr>
        <w:pStyle w:val="FirstParagraph"/>
      </w:pPr>
      <w:r>
        <w:t xml:space="preserve">The core environment subclasses</w:t>
      </w:r>
      <w:r>
        <w:t xml:space="preserve"> </w:t>
      </w:r>
      <w:r>
        <w:rPr>
          <w:rStyle w:val="VerbatimChar"/>
        </w:rPr>
        <w:t xml:space="preserve">gym.Env</w:t>
      </w:r>
      <w:r>
        <w:t xml:space="preserve"> </w:t>
      </w:r>
      <w:r>
        <w:t xml:space="preserve">and handles market data loading, position tracking, order checks, and state formulation. Experimental progression scales incrementally from the Iteration 1 baseline to Iteration 2.</w:t>
      </w:r>
    </w:p>
    <w:bookmarkStart w:id="19" w:name="sec:tradingenv_v0"/>
    <w:p>
      <w:pPr>
        <w:pStyle w:val="Heading3"/>
      </w:pPr>
      <w:r>
        <w:t xml:space="preserve">Iteration 1 baseline engine (</w:t>
      </w:r>
      <w:r>
        <w:rPr>
          <w:rStyle w:val="VerbatimChar"/>
        </w:rPr>
        <w:t xml:space="preserve">TradingEnv-v0</w:t>
      </w:r>
      <w:r>
        <w:t xml:space="preserve">)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experiments/iteration1/env.py</w:t>
      </w:r>
      <w:r>
        <w:t xml:space="preserve">.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 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Action set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:</m:t>
        </m:r>
        <m:r>
          <m:rPr>
            <m:nor/>
            <m:sty m:val="p"/>
          </m:rPr>
          <m:t>Hold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:</m:t>
        </m:r>
        <m:r>
          <m:rPr>
            <m:nor/>
            <m:sty m:val="p"/>
          </m:rPr>
          <m:t>Buy one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:</m:t>
        </m:r>
        <m:r>
          <m:rPr>
            <m:nor/>
            <m:sty m:val="p"/>
          </m:rPr>
          <m:t>Sell one</m:t>
        </m:r>
        <m:r>
          <m:rPr>
            <m:sty m:val="p"/>
          </m:rPr>
          <m:t>}</m:t>
        </m:r>
      </m:oMath>
      <w:r>
        <w:t xml:space="preserve"> </w:t>
      </w:r>
      <w:r>
        <w:t xml:space="preserve">with a feasibility mask. Wealth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t</m:t>
            </m:r>
          </m:sub>
        </m:sSub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; reward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.</w:t>
      </w:r>
    </w:p>
    <w:bookmarkEnd w:id="19"/>
    <w:bookmarkStart w:id="20" w:name="sec:tradingenv_v1"/>
    <w:p>
      <w:pPr>
        <w:pStyle w:val="Heading3"/>
      </w:pPr>
      <w:r>
        <w:t xml:space="preserve">Iteration 2 extended engine (</w:t>
      </w:r>
      <w:r>
        <w:rPr>
          <w:rStyle w:val="VerbatimChar"/>
        </w:rPr>
        <w:t xml:space="preserve">TradingEnv-v1</w:t>
      </w:r>
      <w:r>
        <w:t xml:space="preserve">)</w:t>
      </w:r>
    </w:p>
    <w:p>
      <w:pPr>
        <w:pStyle w:val="FirstParagraph"/>
      </w:pPr>
      <w:r>
        <w:t xml:space="preserve">The 3-D state leaves three gaps identified in the Iteration-2 methodology notes: (A) the network cannot multiply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on the fly to judge dollar exposure; (B) once holding, there is no memory of the purchase price; (C) without episode progress, a Buy at bar 1 looks identical to a Buy at bar 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TradingEnv-v1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experiments/iteration1/env_v1.py</w:t>
      </w:r>
      <w:r>
        <w:t xml:space="preserve">) closes the gaps with a scaled 5-D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f>
            <m:fPr>
              <m:type m:val="lin"/>
            </m:fPr>
            <m:num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 </m:t>
          </m:r>
          <m:f>
            <m:fPr>
              <m:type m:val="lin"/>
            </m:fPr>
            <m:num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 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unrealized return vs average entry price (zero when flat) and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Actions, fees, masking and reward are identical to Iteration 1, so performance differences are attributable to the state alone.</w:t>
      </w:r>
    </w:p>
    <w:bookmarkEnd w:id="20"/>
    <w:bookmarkEnd w:id="21"/>
    <w:bookmarkStart w:id="22" w:name="sec:transition_mechanics"/>
    <w:p>
      <w:pPr>
        <w:pStyle w:val="Heading2"/>
      </w:pPr>
      <w:r>
        <w:t xml:space="preserve">State transition mechanics</w:t>
      </w:r>
    </w:p>
    <w:p>
      <w:pPr>
        <w:pStyle w:val="FirstParagraph"/>
      </w:pPr>
      <w:r>
        <w:t xml:space="preserve">With transaction cost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0.0005</m:t>
        </m:r>
      </m:oMath>
      <w:r>
        <w:t xml:space="preserve"> </w:t>
      </w:r>
      <w:r>
        <w:t xml:space="preserve">(5 bps):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Buy</w:t>
      </w:r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 valid if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; then</w:t>
      </w:r>
      <w:r>
        <w:t xml:space="preserve"> </w:t>
      </w:r>
      <m:oMath>
        <m:r>
          <m:t>C</m:t>
        </m:r>
        <m:r>
          <m:rPr>
            <m:sty m:val="p"/>
          </m:rPr>
          <m:t>←</m:t>
        </m:r>
        <m:r>
          <m:t>C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←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Sell</w:t>
      </w:r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): valid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; then</w:t>
      </w:r>
      <w:r>
        <w:t xml:space="preserve"> </w:t>
      </w:r>
      <m:oMath>
        <m:r>
          <m:t>C</m:t>
        </m:r>
        <m:r>
          <m:rPr>
            <m:sty m:val="p"/>
          </m:rPr>
          <m:t>←</m:t>
        </m:r>
        <m:r>
          <m:t>C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←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; entry-cost reset when flat.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Hold</w:t>
      </w:r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 balances unchanged.</w:t>
      </w:r>
    </w:p>
    <w:p>
      <w:pPr>
        <w:pStyle w:val="FirstParagraph"/>
      </w:pPr>
      <w:r>
        <w:t xml:space="preserve">Infeasible requests are masked and, if issued anyway, executed as Hold. The rate of illegal requests after training is reported in Chapter 5 as a constraint-awareness diagnostic.</w:t>
      </w:r>
    </w:p>
    <w:bookmarkEnd w:id="22"/>
    <w:bookmarkStart w:id="27" w:name="sec:algorithms_simple"/>
    <w:p>
      <w:pPr>
        <w:pStyle w:val="Heading2"/>
      </w:pPr>
      <w:r>
        <w:t xml:space="preserve">Algorithm implementations</w:t>
      </w:r>
    </w:p>
    <w:p>
      <w:pPr>
        <w:pStyle w:val="FirstParagraph"/>
      </w:pPr>
      <w:r>
        <w:t xml:space="preserve">Five algorithms span value-based and policy-based families so that the choice of policy-gradient methods for trading is evidenced, not asserted.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Tabular Q-learning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run_cartpole_qlearning.py</w:t>
      </w:r>
      <w:r>
        <w:t xml:space="preserve">). Bellman update on a lookup table after hand-binning CartPole (</w:t>
      </w:r>
      <m:oMath>
        <m:r>
          <m:t>6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×</m:t>
        </m:r>
        <m:r>
          <m:t>12</m:t>
        </m:r>
      </m:oMath>
      <w:r>
        <w:t xml:space="preserve">). Demonstrates why tables cannot scale to continuous trading states.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DQN</w:t>
      </w:r>
      <w:r>
        <w:t xml:space="preserve"> </w:t>
      </w:r>
      <w:r>
        <w:t xml:space="preserve">(Stable-Baselines3). Network</w:t>
      </w:r>
      <w:r>
        <w:t xml:space="preserve"> </w:t>
      </w:r>
      <m:oMath>
        <m:sSub>
          <m:e>
            <m:r>
              <m:t>Q</m:t>
            </m:r>
          </m:e>
          <m:sub>
            <m:r>
              <m:t>ϕ</m:t>
            </m:r>
          </m:sub>
        </m:sSub>
      </m:oMath>
      <w:r>
        <w:t xml:space="preserve"> </w:t>
      </w:r>
      <w:r>
        <w:t xml:space="preserve">trained by MSE to the Bellman target with replay and a frozen target net.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REINFORCE</w:t>
      </w:r>
      <w:r>
        <w:t xml:space="preserve"> </w:t>
      </w:r>
      <w:r>
        <w:t xml:space="preserve">— from scratch in PyTorch (</w:t>
      </w:r>
      <w:r>
        <w:rPr>
          <w:rStyle w:val="VerbatimChar"/>
        </w:rPr>
        <w:t xml:space="preserve">experiments/phase0_games/reinforce.py</w:t>
      </w:r>
      <w:r>
        <w:t xml:space="preserve">):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. Auditable; not an API black box.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A2C</w:t>
      </w:r>
      <w:r>
        <w:t xml:space="preserve"> </w:t>
      </w:r>
      <w:r>
        <w:t xml:space="preserve">(Stable-Baselines3). Actor–critic advantage replaces the Monte-Carlo return.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PPO</w:t>
      </w:r>
      <w:r>
        <w:t xml:space="preserve"> </w:t>
      </w:r>
      <w:r>
        <w:t xml:space="preserve">(Stable-Baselines3). Clipped ratio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t</m:t>
            </m:r>
          </m:sub>
        </m:sSub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±</m:t>
        </m:r>
        <m:r>
          <m:t>ϵ</m:t>
        </m:r>
        <m:r>
          <m:rPr>
            <m:sty m:val="p"/>
          </m:rPr>
          <m:t>)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0.2</m:t>
        </m:r>
      </m:oMath>
      <w:r>
        <w:t xml:space="preserve">. Carried into trading.</w:t>
      </w:r>
    </w:p>
    <w:p>
      <w:pPr>
        <w:pStyle w:val="FirstParagraph"/>
      </w:pPr>
      <w:r>
        <w:t xml:space="preserve">Figure </w:t>
      </w:r>
      <w:hyperlink w:anchor="fig:rl_template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places the supervised training template next to the PPO update so the viva mapping (predict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score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backward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step) is explicit.</w:t>
      </w:r>
    </w:p>
    <w:bookmarkStart w:id="26" w:name="fig:rl_template"/>
    <w:p>
      <w:pPr>
        <w:pStyle w:val="CaptionedFigure"/>
      </w:pPr>
      <w:r>
        <w:drawing>
          <wp:inline>
            <wp:extent cx="5067300" cy="373041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l_training_loop_template_wo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730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Supervised loss board (left) mapped onto the PPO policy / value loop (right).</w:t>
      </w:r>
    </w:p>
    <w:bookmarkEnd w:id="26"/>
    <w:bookmarkEnd w:id="27"/>
    <w:bookmarkStart w:id="28" w:name="sec:phase0_sandbox"/>
    <w:p>
      <w:pPr>
        <w:pStyle w:val="Heading2"/>
      </w:pPr>
      <w:r>
        <w:t xml:space="preserve">Phase 0: game correctness sandbox</w:t>
      </w:r>
    </w:p>
    <w:p>
      <w:pPr>
        <w:pStyle w:val="FirstParagraph"/>
      </w:pPr>
      <w:r>
        <w:t xml:space="preserve">A trading agent that loses money is ambiguous: the market may be unlearnable, or the code may be wrong. Games remove the ambiguity because the correct outcome is known. Phase 0 validates every algorithm on three Gymnasium environments of increasing difficulty before any market data is used: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CartPole-v1</w:t>
      </w:r>
      <w:r>
        <w:t xml:space="preserve">: 4-D state, 2 actions,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/step upright (cap 500; solved</w:t>
      </w:r>
      <w:r>
        <w:t xml:space="preserve"> </w:t>
      </w:r>
      <m:oMath>
        <m:r>
          <m:rPr>
            <m:sty m:val="p"/>
          </m:rPr>
          <m:t>≈</m:t>
        </m:r>
        <m:r>
          <m:t>475</m:t>
        </m:r>
      </m:oMath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FlappyBird-v0</w:t>
      </w:r>
      <w:r>
        <w:t xml:space="preserve">: 12-feature state, 2 actions, sparse pipe rewards.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LunarLander-v3</w:t>
      </w:r>
      <w:r>
        <w:t xml:space="preserve">: 8-D state, 4 discrete engines, shaped landing reward (solved</w:t>
      </w:r>
      <w:r>
        <w:t xml:space="preserve"> </w:t>
      </w:r>
      <m:oMath>
        <m:r>
          <m:rPr>
            <m:sty m:val="p"/>
          </m:rPr>
          <m:t>≈</m:t>
        </m:r>
        <m:r>
          <m:t>200</m:t>
        </m:r>
      </m:oMath>
      <w:r>
        <w:t xml:space="preserve">).</w:t>
      </w:r>
    </w:p>
    <w:p>
      <w:pPr>
        <w:pStyle w:val="FirstParagraph"/>
      </w:pPr>
      <w:r>
        <w:t xml:space="preserve">Suites live under</w:t>
      </w:r>
      <w:r>
        <w:t xml:space="preserve"> </w:t>
      </w:r>
      <w:r>
        <w:rPr>
          <w:rStyle w:val="VerbatimChar"/>
        </w:rPr>
        <w:t xml:space="preserve">experiments/phase0_games/</w:t>
      </w:r>
      <w:r>
        <w:t xml:space="preserve">. Results are in Chapter 5.</w:t>
      </w:r>
    </w:p>
    <w:bookmarkEnd w:id="28"/>
    <w:bookmarkStart w:id="29" w:name="sec:data_pipeline_simple"/>
    <w:p>
      <w:pPr>
        <w:pStyle w:val="Heading2"/>
      </w:pPr>
      <w:r>
        <w:t xml:space="preserve">Data pipeline and episode construction</w:t>
      </w:r>
    </w:p>
    <w:p>
      <w:pPr>
        <w:pStyle w:val="FirstParagraph"/>
      </w:pPr>
      <w:r>
        <w:t xml:space="preserve">Market data is SPY daily adjusted close, 2018–2024, fetched by</w:t>
      </w:r>
      <w:r>
        <w:t xml:space="preserve"> </w:t>
      </w:r>
      <w:r>
        <w:rPr>
          <w:rStyle w:val="VerbatimChar"/>
        </w:rPr>
        <w:t xml:space="preserve">fetch_spy_daily.py</w:t>
      </w:r>
      <w:r>
        <w:t xml:space="preserve"> </w:t>
      </w:r>
      <w:r>
        <w:t xml:space="preserve">and frozen on disk. One episode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one calendar month of daily closes (</w:t>
      </w:r>
      <m:oMath>
        <m:r>
          <m:t>T</m:t>
        </m:r>
        <m:r>
          <m:rPr>
            <m:sty m:val="p"/>
          </m:rPr>
          <m:t>≈</m:t>
        </m:r>
        <m:r>
          <m:t>18</m:t>
        </m:r>
      </m:oMath>
      <w:r>
        <w:t xml:space="preserve">–</w:t>
      </w:r>
      <m:oMath>
        <m:r>
          <m:t>23</m:t>
        </m:r>
      </m:oMath>
      <w:r>
        <w:t xml:space="preserve">). This is stated honestly: it is not the 390-minute intraday session of the idealised Chapter 3 episode; the environment API is horizon-agnostic, so minute bars are a drop-in upgrade. Months split chronologically — 58 train, 26 test (Nov 2022 – Dec 2024) — and are never shuffled.</w:t>
      </w:r>
    </w:p>
    <w:bookmarkEnd w:id="29"/>
    <w:bookmarkStart w:id="30" w:name="sec:testing_simple"/>
    <w:p>
      <w:pPr>
        <w:pStyle w:val="Heading2"/>
      </w:pPr>
      <w:r>
        <w:t xml:space="preserve">Testing and reproducibility</w:t>
      </w:r>
    </w:p>
    <w:p>
      <w:pPr>
        <w:pStyle w:val="FirstParagraph"/>
      </w:pPr>
      <w:r>
        <w:t xml:space="preserve">Unit tests (</w:t>
      </w:r>
      <w:r>
        <w:rPr>
          <w:rStyle w:val="VerbatimChar"/>
        </w:rPr>
        <w:t xml:space="preserve">experiments/iteration1/test_env.py</w:t>
      </w:r>
      <w:r>
        <w:t xml:space="preserve">) enforce on both engines: (i) accounting identity — summed rewards equal total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; (ii) mask correctness — Buy/Sell illegality and forced Hold; (iii) v1 feature correctness — analytic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n</m:t>
        </m:r>
        <m:r>
          <m:rPr>
            <m:sty m:val="p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on a hand-built price path. Every training run pins seed, budget, fee and split inside its results JSON; charts regenerate from those JSONs via</w:t>
      </w:r>
      <w:r>
        <w:t xml:space="preserve"> </w:t>
      </w:r>
      <w:r>
        <w:rPr>
          <w:rStyle w:val="VerbatimChar"/>
        </w:rPr>
        <w:t xml:space="preserve">reports/builders/</w:t>
      </w:r>
      <w:r>
        <w:t xml:space="preserve">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image" Id="rId23" Target="media/rId23.png" /><Relationship Type="http://schemas.openxmlformats.org/officeDocument/2006/relationships/hyperlink" Id="rId9" Target="https://github.com/TheFinix13/dissertation-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TheFinix13/dissertation-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2026-08-04T20:33:50Z</dcterms:created>
  <dcterms:modified xsi:type="dcterms:W3CDTF">2026-08-04T20:33:50Z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