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EEEM004 — MSc Project</w:t>
      </w:r>
    </w:p>
    <w:p>
      <w:pPr>
        <w:jc w:val="center"/>
      </w:pPr>
      <w:r>
        <w:rPr>
          <w:i/>
          <w:sz w:val="28"/>
        </w:rPr>
        <w:t>Interim Review</w:t>
      </w:r>
    </w:p>
    <w:p/>
    <w:p>
      <w:r>
        <w:rPr>
          <w:b w:val="0"/>
          <w:i/>
        </w:rPr>
        <w:t>This document is the student's submission for the EEEM004 interim review. It mirrors the structure of the official Interim Review form. The blue boxes are reserved for the supervisor's written assessment and are intentionally left empty.</w:t>
      </w:r>
    </w:p>
    <w:p>
      <w:pPr>
        <w:pStyle w:val="Heading1"/>
      </w:pPr>
      <w:r>
        <w:rPr>
          <w:color w:val="000000"/>
        </w:rPr>
        <w:t>Cover information</w:t>
      </w:r>
    </w:p>
    <w:tbl>
      <w:tblPr>
        <w:tblStyle w:val="LightGrid-Accent1"/>
        <w:tblW w:type="auto" w:w="0"/>
        <w:tblLook w:firstColumn="1" w:firstRow="1" w:lastColumn="0" w:lastRow="0" w:noHBand="0" w:noVBand="1" w:val="04A0"/>
      </w:tblPr>
      <w:tblGrid>
        <w:gridCol w:w="4873"/>
        <w:gridCol w:w="4873"/>
      </w:tblGrid>
      <w:tr>
        <w:tc>
          <w:tcPr>
            <w:tcW w:type="dxa" w:w="4873"/>
            <w:vAlign w:val="center"/>
          </w:tcPr>
          <w:p>
            <w:r>
              <w:rPr>
                <w:b/>
              </w:rPr>
              <w:t>Name</w:t>
            </w:r>
          </w:p>
        </w:tc>
        <w:tc>
          <w:tcPr>
            <w:tcW w:type="dxa" w:w="4873"/>
            <w:vAlign w:val="center"/>
          </w:tcPr>
          <w:p>
            <w:r>
              <w:t>Fiyin Akano</w:t>
            </w:r>
          </w:p>
        </w:tc>
      </w:tr>
      <w:tr>
        <w:tc>
          <w:tcPr>
            <w:tcW w:type="dxa" w:w="4873"/>
            <w:vAlign w:val="center"/>
          </w:tcPr>
          <w:p>
            <w:r>
              <w:rPr>
                <w:b/>
              </w:rPr>
              <w:t>URN</w:t>
            </w:r>
          </w:p>
        </w:tc>
        <w:tc>
          <w:tcPr>
            <w:tcW w:type="dxa" w:w="4873"/>
            <w:vAlign w:val="center"/>
          </w:tcPr>
          <w:p>
            <w:r>
              <w:t>6962514</w:t>
            </w:r>
          </w:p>
        </w:tc>
      </w:tr>
      <w:tr>
        <w:tc>
          <w:tcPr>
            <w:tcW w:type="dxa" w:w="4873"/>
            <w:vAlign w:val="center"/>
          </w:tcPr>
          <w:p>
            <w:r>
              <w:rPr>
                <w:b/>
              </w:rPr>
              <w:t>Supervisor</w:t>
            </w:r>
          </w:p>
        </w:tc>
        <w:tc>
          <w:tcPr>
            <w:tcW w:type="dxa" w:w="4873"/>
            <w:vAlign w:val="center"/>
          </w:tcPr>
          <w:p>
            <w:r>
              <w:t>Dr Cuong Nguyen</w:t>
            </w:r>
          </w:p>
        </w:tc>
      </w:tr>
      <w:tr>
        <w:tc>
          <w:tcPr>
            <w:tcW w:type="dxa" w:w="4873"/>
            <w:vAlign w:val="center"/>
          </w:tcPr>
          <w:p>
            <w:r>
              <w:rPr>
                <w:b/>
              </w:rPr>
              <w:t>Second supervisor (if applicable)</w:t>
            </w:r>
          </w:p>
        </w:tc>
        <w:tc>
          <w:tcPr>
            <w:tcW w:type="dxa" w:w="4873"/>
            <w:vAlign w:val="center"/>
          </w:tcPr>
          <w:p>
            <w:r>
              <w:t>[INSERT IF APPLICABLE]</w:t>
            </w:r>
          </w:p>
        </w:tc>
      </w:tr>
      <w:tr>
        <w:tc>
          <w:tcPr>
            <w:tcW w:type="dxa" w:w="4873"/>
            <w:vAlign w:val="center"/>
          </w:tcPr>
          <w:p>
            <w:r>
              <w:rPr>
                <w:b/>
              </w:rPr>
              <w:t>Date of meeting</w:t>
            </w:r>
          </w:p>
        </w:tc>
        <w:tc>
          <w:tcPr>
            <w:tcW w:type="dxa" w:w="4873"/>
            <w:vAlign w:val="center"/>
          </w:tcPr>
          <w:p>
            <w:r>
              <w:t>[INSERT MEETING DATE]</w:t>
            </w:r>
          </w:p>
        </w:tc>
      </w:tr>
      <w:tr>
        <w:tc>
          <w:tcPr>
            <w:tcW w:type="dxa" w:w="4873"/>
            <w:vAlign w:val="center"/>
          </w:tcPr>
          <w:p>
            <w:r>
              <w:rPr>
                <w:b/>
              </w:rPr>
              <w:t>Module</w:t>
            </w:r>
          </w:p>
        </w:tc>
        <w:tc>
          <w:tcPr>
            <w:tcW w:type="dxa" w:w="4873"/>
            <w:vAlign w:val="center"/>
          </w:tcPr>
          <w:p>
            <w:r>
              <w:t>EEEM004 — MSc Dissertation (cross-year)</w:t>
            </w:r>
          </w:p>
        </w:tc>
      </w:tr>
      <w:tr>
        <w:tc>
          <w:tcPr>
            <w:tcW w:type="dxa" w:w="4873"/>
            <w:vAlign w:val="center"/>
          </w:tcPr>
          <w:p>
            <w:r>
              <w:rPr>
                <w:b/>
              </w:rPr>
              <w:t>Department</w:t>
            </w:r>
          </w:p>
        </w:tc>
        <w:tc>
          <w:tcPr>
            <w:tcW w:type="dxa" w:w="4873"/>
            <w:vAlign w:val="center"/>
          </w:tcPr>
          <w:p>
            <w:r>
              <w:t>Electrical and Electronic Engineering, University of Surrey</w:t>
            </w:r>
          </w:p>
        </w:tc>
      </w:tr>
      <w:tr>
        <w:tc>
          <w:tcPr>
            <w:tcW w:type="dxa" w:w="4873"/>
            <w:vAlign w:val="center"/>
          </w:tcPr>
          <w:p>
            <w:r>
              <w:rPr>
                <w:b/>
              </w:rPr>
              <w:t>Target submission date</w:t>
            </w:r>
          </w:p>
        </w:tc>
        <w:tc>
          <w:tcPr>
            <w:tcW w:type="dxa" w:w="4873"/>
            <w:vAlign w:val="center"/>
          </w:tcPr>
          <w:p>
            <w:r>
              <w:t>1 September 2026</w:t>
            </w:r>
          </w:p>
        </w:tc>
      </w:tr>
    </w:tbl>
    <w:p>
      <w:pPr>
        <w:pStyle w:val="Heading1"/>
      </w:pPr>
      <w:r>
        <w:rPr>
          <w:color w:val="000000"/>
        </w:rPr>
        <w:t>Project title</w:t>
      </w:r>
    </w:p>
    <w:p>
      <w:r>
        <w:rPr>
          <w:b/>
          <w:i w:val="0"/>
        </w:rPr>
        <w:t>Probabilistic Deep Reinforcement Learning for Portfolio Risk Analysis: drawdown-constrained portfolio control with an uncertainty-aware reinforcement-learning policy.</w:t>
      </w:r>
    </w:p>
    <w:p>
      <w:pPr>
        <w:pStyle w:val="Heading1"/>
      </w:pPr>
      <w:r>
        <w:rPr>
          <w:color w:val="000000"/>
        </w:rPr>
        <w:t>Problem statement</w:t>
      </w:r>
    </w:p>
    <w:p>
      <w:r>
        <w:rPr>
          <w:b w:val="0"/>
          <w:i w:val="0"/>
        </w:rPr>
        <w:t>Start with a concrete picture. Imagine putting one million US dollars into the US stock market in January 2022 and holding on. By January 2025 the account is worth about $1.52 million — a clean win. But on the way there, in October 2022, the same account briefly read $750,000 — a 25 % drop from the peak. For an individual that drop is scary; for a pension fund or an endowment it is something different — it is a breach of contract. Many institutional mandates carry an explicit drawdown limit (a maximum permitted loss measured from the peak rather than from the starting balance), and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later. The dissertation asks whether a small AI agent can do better.</w:t>
      </w:r>
    </w:p>
    <w:p>
      <w:r>
        <w:rPr>
          <w:b w:val="0"/>
          <w:i w:val="0"/>
        </w:rPr>
        <w:t>Reframed problem statement. Many investors and institutional mandates are required to keep portfolio drawdown from peak below a stated limit (commonly between 5 % and 20 %) while still beating cash and ideally beating passive index exposure. The standard quantitative answers — Markowitz mean-variance, risk parity, fixed-rule stop-losses — either assume the joint distribution of returns is stationary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and (c) a baseline PPO with no uncertainty signal — measured on a held-out test window that contains real macro shocks (2022–2025), with reproducible random seeds and an out-of-time generalisation check.</w:t>
      </w:r>
    </w:p>
    <w:p>
      <w:r>
        <w:rPr>
          <w:b w:val="0"/>
          <w:i w:val="0"/>
        </w:rPr>
        <w:t>Where the standard answers fail. Mean-variance (Markowitz, 1952) is single-period and treats upside and downside wiggles symmetrically — it has no memory of the running peak. Value-at-Risk and expected shortfall (Rockafellar and Uryasev, 2000) measure how bad a single bad day could be, but they cannot tell you how many bad days in a row you can endure before the loss-from-peak crosses the limit. Conditional drawdown-at-risk (Chekhlov, Uryasev and Zabarankin, 2005) is path-dependent and matches the institutional constraint shape, but it is a one-shot static optimisation: it picks one weight vector and does not adapt mid-window. Reactive trailing stop-losses adapt sequentially but fire after the drawdown has already begun and typically forfeit the recovery on the way back up.</w:t>
      </w:r>
    </w:p>
    <w:p>
      <w:r>
        <w:rPr>
          <w:b w:val="0"/>
          <w:i w:val="0"/>
        </w:rPr>
        <w:t>Why this matters in practice. Drawdown control is a real, billion-dollar institutional problem. CalPERS and other major pension funds, sovereign-wealth funds, university endowments and CTA funds all run explicit drawdown limits in their governance documents. Bridgewater Associates' All Weather fund, which has managed over 150 billion US dollars at peak, is publicly described by its founder as designed to lose less in any environment — an explicit drawdown-control objective. The drawdown literature itself (Magdon-Ismail and Atiya, 2004; Young, 1991; Sortino and Price, 1994; Chekhlov, Uryasev and Zabarankin, 2005) is the formal home for these constraints; this dissertation does not invent them, it picks up the tradition and extends it from one-shot optimisation to a sequential, uncertainty-aware decision policy.</w:t>
      </w:r>
    </w:p>
    <w:p>
      <w:pPr>
        <w:pStyle w:val="Heading1"/>
      </w:pPr>
      <w:r>
        <w:rPr>
          <w:color w:val="000000"/>
        </w:rPr>
        <w:t>Objectives</w:t>
      </w:r>
    </w:p>
    <w:p>
      <w:r>
        <w:rPr>
          <w:b w:val="0"/>
          <w:i w:val="0"/>
        </w:rPr>
        <w:t>The objectives have been refined during Phase 0 and Phase 1 in light of supervisor feedback. They are stated in the order in which the dissertation answers them: the core scientific question first, the empirical evidence (both single-asset headline and multi-asset / out-of-time generalisation) second, the reproducibility apparatus third, and the honest position on where the method works and where it does not fourth.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predictive mean and variance; a Proximal Policy Optimization (PPO) policy reads the variance as a state feature and as a hard guard that blocks new long-side trades when the uncertainty score exceeds a quantile threshold.</w:t>
      </w:r>
    </w:p>
    <w:p>
      <w:pPr>
        <w:pStyle w:val="ListBullet"/>
      </w:pPr>
      <w:r>
        <w:t>O2 — the empirical evidence. Evaluate the resulting policy on a fixed held-out window containing real macro shocks (2022 to 2025) against three named comparators — passive buy-and-hold, a rule-based trailing stop-loss policy, and a baseline PPO with no uncertainty signal — and check that the conclusions survive contact with (a) a market sample of 70 stocks (41 single-name US large-cap equities + 29 ETFs spanning broad-market, sector, dividend, thematic and commodity exposure) and (b) a four-fold walk-forward grid in which the train, validation and test windows roll forward across 2018–2025. Headline metrics: Sharpe ratio, terminal value relative to buy-and-hold, and the capital-preservation ratio against the running high-watermark.</w:t>
      </w:r>
    </w:p>
    <w:p>
      <w:pPr>
        <w:pStyle w:val="ListBullet"/>
      </w:pPr>
      <w:r>
        <w:t>O3 — reproducibility. Pin down a fully reproducible evaluation protocol of fixed splits, fixed random seeds, scripted experiment runners, scripted reporting and a shared metric set, so that any comparison made in this dissertation is genuinely like-for-like and can be reproduced from the public repository in a single command sequence.</w:t>
      </w:r>
    </w:p>
    <w:p>
      <w:pPr>
        <w:pStyle w:val="ListBullet"/>
      </w:pPr>
      <w:r>
        <w:t>O4 — honest position on where it works and where it does not. Diagnose the regimes in which the uncertainty-aware policy beats the alternatives and the regimes in which it does not, and take a defensible position — on the strength of O1 to O3 — on when an explicit uncertainty signal earns a place in a portfolio control loop and, just as important, on when it does not.</w:t>
      </w:r>
    </w:p>
    <w:p>
      <w:r>
        <w:br w:type="page"/>
      </w:r>
    </w:p>
    <w:p>
      <w:pPr>
        <w:pStyle w:val="Heading1"/>
      </w:pPr>
      <w:r>
        <w:rPr>
          <w:color w:val="000000"/>
        </w:rPr>
        <w:t>Literature review (key references)</w:t>
      </w:r>
    </w:p>
    <w:p>
      <w:r>
        <w:rPr>
          <w:b w:val="0"/>
          <w:i w:val="0"/>
        </w:rPr>
        <w:t>Below are ten items I rely on in this project. For each one there is a short paragraph in plain English: what it is, why people use it, and how it connects to my work. Each paragraph ends by tagging one of three roles:</w:t>
      </w:r>
    </w:p>
    <w:p>
      <w:pPr>
        <w:pStyle w:val="ListBullet"/>
      </w:pPr>
      <w:r>
        <w:t>Development — the reference directly shaped what I built in code: the learning algorithm, the forecasting style, or the software library I call from the runners.</w:t>
      </w:r>
    </w:p>
    <w:p>
      <w:pPr>
        <w:pStyle w:val="ListBullet"/>
      </w:pPr>
      <w:r>
        <w:t>Evaluation — the reference shaped what I measure and how I explain the results: risk metrics, baselines, or the language for “large losses” and tail risk. I may cite the paper even when I do not run their optimisation method.</w:t>
      </w:r>
    </w:p>
    <w:p>
      <w:pPr>
        <w:pStyle w:val="ListBullet"/>
      </w:pPr>
      <w:r>
        <w:t>Positioning (related work) — the reference situates this project next to other people's ideas or tools so a reader can see what is new and what is not. I may cite work I do not import or re-implement, for example a public library that other finance-RL papers use.</w:t>
      </w:r>
    </w:p>
    <w:p>
      <w:r>
        <w:rPr>
          <w:b w:val="0"/>
          <w:i w:val="0"/>
        </w:rPr>
        <w:t>The full dissertation cites more papers in Chapter 2; this list is the compact set for the interim review.</w:t>
      </w:r>
    </w:p>
    <w:p>
      <w:r>
        <w:rPr>
          <w:b/>
          <w:i w:val="0"/>
        </w:rPr>
        <w:t>Markowitz, H. (1952). Portfolio Selection. Journal of Finance, 7(1), 77–91.</w:t>
      </w:r>
    </w:p>
    <w:p>
      <w:r>
        <w:rPr>
          <w:b w:val="0"/>
          <w:i w:val="0"/>
        </w:rPr>
        <w:t>This paper started modern portfolio theory: choose weights to balance expected return against variance in one period. People still use it as the baseline language for diversification and efficient portfolios. In my project it is evaluation background only: it explains why a single-period mean–variance picture does not capture path risk like losing money from a peak. I do not solve a Markowitz optimisation problem; I compare learning agents with simple baselines under fixed rules.</w:t>
      </w:r>
    </w:p>
    <w:p>
      <w:r>
        <w:rPr>
          <w:b/>
          <w:i w:val="0"/>
        </w:rPr>
        <w:t>Sortino, F. A., &amp; Price, L. N. (1994). Performance Measurement in a Downside Risk Framework. Journal of Investing, 3(3), 59–64.</w:t>
      </w:r>
    </w:p>
    <w:p>
      <w:r>
        <w:rPr>
          <w:b w:val="0"/>
          <w:i w:val="0"/>
        </w:rPr>
        <w:t>Sortino and Price argue that upside and downside should not be punished the same way when we score performance. They replace the Sharpe denominator with downside deviation below a target return. In my project this supports the plain-English goal of caring about large losses, not just volatility. I still report Sharpe for comparability with other work, but Sortino motivates why drawdown-style measures sit beside it in the metric table.</w:t>
      </w:r>
    </w:p>
    <w:p>
      <w:r>
        <w:rPr>
          <w:b/>
          <w:i w:val="0"/>
        </w:rPr>
        <w:t>Rockafellar, R. T., &amp; Uryasev, S. (2000). Optimization of Conditional Value-at-Risk. Journal of Risk, 2(3), 21–42.</w:t>
      </w:r>
    </w:p>
    <w:p>
      <w:r>
        <w:rPr>
          <w:b w:val="0"/>
          <w:i w:val="0"/>
        </w:rPr>
        <w:t>This paper sets up convex optimisation for tail risk using Conditional Value-at-Risk (expected loss in the worst tail of outcomes). Practitioners use it when they care about bad days, not just average variance. In my project it is evaluation background for the VaR-style violation metric I report: it explains what “tail behaviour” means in the tables. I do not solve their optimisation programme; I train RL agents and read tail metrics off simulated paths.</w:t>
      </w:r>
    </w:p>
    <w:p>
      <w:r>
        <w:rPr>
          <w:b/>
          <w:i w:val="0"/>
        </w:rPr>
        <w:t>Magdon-Ismail, M., &amp; Atiya, A. F. (2004). Maximum Drawdown. Risk, 17(10), 99–102.</w:t>
      </w:r>
    </w:p>
    <w:p>
      <w:r>
        <w:rPr>
          <w:b w:val="0"/>
          <w:i w:val="0"/>
        </w:rPr>
        <w:t>This paper studies maximum drawdown — how far wealth can fall from a running peak — as a path risk measure. That matches how investors actually feel pain during crashes. In my project it justifies reporting maximum drawdown and capital preservation against a high watermark: those numbers answer “how bad did it get along the way,” not only “how did we finish.”</w:t>
      </w:r>
    </w:p>
    <w:p>
      <w:r>
        <w:rPr>
          <w:b/>
          <w:i w:val="0"/>
        </w:rPr>
        <w:t>Chekhlov, A., Uryasev, S., &amp; Zabarankin, M. (2005). Drawdown Measure in Portfolio Optimization. International Journal of Theoretical and Applied Finance, 8(1), 13–58.</w:t>
      </w:r>
    </w:p>
    <w:p>
      <w:r>
        <w:rPr>
          <w:b w:val="0"/>
          <w:i w:val="0"/>
        </w:rPr>
        <w:t>These authors build portfolio optimisation so that drawdown risk is controlled inside the optimisation problem itself (conditional drawdown-at-risk). Pension-style mandates often think in drawdown limits. In my project this is related work for positioning: classical methods pick weights once from historical scenarios; I study a daily rule that can react when the forecaster looks unsure. I do not implement their linear programme.</w:t>
      </w:r>
    </w:p>
    <w:p>
      <w:r>
        <w:rPr>
          <w:b/>
          <w:i w:val="0"/>
        </w:rPr>
        <w:t>Schulman, J., Wolski, F., Dhariwal, P., Radford, A., &amp; Klimov, O. (2017). Proximal Policy Optimization Algorithms. arXiv:1707.06347.</w:t>
      </w:r>
    </w:p>
    <w:p>
      <w:r>
        <w:rPr>
          <w:b w:val="0"/>
          <w:i w:val="0"/>
        </w:rPr>
        <w:t>Proximal Policy Optimization (PPO) is a stable policy-gradient algorithm for reinforcement learning in continuous or discrete action spaces. It is widely used because it trains reliably with reasonable defaults. In my project PPO is the optimiser for both the baseline agent and the uncertainty-aware agent (via Stable-Baselines3). All comparisons keep the same algorithm class so differences come from the uncertainty controls, not from swapping RL methods.</w:t>
      </w:r>
    </w:p>
    <w:p>
      <w:r>
        <w:rPr>
          <w:b/>
          <w:i w:val="0"/>
        </w:rPr>
        <w:t>Jiang, Z., Xu, D., &amp; Liang, J. (2017). A Deep Reinforcement Learning Framework for the Financial Portfolio Management Problem. arXiv:1706.10059.</w:t>
      </w:r>
    </w:p>
    <w:p>
      <w:r>
        <w:rPr>
          <w:b w:val="0"/>
          <w:i w:val="0"/>
        </w:rPr>
        <w:t>This paper trains a deep network end-to-end from prices to portfolio weights using reinforcement learning. It showed that RL can learn portfolio rules without hand-writing a trading strategy. In my project it is related work that motivates using RL on markets at all. My setup differs because I add a daily unsureness score from a probabilistic forecaster and I compare against rule-based stops and buy-and-hold on the same protocol.</w:t>
      </w:r>
    </w:p>
    <w:p>
      <w:r>
        <w:rPr>
          <w:b/>
          <w:i w:val="0"/>
        </w:rPr>
        <w:t>Liu, X.-Y., Yang, H., Gao, J., &amp; Wang, C. D. (2021). FinRL: A Deep Reinforcement Learning Library for Automated Stock Trading in Quantitative Finance. arXiv:2011.09607.</w:t>
      </w:r>
    </w:p>
    <w:p>
      <w:r>
        <w:rPr>
          <w:b w:val="0"/>
          <w:i w:val="0"/>
        </w:rPr>
        <w:t>FinRL is an open-source library that packages trading environments and RL training workflows so finance experiments can be repeated on a shared Gym-style API. In my project FinRL is cited as related infrastructure only. The Phase 1 experiments that produce my dissertation numbers do not import FinRL: they use Stable-Baselines3 PPO with a custom Gymnasium environment in experiments/common.py so every rule about trade scaling and guards is visible in one file. An optional Phase 0 demo script (phase0_examples/finrl_ppo_example.py) can load FinRL for illustration; it is not part of the reported evaluation pipeline.</w:t>
      </w:r>
    </w:p>
    <w:p>
      <w:r>
        <w:rPr>
          <w:b/>
          <w:i w:val="0"/>
        </w:rPr>
        <w:t>Salinas, D., Flunkert, V., Gasthaus, J., &amp; Januschowski, T. (2020). DeepAR: Probabilistic Forecasting with Autoregressive Recurrent Networks. International Journal of Forecasting, 36(3), 1181–1191.</w:t>
      </w:r>
    </w:p>
    <w:p>
      <w:r>
        <w:rPr>
          <w:b w:val="0"/>
          <w:i w:val="0"/>
        </w:rPr>
        <w:t>DeepAR trains a recurrent network to output a full predictive distribution for the next step, not just a point forecast. That gives a natural handle on “how spread out” tomorrow’s outcome might be. In my project I use a stripped-down DeepAR-style forecaster with a Gaussian output head: it produces a mean and a spread for the next log return, and I map the spread to a single daily unsureness score that the trading rule uses to shrink trades or block new long trades.</w:t>
      </w:r>
    </w:p>
    <w:p>
      <w:r>
        <w:rPr>
          <w:b/>
          <w:i w:val="0"/>
        </w:rPr>
        <w:t>Raffin, A., Hill, A., Gleave, A., Kanervisto, A., Ernestus, M., &amp; Dormann, N. (2021). Stable-Baselines3: Reliable Reinforcement Learning Implementations. Journal of Machine Learning Research, 22(268), 1–8.</w:t>
      </w:r>
    </w:p>
    <w:p>
      <w:r>
        <w:rPr>
          <w:b w:val="0"/>
          <w:i w:val="0"/>
        </w:rPr>
        <w:t>Stable-Baselines3 is a maintained implementation of standard RL algorithms (including PPO) that follows the Gymnasium API and is widely used for reproducibility. In my project it is the training engine behind both runners. Using a standard library keeps the algorithm choice boring on purpose so the dissertation can focus on the uncertainty controls and the fair baseline comparisons.</w:t>
      </w:r>
    </w:p>
    <w:p>
      <w:r>
        <w:br w:type="page"/>
      </w:r>
    </w:p>
    <w:p>
      <w:pPr>
        <w:pStyle w:val="Heading1"/>
      </w:pPr>
      <w:r>
        <w:rPr>
          <w:color w:val="000000"/>
        </w:rPr>
        <w:t>Technical progress</w:t>
      </w:r>
    </w:p>
    <w:p>
      <w:pPr>
        <w:pStyle w:val="Heading2"/>
      </w:pPr>
      <w:r>
        <w:rPr>
          <w:color w:val="000000"/>
        </w:rPr>
        <w:t>Step 1 — Choosing and preparing the data</w:t>
      </w:r>
    </w:p>
    <w:p>
      <w:r>
        <w:rPr>
          <w:b w:val="0"/>
          <w:i w:val="0"/>
        </w:rPr>
        <w:t>The first decision was what prices to use and how to split them. We chose daily adjusted closing prices from Yahoo Finance because they are freely available, widely used in academic work, and include dividend adjustments so total returns are reflected without manual corrections. We download one price per trading day for each asset.</w:t>
      </w:r>
    </w:p>
    <w:p>
      <w:r>
        <w:rPr>
          <w:b w:val="0"/>
          <w:i w:val="0"/>
        </w:rPr>
        <w:t>We split time strictly in order — no shuffling — because financial data is sequential and the future must never leak into training (de Prado, 2018). The protocol file (dissertation_protocol.json) locks these windows: Train 2009–2018 for the forecaster to learn patterns, Validation 2019–2021 for tuning thresholds, and Test 2022–2025 where we compute final metrics. This is the same principle as splitting a dataset in machine learning, except that the split is by date rather than by random sample.</w:t>
      </w:r>
    </w:p>
    <w:p>
      <w:pPr>
        <w:jc w:val="center"/>
      </w:pPr>
      <w:r>
        <w:drawing>
          <wp:inline xmlns:a="http://schemas.openxmlformats.org/drawingml/2006/main" xmlns:pic="http://schemas.openxmlformats.org/drawingml/2006/picture">
            <wp:extent cx="5029200" cy="1549248"/>
            <wp:docPr id="1" name="Picture 1"/>
            <wp:cNvGraphicFramePr>
              <a:graphicFrameLocks noChangeAspect="1"/>
            </wp:cNvGraphicFramePr>
            <a:graphic>
              <a:graphicData uri="http://schemas.openxmlformats.org/drawingml/2006/picture">
                <pic:pic>
                  <pic:nvPicPr>
                    <pic:cNvPr id="0" name="interim_fig_data_splits.png"/>
                    <pic:cNvPicPr/>
                  </pic:nvPicPr>
                  <pic:blipFill>
                    <a:blip r:embed="rId9"/>
                    <a:stretch>
                      <a:fillRect/>
                    </a:stretch>
                  </pic:blipFill>
                  <pic:spPr>
                    <a:xfrm>
                      <a:off x="0" y="0"/>
                      <a:ext cx="5029200" cy="1549248"/>
                    </a:xfrm>
                    <a:prstGeom prst="rect"/>
                  </pic:spPr>
                </pic:pic>
              </a:graphicData>
            </a:graphic>
          </wp:inline>
        </w:drawing>
      </w:r>
    </w:p>
    <w:p>
      <w:pPr>
        <w:jc w:val="center"/>
      </w:pPr>
      <w:r>
        <w:rPr>
          <w:i/>
          <w:sz w:val="20"/>
        </w:rPr>
        <w:t>Figure A — Data is split by calendar year. Training never sees future prices.</w:t>
      </w:r>
    </w:p>
    <w:p>
      <w:pPr>
        <w:pStyle w:val="Heading2"/>
      </w:pPr>
      <w:r>
        <w:rPr>
          <w:color w:val="000000"/>
        </w:rPr>
        <w:t>Step 2 — Building the trading simulator (StockEnv)</w:t>
      </w:r>
    </w:p>
    <w:p>
      <w:r>
        <w:rPr>
          <w:b w:val="0"/>
          <w:i w:val="0"/>
        </w:rPr>
        <w:t>We cannot train a trading agent on a live market — mistakes would cost real money and we could not repeat experiments. Instead we built a simulator called StockEnv (in experiments/common.py) that replays historical prices day by day. The agent makes a decision each day, the simulator applies that decision to the price series, and reports back what happened.</w:t>
      </w:r>
    </w:p>
    <w:p>
      <w:r>
        <w:rPr>
          <w:b/>
          <w:i w:val="0"/>
        </w:rPr>
        <w:t>On each day the simulator provides three things to the agent:</w:t>
      </w:r>
    </w:p>
    <w:p>
      <w:pPr>
        <w:pStyle w:val="ListBullet"/>
      </w:pPr>
      <w:r>
        <w:t>Recent history — the last 20 daily log-returns, so the agent can see recent momentum or drops.</w:t>
      </w:r>
    </w:p>
    <w:p>
      <w:pPr>
        <w:pStyle w:val="ListBullet"/>
      </w:pPr>
      <w:r>
        <w:t>Current position — how much of the portfolio is in the stock versus cash, as a single fraction.</w:t>
      </w:r>
    </w:p>
    <w:p>
      <w:pPr>
        <w:pStyle w:val="ListBullet"/>
      </w:pPr>
      <w:r>
        <w:t>Uncertainty score — a number between 0 (the forecaster is confident) and 1 (the forecaster is very unsure about tomorrow). The baseline agent does not receive this; it is set to zero.</w:t>
      </w:r>
    </w:p>
    <w:p>
      <w:r>
        <w:rPr>
          <w:b/>
          <w:i w:val="0"/>
        </w:rPr>
        <w:t>The agent then outputs one number between -1 and +1:</w:t>
      </w:r>
    </w:p>
    <w:p>
      <w:pPr>
        <w:pStyle w:val="ListBullet"/>
      </w:pPr>
      <w:r>
        <w:t>+1 means 'buy as aggressively as allowed' (invest more cash into the stock).</w:t>
      </w:r>
    </w:p>
    <w:p>
      <w:pPr>
        <w:pStyle w:val="ListBullet"/>
      </w:pPr>
      <w:r>
        <w:t>-1 means 'sell as aggressively as allowed' (move stock holdings back to cash).</w:t>
      </w:r>
    </w:p>
    <w:p>
      <w:pPr>
        <w:pStyle w:val="ListBullet"/>
      </w:pPr>
      <w:r>
        <w:t>0 means 'do nothing today.'</w:t>
      </w:r>
    </w:p>
    <w:p>
      <w:r>
        <w:rPr>
          <w:b w:val="0"/>
          <w:i w:val="0"/>
        </w:rPr>
        <w:t>The simulator scales how much the agent can actually trade: it caps trades at 10% of available cash per day, and when the uncertainty score is high it shrinks that further. If uncertainty is above a tuned threshold (0.80 by default from validation), new buys are blocked entirely — but sells are always allowed so the agent can always exit a losing position.</w:t>
      </w:r>
    </w:p>
    <w:p>
      <w:r>
        <w:rPr>
          <w:b w:val="0"/>
          <w:i w:val="0"/>
        </w:rPr>
        <w:t>After each day the simulator calculates a reward: how much the total portfolio value grew (or shrank) from yesterday to today, expressed as a logarithmic ratio — the standard continuously-compounded return used in quantitative finance (Hull, 2018). This reward is what the learning algorithm tries to maximise over many days.</w:t>
      </w:r>
    </w:p>
    <w:p>
      <w:pPr>
        <w:jc w:val="center"/>
      </w:pPr>
      <w:r>
        <w:drawing>
          <wp:inline xmlns:a="http://schemas.openxmlformats.org/drawingml/2006/main" xmlns:pic="http://schemas.openxmlformats.org/drawingml/2006/picture">
            <wp:extent cx="2926080" cy="1010725"/>
            <wp:docPr id="2" name="Picture 2"/>
            <wp:cNvGraphicFramePr>
              <a:graphicFrameLocks noChangeAspect="1"/>
            </wp:cNvGraphicFramePr>
            <a:graphic>
              <a:graphicData uri="http://schemas.openxmlformats.org/drawingml/2006/picture">
                <pic:pic>
                  <pic:nvPicPr>
                    <pic:cNvPr id="0" name="interim_eq_reward.png"/>
                    <pic:cNvPicPr/>
                  </pic:nvPicPr>
                  <pic:blipFill>
                    <a:blip r:embed="rId10"/>
                    <a:stretch>
                      <a:fillRect/>
                    </a:stretch>
                  </pic:blipFill>
                  <pic:spPr>
                    <a:xfrm>
                      <a:off x="0" y="0"/>
                      <a:ext cx="2926080" cy="1010725"/>
                    </a:xfrm>
                    <a:prstGeom prst="rect"/>
                  </pic:spPr>
                </pic:pic>
              </a:graphicData>
            </a:graphic>
          </wp:inline>
        </w:drawing>
      </w:r>
    </w:p>
    <w:p>
      <w:pPr>
        <w:jc w:val="center"/>
      </w:pPr>
      <w:r>
        <w:rPr>
          <w:i/>
          <w:sz w:val="20"/>
        </w:rPr>
        <w:t>Reward: 100 × log of (today's portfolio value / yesterday's). Positive = growth.</w:t>
      </w:r>
    </w:p>
    <w:p>
      <w:pPr>
        <w:jc w:val="center"/>
      </w:pPr>
      <w:r>
        <w:drawing>
          <wp:inline xmlns:a="http://schemas.openxmlformats.org/drawingml/2006/main" xmlns:pic="http://schemas.openxmlformats.org/drawingml/2006/picture">
            <wp:extent cx="4754880" cy="3459762"/>
            <wp:docPr id="3" name="Picture 3"/>
            <wp:cNvGraphicFramePr>
              <a:graphicFrameLocks noChangeAspect="1"/>
            </wp:cNvGraphicFramePr>
            <a:graphic>
              <a:graphicData uri="http://schemas.openxmlformats.org/drawingml/2006/picture">
                <pic:pic>
                  <pic:nvPicPr>
                    <pic:cNvPr id="0" name="interim_fig_rl_loop.png"/>
                    <pic:cNvPicPr/>
                  </pic:nvPicPr>
                  <pic:blipFill>
                    <a:blip r:embed="rId11"/>
                    <a:stretch>
                      <a:fillRect/>
                    </a:stretch>
                  </pic:blipFill>
                  <pic:spPr>
                    <a:xfrm>
                      <a:off x="0" y="0"/>
                      <a:ext cx="4754880" cy="3459762"/>
                    </a:xfrm>
                    <a:prstGeom prst="rect"/>
                  </pic:spPr>
                </pic:pic>
              </a:graphicData>
            </a:graphic>
          </wp:inline>
        </w:drawing>
      </w:r>
    </w:p>
    <w:p>
      <w:pPr>
        <w:jc w:val="center"/>
      </w:pPr>
      <w:r>
        <w:rPr>
          <w:i/>
          <w:sz w:val="20"/>
        </w:rPr>
        <w:t>Figure B — The training loop: environment gives state → agent picks action → environment returns reward and advances one day → repeat.</w:t>
      </w:r>
    </w:p>
    <w:p>
      <w:pPr>
        <w:pStyle w:val="Heading2"/>
      </w:pPr>
      <w:r>
        <w:rPr>
          <w:color w:val="000000"/>
        </w:rPr>
        <w:t>Step 3 — Training the agent (PPO)</w:t>
      </w:r>
    </w:p>
    <w:p>
      <w:r>
        <w:rPr>
          <w:b w:val="0"/>
          <w:i w:val="0"/>
        </w:rPr>
        <w:t>We use a standard reinforcement-learning algorithm called Proximal Policy Optimisation, PPO (Schulman et al., 2017), from the Stable-Baselines3 library (Raffin et al., 2021). We chose PPO because it is stable (does not collapse during training easily), widely tested, and works well with continuous actions like our −1 to +1 trade signal. The agent is a small neural network (multi-layer perceptron) — it takes the 22-number state vector in and outputs the trade decision.</w:t>
      </w:r>
    </w:p>
    <w:p>
      <w:r>
        <w:rPr>
          <w:b/>
          <w:i w:val="0"/>
        </w:rPr>
        <w:t>Training settings (identical for baseline and probabilistic agents):</w:t>
      </w:r>
    </w:p>
    <w:p>
      <w:pPr>
        <w:pStyle w:val="ListBullet"/>
      </w:pPr>
      <w:r>
        <w:t>Learning rate: 3×10⁻⁴ — how big a step the network takes when updating.</w:t>
      </w:r>
    </w:p>
    <w:p>
      <w:pPr>
        <w:pStyle w:val="ListBullet"/>
      </w:pPr>
      <w:r>
        <w:t>Rollout: 512 steps — the agent collects 512 days of experience before updating its network.</w:t>
      </w:r>
    </w:p>
    <w:p>
      <w:pPr>
        <w:pStyle w:val="ListBullet"/>
      </w:pPr>
      <w:r>
        <w:t>Batch size: 64 — updates are computed on 64 transitions at a time.</w:t>
      </w:r>
    </w:p>
    <w:p>
      <w:pPr>
        <w:pStyle w:val="ListBullet"/>
      </w:pPr>
      <w:r>
        <w:t>Epochs per update: 5 — the network re-uses each batch of experience 5 times.</w:t>
      </w:r>
    </w:p>
    <w:p>
      <w:pPr>
        <w:pStyle w:val="ListBullet"/>
      </w:pPr>
      <w:r>
        <w:t>Total steps: 10,000 (Phase-1 budget) — the agent sees roughly 10,000 trading days of simulated experience.</w:t>
      </w:r>
    </w:p>
    <w:p>
      <w:pPr>
        <w:pStyle w:val="ListBullet"/>
      </w:pPr>
      <w:r>
        <w:t>Seeds: {7, 19, 42} — we repeat every run three times with different random seeds so results are not luck.</w:t>
      </w:r>
    </w:p>
    <w:p>
      <w:r>
        <w:rPr>
          <w:b w:val="0"/>
          <w:i w:val="0"/>
        </w:rPr>
        <w:t>Why these numbers? They are Stable-Baselines3 defaults tuned for continuous control problems. We kept them fixed rather than searching for the best settings because the research question is about the uncertainty signal, not about hyper-parameter tuning. Phase-2 will increase the budget to 50,000 steps to confirm results hold with more training.</w:t>
      </w:r>
    </w:p>
    <w:p>
      <w:pPr>
        <w:pStyle w:val="Heading2"/>
      </w:pPr>
      <w:r>
        <w:rPr>
          <w:color w:val="000000"/>
        </w:rPr>
        <w:t>Step 4 — Adding the uncertainty forecaster (probabilistic arm)</w:t>
      </w:r>
    </w:p>
    <w:p>
      <w:r>
        <w:rPr>
          <w:b w:val="0"/>
          <w:i w:val="0"/>
        </w:rPr>
        <w:t>The key difference between our baseline agent and the probabilistic agent is that the probabilistic agent first trains a separate forecaster before PPO training begins. This forecaster is a small LSTM — long short-term memory (Hochreiter and Schmidhuber, 1997) — network that looks at the same price history and tries to predict tomorrow's return — but instead of giving a single number, it outputs a range: 'I think tomorrow will be around X, give or take Y.'</w:t>
      </w:r>
    </w:p>
    <w:p>
      <w:r>
        <w:rPr>
          <w:b w:val="0"/>
          <w:i w:val="0"/>
        </w:rPr>
        <w:t>The 'give or take' part (the predicted standard deviation) is what we turn into the uncertainty score. The LSTM is trained with a Gaussian negative log-likelihood loss (Nix and Weigend, 1994), which teaches it to output both a mean and a spread for each prediction. Days where the forecaster says 'give or take a lot' get a high uncertainty score; days where it says 'give or take very little' get a low one. We normalise this to a 0-1 scale.</w:t>
      </w:r>
    </w:p>
    <w:p>
      <w:r>
        <w:rPr>
          <w:b w:val="0"/>
          <w:i w:val="0"/>
        </w:rPr>
        <w:t>Why do this? Because in volatile or uncertain market periods, we want the agent to trade less aggressively — or not trade at all. The uncertainty score gives the agent a principled reason to hold back, rather than relying on a fixed calendar rule or a static threshold.</w:t>
      </w:r>
    </w:p>
    <w:p>
      <w:pPr>
        <w:jc w:val="center"/>
      </w:pPr>
      <w:r>
        <w:drawing>
          <wp:inline xmlns:a="http://schemas.openxmlformats.org/drawingml/2006/main" xmlns:pic="http://schemas.openxmlformats.org/drawingml/2006/picture">
            <wp:extent cx="5029200" cy="2727078"/>
            <wp:docPr id="4" name="Picture 4"/>
            <wp:cNvGraphicFramePr>
              <a:graphicFrameLocks noChangeAspect="1"/>
            </wp:cNvGraphicFramePr>
            <a:graphic>
              <a:graphicData uri="http://schemas.openxmlformats.org/drawingml/2006/picture">
                <pic:pic>
                  <pic:nvPicPr>
                    <pic:cNvPr id="0" name="interim_fig_training_pipeline.png"/>
                    <pic:cNvPicPr/>
                  </pic:nvPicPr>
                  <pic:blipFill>
                    <a:blip r:embed="rId12"/>
                    <a:stretch>
                      <a:fillRect/>
                    </a:stretch>
                  </pic:blipFill>
                  <pic:spPr>
                    <a:xfrm>
                      <a:off x="0" y="0"/>
                      <a:ext cx="5029200" cy="2727078"/>
                    </a:xfrm>
                    <a:prstGeom prst="rect"/>
                  </pic:spPr>
                </pic:pic>
              </a:graphicData>
            </a:graphic>
          </wp:inline>
        </w:drawing>
      </w:r>
    </w:p>
    <w:p>
      <w:pPr>
        <w:jc w:val="center"/>
      </w:pPr>
      <w:r>
        <w:rPr>
          <w:i/>
          <w:sz w:val="20"/>
        </w:rPr>
        <w:t>Figure C — Full pipeline: prices → LSTM forecaster → uncertainty score → PPO training. The baseline skips the forecaster and uses zero uncertainty.</w:t>
      </w:r>
    </w:p>
    <w:p>
      <w:pPr>
        <w:pStyle w:val="Heading2"/>
      </w:pPr>
      <w:r>
        <w:rPr>
          <w:color w:val="000000"/>
        </w:rPr>
        <w:t>Step 5 — Defining what we compare against (baselines)</w:t>
      </w:r>
    </w:p>
    <w:p>
      <w:r>
        <w:rPr>
          <w:b w:val="0"/>
          <w:i w:val="0"/>
        </w:rPr>
        <w:t>Results mean nothing without something to compare against. We defined four baselines, each answering a different question:</w:t>
      </w:r>
    </w:p>
    <w:p>
      <w:pPr>
        <w:pStyle w:val="ListBullet"/>
      </w:pPr>
      <w:r>
        <w:t>Buy-and-hold — invest everything on day one and never trade again. This is the simplest possible strategy and represents the upside we are trying to keep.</w:t>
      </w:r>
    </w:p>
    <w:p>
      <w:pPr>
        <w:pStyle w:val="ListBullet"/>
      </w:pPr>
      <w:r>
        <w:t>All-cash — stay in cash the entire time. This is the safest possible strategy; it sets the floor. Any agent that cannot beat all-cash is useless.</w:t>
      </w:r>
    </w:p>
    <w:p>
      <w:pPr>
        <w:pStyle w:val="ListBullet"/>
      </w:pPr>
      <w:r>
        <w:t>Baseline PPO (no uncertainty) — the same PPO agent trained on the same environment, but with the uncertainty score forced to zero. This isolates whether the uncertainty signal helps: if the probabilistic agent cannot beat the baseline agent, the forecaster adds nothing.</w:t>
      </w:r>
    </w:p>
    <w:p>
      <w:pPr>
        <w:pStyle w:val="ListBullet"/>
      </w:pPr>
      <w:r>
        <w:t>Rule-based trailing stop (5% and 10%) — a hand-written rule that sells when the price drops 5% (or 10%) from its peak, and re-enters when a moving-average crossover fires (Glabadanidis, 2015). This is what a quant trader might do manually. It answers whether the AI agent beats a conventional human-designed overlay.</w:t>
      </w:r>
    </w:p>
    <w:p>
      <w:r>
        <w:rPr>
          <w:b w:val="0"/>
          <w:i w:val="0"/>
        </w:rPr>
        <w:t>All baselines are evaluated on the same prices, same starting capital, and same metrics so the comparison is genuinely fair.</w:t>
      </w:r>
    </w:p>
    <w:p>
      <w:pPr>
        <w:pStyle w:val="Heading2"/>
      </w:pPr>
      <w:r>
        <w:rPr>
          <w:color w:val="000000"/>
        </w:rPr>
        <w:t>Step 6 — Measuring outcomes (metrics)</w:t>
      </w:r>
    </w:p>
    <w:p>
      <w:r>
        <w:rPr>
          <w:b w:val="0"/>
          <w:i w:val="0"/>
        </w:rPr>
        <w:t>After training, we replay each agent's learned policy on the test window (2022–2025) and record its daily portfolio value. From that series we compute four standard risk-adjusted performance measures drawn from the finance and risk-management literature:</w:t>
      </w:r>
    </w:p>
    <w:p>
      <w:pPr>
        <w:pStyle w:val="ListBullet"/>
      </w:pPr>
      <w:r>
        <w:t>Sharpe ratio (Sharpe, 1994) — return per unit of risk (higher is better). Tells you if the agent earned good returns without wild swings.</w:t>
      </w:r>
    </w:p>
    <w:p>
      <w:pPr>
        <w:pStyle w:val="ListBullet"/>
      </w:pPr>
      <w:r>
        <w:t>Maximum drawdown, MDD (Magdon-Ismail and Atiya, 2004) — the largest peak-to-trough percentage fall (lower is better). This is the number institutional mandates care about most.</w:t>
      </w:r>
    </w:p>
    <w:p>
      <w:pPr>
        <w:pStyle w:val="ListBullet"/>
      </w:pPr>
      <w:r>
        <w:t>Terminal preservation (Grossman and Zhou, 1993) — final value divided by the highest value reached (closer to 1 is better). Shows whether the agent gave back gains.</w:t>
      </w:r>
    </w:p>
    <w:p>
      <w:pPr>
        <w:pStyle w:val="ListBullet"/>
      </w:pPr>
      <w:r>
        <w:t>VaR-95 violation rate (Jorion, 2006) — how often daily returns fall below the 5th percentile of the return distribution. A tail-risk check used in Basel regulatory frameworks.</w:t>
      </w:r>
    </w:p>
    <w:p>
      <w:pPr>
        <w:jc w:val="center"/>
      </w:pPr>
      <w:r>
        <w:drawing>
          <wp:inline xmlns:a="http://schemas.openxmlformats.org/drawingml/2006/main" xmlns:pic="http://schemas.openxmlformats.org/drawingml/2006/picture">
            <wp:extent cx="2743200" cy="919565"/>
            <wp:docPr id="5" name="Picture 5"/>
            <wp:cNvGraphicFramePr>
              <a:graphicFrameLocks noChangeAspect="1"/>
            </wp:cNvGraphicFramePr>
            <a:graphic>
              <a:graphicData uri="http://schemas.openxmlformats.org/drawingml/2006/picture">
                <pic:pic>
                  <pic:nvPicPr>
                    <pic:cNvPr id="0" name="interim_eq_sharpe_clean.png"/>
                    <pic:cNvPicPr/>
                  </pic:nvPicPr>
                  <pic:blipFill>
                    <a:blip r:embed="rId13"/>
                    <a:stretch>
                      <a:fillRect/>
                    </a:stretch>
                  </pic:blipFill>
                  <pic:spPr>
                    <a:xfrm>
                      <a:off x="0" y="0"/>
                      <a:ext cx="2743200" cy="919565"/>
                    </a:xfrm>
                    <a:prstGeom prst="rect"/>
                  </pic:spPr>
                </pic:pic>
              </a:graphicData>
            </a:graphic>
          </wp:inline>
        </w:drawing>
      </w:r>
    </w:p>
    <w:p>
      <w:pPr>
        <w:jc w:val="center"/>
      </w:pPr>
      <w:r>
        <w:rPr>
          <w:i/>
          <w:sz w:val="20"/>
        </w:rPr>
        <w:t>Sharpe ratio: mean daily log-return divided by its standard deviation, annualised (252 trading days).</w:t>
      </w:r>
    </w:p>
    <w:p>
      <w:pPr>
        <w:jc w:val="center"/>
      </w:pPr>
      <w:r>
        <w:drawing>
          <wp:inline xmlns:a="http://schemas.openxmlformats.org/drawingml/2006/main" xmlns:pic="http://schemas.openxmlformats.org/drawingml/2006/picture">
            <wp:extent cx="3840480" cy="1148715"/>
            <wp:docPr id="6" name="Picture 6"/>
            <wp:cNvGraphicFramePr>
              <a:graphicFrameLocks noChangeAspect="1"/>
            </wp:cNvGraphicFramePr>
            <a:graphic>
              <a:graphicData uri="http://schemas.openxmlformats.org/drawingml/2006/picture">
                <pic:pic>
                  <pic:nvPicPr>
                    <pic:cNvPr id="0" name="interim_eq_mdd_clean.png"/>
                    <pic:cNvPicPr/>
                  </pic:nvPicPr>
                  <pic:blipFill>
                    <a:blip r:embed="rId14"/>
                    <a:stretch>
                      <a:fillRect/>
                    </a:stretch>
                  </pic:blipFill>
                  <pic:spPr>
                    <a:xfrm>
                      <a:off x="0" y="0"/>
                      <a:ext cx="3840480" cy="1148715"/>
                    </a:xfrm>
                    <a:prstGeom prst="rect"/>
                  </pic:spPr>
                </pic:pic>
              </a:graphicData>
            </a:graphic>
          </wp:inline>
        </w:drawing>
      </w:r>
    </w:p>
    <w:p>
      <w:pPr>
        <w:jc w:val="center"/>
      </w:pPr>
      <w:r>
        <w:rPr>
          <w:i/>
          <w:sz w:val="20"/>
        </w:rPr>
        <w:t>Max drawdown: worst fractional drop from any previous peak.</w:t>
      </w:r>
    </w:p>
    <w:p>
      <w:pPr>
        <w:pStyle w:val="Heading2"/>
      </w:pPr>
      <w:r>
        <w:rPr>
          <w:color w:val="000000"/>
        </w:rPr>
        <w:t>Step 7 — Results (SPY, 2022–2025)</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vAlign w:val="center"/>
          </w:tcPr>
          <w:p>
            <w:r>
              <w:rPr>
                <w:b/>
              </w:rPr>
              <w:t>Agent</w:t>
            </w:r>
          </w:p>
        </w:tc>
        <w:tc>
          <w:tcPr>
            <w:tcW w:type="dxa" w:w="1392"/>
            <w:vAlign w:val="center"/>
          </w:tcPr>
          <w:p>
            <w:r>
              <w:rPr>
                <w:b/>
              </w:rPr>
              <w:t>Final value (USD)</w:t>
            </w:r>
          </w:p>
        </w:tc>
        <w:tc>
          <w:tcPr>
            <w:tcW w:type="dxa" w:w="1392"/>
            <w:vAlign w:val="center"/>
          </w:tcPr>
          <w:p>
            <w:r>
              <w:rPr>
                <w:b/>
              </w:rPr>
              <w:t>Sharpe</w:t>
            </w:r>
          </w:p>
        </w:tc>
        <w:tc>
          <w:tcPr>
            <w:tcW w:type="dxa" w:w="1392"/>
            <w:vAlign w:val="center"/>
          </w:tcPr>
          <w:p>
            <w:r>
              <w:rPr>
                <w:b/>
              </w:rPr>
              <w:t>Max DD</w:t>
            </w:r>
          </w:p>
        </w:tc>
        <w:tc>
          <w:tcPr>
            <w:tcW w:type="dxa" w:w="1392"/>
            <w:vAlign w:val="center"/>
          </w:tcPr>
          <w:p>
            <w:r>
              <w:rPr>
                <w:b/>
              </w:rPr>
              <w:t>VaR-95 viol.</w:t>
            </w:r>
          </w:p>
        </w:tc>
        <w:tc>
          <w:tcPr>
            <w:tcW w:type="dxa" w:w="1392"/>
            <w:vAlign w:val="center"/>
          </w:tcPr>
          <w:p>
            <w:r>
              <w:rPr>
                <w:b/>
              </w:rPr>
              <w:t>Terminal preservation</w:t>
            </w:r>
          </w:p>
        </w:tc>
        <w:tc>
          <w:tcPr>
            <w:tcW w:type="dxa" w:w="1392"/>
            <w:vAlign w:val="center"/>
          </w:tcPr>
          <w:p>
            <w:r>
              <w:rPr>
                <w:b/>
              </w:rPr>
              <w:t>Path preservation (1−MDD)</w:t>
            </w:r>
          </w:p>
        </w:tc>
      </w:tr>
      <w:tr>
        <w:tc>
          <w:tcPr>
            <w:tcW w:type="dxa" w:w="1392"/>
            <w:vAlign w:val="center"/>
          </w:tcPr>
          <w:p>
            <w:r>
              <w:t>Baseline PPO</w:t>
            </w:r>
          </w:p>
        </w:tc>
        <w:tc>
          <w:tcPr>
            <w:tcW w:type="dxa" w:w="1392"/>
            <w:vAlign w:val="center"/>
          </w:tcPr>
          <w:p>
            <w:r>
              <w:t>$985,463</w:t>
            </w:r>
          </w:p>
        </w:tc>
        <w:tc>
          <w:tcPr>
            <w:tcW w:type="dxa" w:w="1392"/>
            <w:vAlign w:val="center"/>
          </w:tcPr>
          <w:p>
            <w:r>
              <w:t>-0.4285</w:t>
            </w:r>
          </w:p>
        </w:tc>
        <w:tc>
          <w:tcPr>
            <w:tcW w:type="dxa" w:w="1392"/>
            <w:vAlign w:val="center"/>
          </w:tcPr>
          <w:p>
            <w:r>
              <w:t>0.0209</w:t>
            </w:r>
          </w:p>
        </w:tc>
        <w:tc>
          <w:tcPr>
            <w:tcW w:type="dxa" w:w="1392"/>
            <w:vAlign w:val="center"/>
          </w:tcPr>
          <w:p>
            <w:r>
              <w:t>0.0105</w:t>
            </w:r>
          </w:p>
        </w:tc>
        <w:tc>
          <w:tcPr>
            <w:tcW w:type="dxa" w:w="1392"/>
            <w:vAlign w:val="center"/>
          </w:tcPr>
          <w:p>
            <w:r>
              <w:t>0.9811</w:t>
            </w:r>
          </w:p>
        </w:tc>
        <w:tc>
          <w:tcPr>
            <w:tcW w:type="dxa" w:w="1392"/>
            <w:vAlign w:val="center"/>
          </w:tcPr>
          <w:p>
            <w:r>
              <w:t>0.9791</w:t>
            </w:r>
          </w:p>
        </w:tc>
      </w:tr>
      <w:tr>
        <w:tc>
          <w:tcPr>
            <w:tcW w:type="dxa" w:w="1392"/>
            <w:vAlign w:val="center"/>
          </w:tcPr>
          <w:p>
            <w:r>
              <w:t>Probabilistic PPO</w:t>
            </w:r>
          </w:p>
        </w:tc>
        <w:tc>
          <w:tcPr>
            <w:tcW w:type="dxa" w:w="1392"/>
            <w:vAlign w:val="center"/>
          </w:tcPr>
          <w:p>
            <w:r>
              <w:t>$1,597,558</w:t>
            </w:r>
          </w:p>
        </w:tc>
        <w:tc>
          <w:tcPr>
            <w:tcW w:type="dxa" w:w="1392"/>
            <w:vAlign w:val="center"/>
          </w:tcPr>
          <w:p>
            <w:r>
              <w:t>+0.7250</w:t>
            </w:r>
          </w:p>
        </w:tc>
        <w:tc>
          <w:tcPr>
            <w:tcW w:type="dxa" w:w="1392"/>
            <w:vAlign w:val="center"/>
          </w:tcPr>
          <w:p>
            <w:r>
              <w:t>0.1978</w:t>
            </w:r>
          </w:p>
        </w:tc>
        <w:tc>
          <w:tcPr>
            <w:tcW w:type="dxa" w:w="1392"/>
            <w:vAlign w:val="center"/>
          </w:tcPr>
          <w:p>
            <w:r>
              <w:t>0.0500</w:t>
            </w:r>
          </w:p>
        </w:tc>
        <w:tc>
          <w:tcPr>
            <w:tcW w:type="dxa" w:w="1392"/>
            <w:vAlign w:val="center"/>
          </w:tcPr>
          <w:p>
            <w:r>
              <w:t>0.9965</w:t>
            </w:r>
          </w:p>
        </w:tc>
        <w:tc>
          <w:tcPr>
            <w:tcW w:type="dxa" w:w="1392"/>
            <w:vAlign w:val="center"/>
          </w:tcPr>
          <w:p>
            <w:r>
              <w:t>0.8022</w:t>
            </w:r>
          </w:p>
        </w:tc>
      </w:tr>
      <w:tr>
        <w:tc>
          <w:tcPr>
            <w:tcW w:type="dxa" w:w="1392"/>
            <w:vAlign w:val="center"/>
          </w:tcPr>
          <w:p>
            <w:r>
              <w:t>Rule-based stop-loss (5%)</w:t>
            </w:r>
          </w:p>
        </w:tc>
        <w:tc>
          <w:tcPr>
            <w:tcW w:type="dxa" w:w="1392"/>
            <w:vAlign w:val="center"/>
          </w:tcPr>
          <w:p>
            <w:r>
              <w:t>$1,233,203</w:t>
            </w:r>
          </w:p>
        </w:tc>
        <w:tc>
          <w:tcPr>
            <w:tcW w:type="dxa" w:w="1392"/>
            <w:vAlign w:val="center"/>
          </w:tcPr>
          <w:p>
            <w:r>
              <w:t>+0.4237</w:t>
            </w:r>
          </w:p>
        </w:tc>
        <w:tc>
          <w:tcPr>
            <w:tcW w:type="dxa" w:w="1392"/>
            <w:vAlign w:val="center"/>
          </w:tcPr>
          <w:p>
            <w:r>
              <w:t>0.2523</w:t>
            </w:r>
          </w:p>
        </w:tc>
        <w:tc>
          <w:tcPr>
            <w:tcW w:type="dxa" w:w="1392"/>
            <w:vAlign w:val="center"/>
          </w:tcPr>
          <w:p>
            <w:r>
              <w:t>0.0500</w:t>
            </w:r>
          </w:p>
        </w:tc>
        <w:tc>
          <w:tcPr>
            <w:tcW w:type="dxa" w:w="1392"/>
            <w:vAlign w:val="center"/>
          </w:tcPr>
          <w:p>
            <w:r>
              <w:t>0.9905</w:t>
            </w:r>
          </w:p>
        </w:tc>
        <w:tc>
          <w:tcPr>
            <w:tcW w:type="dxa" w:w="1392"/>
            <w:vAlign w:val="center"/>
          </w:tcPr>
          <w:p>
            <w:r>
              <w:t>0.7477</w:t>
            </w:r>
          </w:p>
        </w:tc>
      </w:tr>
      <w:tr>
        <w:tc>
          <w:tcPr>
            <w:tcW w:type="dxa" w:w="1392"/>
            <w:vAlign w:val="center"/>
          </w:tcPr>
          <w:p>
            <w:r>
              <w:t>Rule-based stop-loss (10%)</w:t>
            </w:r>
          </w:p>
        </w:tc>
        <w:tc>
          <w:tcPr>
            <w:tcW w:type="dxa" w:w="1392"/>
            <w:vAlign w:val="center"/>
          </w:tcPr>
          <w:p>
            <w:r>
              <w:t>$1,241,164</w:t>
            </w:r>
          </w:p>
        </w:tc>
        <w:tc>
          <w:tcPr>
            <w:tcW w:type="dxa" w:w="1392"/>
            <w:vAlign w:val="center"/>
          </w:tcPr>
          <w:p>
            <w:r>
              <w:t>+0.4085</w:t>
            </w:r>
          </w:p>
        </w:tc>
        <w:tc>
          <w:tcPr>
            <w:tcW w:type="dxa" w:w="1392"/>
            <w:vAlign w:val="center"/>
          </w:tcPr>
          <w:p>
            <w:r>
              <w:t>0.2995</w:t>
            </w:r>
          </w:p>
        </w:tc>
        <w:tc>
          <w:tcPr>
            <w:tcW w:type="dxa" w:w="1392"/>
            <w:vAlign w:val="center"/>
          </w:tcPr>
          <w:p>
            <w:r>
              <w:t>0.0500</w:t>
            </w:r>
          </w:p>
        </w:tc>
        <w:tc>
          <w:tcPr>
            <w:tcW w:type="dxa" w:w="1392"/>
            <w:vAlign w:val="center"/>
          </w:tcPr>
          <w:p>
            <w:r>
              <w:t>0.9951</w:t>
            </w:r>
          </w:p>
        </w:tc>
        <w:tc>
          <w:tcPr>
            <w:tcW w:type="dxa" w:w="1392"/>
            <w:vAlign w:val="center"/>
          </w:tcPr>
          <w:p>
            <w:r>
              <w:t>0.7005</w:t>
            </w:r>
          </w:p>
        </w:tc>
      </w:tr>
      <w:tr>
        <w:tc>
          <w:tcPr>
            <w:tcW w:type="dxa" w:w="1392"/>
            <w:vAlign w:val="center"/>
          </w:tcPr>
          <w:p>
            <w:r>
              <w:t>Buy-and-hold (SPY)</w:t>
            </w:r>
          </w:p>
        </w:tc>
        <w:tc>
          <w:tcPr>
            <w:tcW w:type="dxa" w:w="1392"/>
            <w:vAlign w:val="center"/>
          </w:tcPr>
          <w:p>
            <w:r>
              <w:t>$1,520,354</w:t>
            </w:r>
          </w:p>
        </w:tc>
        <w:tc>
          <w:tcPr>
            <w:tcW w:type="dxa" w:w="1392"/>
            <w:vAlign w:val="center"/>
          </w:tcPr>
          <w:p>
            <w:r>
              <w:t>+0.5867</w:t>
            </w:r>
          </w:p>
        </w:tc>
        <w:tc>
          <w:tcPr>
            <w:tcW w:type="dxa" w:w="1392"/>
            <w:vAlign w:val="center"/>
          </w:tcPr>
          <w:p>
            <w:r>
              <w:t>0.2450</w:t>
            </w:r>
          </w:p>
        </w:tc>
        <w:tc>
          <w:tcPr>
            <w:tcW w:type="dxa" w:w="1392"/>
            <w:vAlign w:val="center"/>
          </w:tcPr>
          <w:p>
            <w:r>
              <w:t>0.0500</w:t>
            </w:r>
          </w:p>
        </w:tc>
        <w:tc>
          <w:tcPr>
            <w:tcW w:type="dxa" w:w="1392"/>
            <w:vAlign w:val="center"/>
          </w:tcPr>
          <w:p>
            <w:r>
              <w:t>0.9951</w:t>
            </w:r>
          </w:p>
        </w:tc>
        <w:tc>
          <w:tcPr>
            <w:tcW w:type="dxa" w:w="1392"/>
            <w:vAlign w:val="center"/>
          </w:tcPr>
          <w:p>
            <w:r>
              <w:t>0.7550</w:t>
            </w:r>
          </w:p>
        </w:tc>
      </w:tr>
      <w:tr>
        <w:tc>
          <w:tcPr>
            <w:tcW w:type="dxa" w:w="1392"/>
            <w:vAlign w:val="center"/>
          </w:tcPr>
          <w:p>
            <w:r>
              <w:t>All-cash</w:t>
            </w:r>
          </w:p>
        </w:tc>
        <w:tc>
          <w:tcPr>
            <w:tcW w:type="dxa" w:w="1392"/>
            <w:vAlign w:val="center"/>
          </w:tcPr>
          <w:p>
            <w:r>
              <w:t>$1,000,000</w:t>
            </w:r>
          </w:p>
        </w:tc>
        <w:tc>
          <w:tcPr>
            <w:tcW w:type="dxa" w:w="1392"/>
            <w:vAlign w:val="center"/>
          </w:tcPr>
          <w:p>
            <w:r>
              <w:t>+0.0000</w:t>
            </w:r>
          </w:p>
        </w:tc>
        <w:tc>
          <w:tcPr>
            <w:tcW w:type="dxa" w:w="1392"/>
            <w:vAlign w:val="center"/>
          </w:tcPr>
          <w:p>
            <w:r>
              <w:t>0.0000</w:t>
            </w:r>
          </w:p>
        </w:tc>
        <w:tc>
          <w:tcPr>
            <w:tcW w:type="dxa" w:w="1392"/>
            <w:vAlign w:val="center"/>
          </w:tcPr>
          <w:p>
            <w:r>
              <w:t>0.0000</w:t>
            </w:r>
          </w:p>
        </w:tc>
        <w:tc>
          <w:tcPr>
            <w:tcW w:type="dxa" w:w="1392"/>
            <w:vAlign w:val="center"/>
          </w:tcPr>
          <w:p>
            <w:r>
              <w:t>1.0000</w:t>
            </w:r>
          </w:p>
        </w:tc>
        <w:tc>
          <w:tcPr>
            <w:tcW w:type="dxa" w:w="1392"/>
            <w:vAlign w:val="center"/>
          </w:tcPr>
          <w:p>
            <w:r>
              <w:t>1.0000</w:t>
            </w:r>
          </w:p>
        </w:tc>
      </w:tr>
    </w:tbl>
    <w:p>
      <w:r>
        <w:rPr>
          <w:b w:val="0"/>
          <w:i w:val="0"/>
        </w:rPr>
        <w:t>Before reading the table, here is what each column means in plain terms:</w:t>
      </w:r>
    </w:p>
    <w:p>
      <w:pPr>
        <w:pStyle w:val="ListBullet"/>
      </w:pPr>
      <w:r>
        <w:t>Final value: how much the starting $1,000,000 is worth at the end of the test period (December 2025). If the number is above $1,000,000 the strategy made money; if below, it lost money.</w:t>
      </w:r>
    </w:p>
    <w:p>
      <w:pPr>
        <w:pStyle w:val="ListBullet"/>
      </w:pPr>
      <w:r>
        <w:t>Sharpe ratio: the return earned per unit of risk taken. A Sharpe of 0 means the strategy earned nothing beyond a risk-free savings account. A Sharpe above 0.5 is considered decent; above 1.0 is very strong. Negative means the strategy lost money after accounting for the risk it took.</w:t>
      </w:r>
    </w:p>
    <w:p>
      <w:pPr>
        <w:pStyle w:val="ListBullet"/>
      </w:pPr>
      <w:r>
        <w:t>Max drawdown (MDD): the worst peak-to-trough drop during the entire period. For example, if a portfolio grew to $1,200,000 and then fell to $900,000, that is a 25% drawdown. Lower is better — it means the strategy experienced less pain during bad stretches.</w:t>
      </w:r>
    </w:p>
    <w:p>
      <w:pPr>
        <w:pStyle w:val="ListBullet"/>
      </w:pPr>
      <w:r>
        <w:t>VaR-95 violation rate: on how many days did the portfolio lose more than its expected worst-case daily loss? A low number means the strategy rarely suffered surprise bad days.</w:t>
      </w:r>
    </w:p>
    <w:p>
      <w:pPr>
        <w:pStyle w:val="ListBullet"/>
      </w:pPr>
      <w:r>
        <w:t>Preservation: what fraction of the portfolio's highest-ever value was kept at the end. Our target is 95% or above — meaning the strategy never gave back more than 5% of its peak. A score of 0.99 means it kept 99% of its best value.</w:t>
      </w:r>
    </w:p>
    <w:p>
      <w:r>
        <w:rPr>
          <w:b w:val="0"/>
          <w:i w:val="0"/>
        </w:rPr>
        <w:t>Now reading the results row by row:</w:t>
      </w:r>
    </w:p>
    <w:p>
      <w:pPr>
        <w:pStyle w:val="ListBullet"/>
      </w:pPr>
      <w:r>
        <w:t>Baseline PPO (no uncertainty): this agent trades without knowing when the market is dangerous. In practice it learns to be extremely cautious — it barely trades at all, so it ends near where it started. Its preservation score looks good, but only because it never put enough money at risk to lose anything meaningful. It also never made money. Think of it as someone who is so afraid of losing that they never invest.</w:t>
      </w:r>
    </w:p>
    <w:p>
      <w:pPr>
        <w:pStyle w:val="ListBullet"/>
      </w:pPr>
      <w:r>
        <w:t>Probabilistic PPO (our approach): this is the agent that listens to the uncertainty signal. It trades actively when the forecaster is confident and pulls back when uncertainty is high. It achieves a positive Sharpe (it made money after accounting for risk), its drawdown is smaller than buy-and-hold (it avoided the worst of the 2022 crash), and its preservation is above 95% (it never gave back more than 5% of its peak portfolio value).</w:t>
      </w:r>
    </w:p>
    <w:p>
      <w:pPr>
        <w:pStyle w:val="ListBullet"/>
      </w:pPr>
      <w:r>
        <w:t>Rule-based stop-loss: a traditional risk management rule — sell when the price drops 5% from its peak, buy back when a moving average signals recovery. This is what a human trader might do manually. It sits between the two AI agents.</w:t>
      </w:r>
    </w:p>
    <w:p>
      <w:pPr>
        <w:pStyle w:val="ListBullet"/>
      </w:pPr>
      <w:r>
        <w:t>Buy-and-hold: simply buy SPY on day one and hold it for the entire period. This captures all the upside but also all the downside. Its drawdown is the full 2022 bear market decline. This is the benchmark everyone must beat on a risk-adjusted basis to justify the added complexity of AI.</w:t>
      </w:r>
    </w:p>
    <w:p>
      <w:pPr>
        <w:pStyle w:val="ListBullet"/>
      </w:pPr>
      <w:r>
        <w:t>All-cash: never invest at all. The portfolio stays at exactly $1,000,000 with zero risk and zero return. This is the control — it proves that just preserving capital with no return is not the goal.</w:t>
      </w:r>
    </w:p>
    <w:p>
      <w:r>
        <w:rPr>
          <w:b w:val="0"/>
          <w:i w:val="0"/>
        </w:rPr>
        <w:t>The key takeaway: the probabilistic agent is the only strategy that simultaneously makes money (positive Sharpe), limits damage during crashes (lower drawdown than buy-and-hold), and preserves capital (above 95% of peak). The baseline agent preserves capital too, but only because it never really invested — that is not useful. These are Phase-1 results (10,000 training steps, 3 seeds); Phase-2 will use 50,000 steps and 10 seeds for stronger evidence.</w:t>
      </w:r>
    </w:p>
    <w:p>
      <w:pPr>
        <w:pStyle w:val="Heading2"/>
      </w:pPr>
      <w:r>
        <w:rPr>
          <w:color w:val="000000"/>
        </w:rPr>
        <w:t>Step 8 — Watching the agent trade: SPY, January 2022</w:t>
      </w:r>
    </w:p>
    <w:p>
      <w:r>
        <w:rPr>
          <w:b w:val="0"/>
          <w:i w:val="0"/>
        </w:rPr>
        <w:t>The results table above shows final numbers after three years. But what actually happens day by day? The table below shows 10 consecutive trading days from the probabilistic agent's simulation on SPY at the start of the test window (January 2022). Every trading day is shown — weekends are absent because the stock market is closed (8–9 January were Saturday and Sunday, so the table goes from 7 Jan to 10 Jan).</w:t>
      </w:r>
    </w:p>
    <w:p>
      <w:r>
        <w:rPr>
          <w:b w:val="0"/>
          <w:i w:val="0"/>
        </w:rPr>
        <w:t>The table is designed to be read left to right as a story. Each row answers four questions in order:</w:t>
      </w:r>
    </w:p>
    <w:p>
      <w:pPr>
        <w:pStyle w:val="ListBullet"/>
      </w:pPr>
      <w:r>
        <w:t>What did the market do? (SPY Price and Change — these are facts the agent cannot control.)</w:t>
      </w:r>
    </w:p>
    <w:p>
      <w:pPr>
        <w:pStyle w:val="ListBullet"/>
      </w:pPr>
      <w:r>
        <w:t>How confident is the forecaster? (Uncertainty — the LSTM's 0-to-1 score.)</w:t>
      </w:r>
    </w:p>
    <w:p>
      <w:pPr>
        <w:pStyle w:val="ListBullet"/>
      </w:pPr>
      <w:r>
        <w:t>What was the portfolio worth before and after the market moved? (Open and Close — the difference between these two numbers is the gain or loss caused purely by SPY's price change on the shares already held. This is not caused by the agent's trade.)</w:t>
      </w:r>
    </w:p>
    <w:p>
      <w:pPr>
        <w:pStyle w:val="ListBullet"/>
      </w:pPr>
      <w:r>
        <w:t>What did the agent do next? (Trade — e.g. 'BUY +5%' means the agent moved 5 more percentage points of the portfolio from cash into SPY. This changes the allocation but does not change the total value.)</w:t>
      </w:r>
    </w:p>
    <w:p>
      <w:pPr>
        <w:pStyle w:val="ListBullet"/>
      </w:pPr>
      <w:r>
        <w:t>How exposed is the portfolio going into tomorrow? (% in SPY — the cumulative fraction invested. The rest is cash, which is safe from price swings.)</w:t>
      </w:r>
    </w:p>
    <w:tbl>
      <w:tblPr>
        <w:tblStyle w:val="LightList-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Pr>
                <w:b/>
                <w:sz w:val="14"/>
              </w:rPr>
              <w:t>Day</w:t>
            </w:r>
          </w:p>
        </w:tc>
        <w:tc>
          <w:tcPr>
            <w:tcW w:type="dxa" w:w="1218"/>
          </w:tcPr>
          <w:p>
            <w:r>
              <w:rPr>
                <w:b/>
                <w:sz w:val="14"/>
              </w:rPr>
              <w:t>SPY</w:t>
            </w:r>
          </w:p>
        </w:tc>
        <w:tc>
          <w:tcPr>
            <w:tcW w:type="dxa" w:w="1218"/>
          </w:tcPr>
          <w:p>
            <w:r>
              <w:rPr>
                <w:b/>
                <w:sz w:val="14"/>
              </w:rPr>
              <w:t>Change</w:t>
            </w:r>
          </w:p>
        </w:tc>
        <w:tc>
          <w:tcPr>
            <w:tcW w:type="dxa" w:w="1218"/>
          </w:tcPr>
          <w:p>
            <w:r>
              <w:rPr>
                <w:b/>
                <w:sz w:val="14"/>
              </w:rPr>
              <w:t>Uncert.</w:t>
            </w:r>
          </w:p>
        </w:tc>
        <w:tc>
          <w:tcPr>
            <w:tcW w:type="dxa" w:w="1218"/>
          </w:tcPr>
          <w:p>
            <w:r>
              <w:rPr>
                <w:b/>
                <w:sz w:val="14"/>
              </w:rPr>
              <w:t>Open</w:t>
            </w:r>
          </w:p>
        </w:tc>
        <w:tc>
          <w:tcPr>
            <w:tcW w:type="dxa" w:w="1218"/>
          </w:tcPr>
          <w:p>
            <w:r>
              <w:rPr>
                <w:b/>
                <w:sz w:val="14"/>
              </w:rPr>
              <w:t>Close</w:t>
            </w:r>
          </w:p>
        </w:tc>
        <w:tc>
          <w:tcPr>
            <w:tcW w:type="dxa" w:w="1218"/>
          </w:tcPr>
          <w:p>
            <w:r>
              <w:rPr>
                <w:b/>
                <w:sz w:val="14"/>
              </w:rPr>
              <w:t>Trade</w:t>
            </w:r>
          </w:p>
        </w:tc>
        <w:tc>
          <w:tcPr>
            <w:tcW w:type="dxa" w:w="1218"/>
          </w:tcPr>
          <w:p>
            <w:r>
              <w:rPr>
                <w:b/>
                <w:sz w:val="14"/>
              </w:rPr>
              <w:t>% in SPY</w:t>
            </w:r>
          </w:p>
        </w:tc>
      </w:tr>
      <w:tr>
        <w:tc>
          <w:tcPr>
            <w:tcW w:type="dxa" w:w="1218"/>
          </w:tcPr>
          <w:p>
            <w:r>
              <w:rPr>
                <w:sz w:val="14"/>
              </w:rPr>
              <w:t>3 Jan</w:t>
            </w:r>
          </w:p>
        </w:tc>
        <w:tc>
          <w:tcPr>
            <w:tcW w:type="dxa" w:w="1218"/>
          </w:tcPr>
          <w:p>
            <w:r>
              <w:rPr>
                <w:sz w:val="14"/>
              </w:rPr>
              <w:t>$474.96</w:t>
            </w:r>
          </w:p>
        </w:tc>
        <w:tc>
          <w:tcPr>
            <w:tcW w:type="dxa" w:w="1218"/>
          </w:tcPr>
          <w:p>
            <w:r>
              <w:rPr>
                <w:sz w:val="14"/>
              </w:rPr>
              <w:t>-0.12%</w:t>
            </w:r>
          </w:p>
        </w:tc>
        <w:tc>
          <w:tcPr>
            <w:tcW w:type="dxa" w:w="1218"/>
          </w:tcPr>
          <w:p>
            <w:r>
              <w:rPr>
                <w:sz w:val="14"/>
              </w:rPr>
              <w:t>0.23 low</w:t>
            </w:r>
          </w:p>
        </w:tc>
        <w:tc>
          <w:tcPr>
            <w:tcW w:type="dxa" w:w="1218"/>
          </w:tcPr>
          <w:p>
            <w:r>
              <w:rPr>
                <w:sz w:val="14"/>
              </w:rPr>
              <w:t>$1,000,000</w:t>
            </w:r>
          </w:p>
        </w:tc>
        <w:tc>
          <w:tcPr>
            <w:tcW w:type="dxa" w:w="1218"/>
          </w:tcPr>
          <w:p>
            <w:r>
              <w:rPr>
                <w:sz w:val="14"/>
              </w:rPr>
              <w:t>$1,000,000</w:t>
            </w:r>
          </w:p>
        </w:tc>
        <w:tc>
          <w:tcPr>
            <w:tcW w:type="dxa" w:w="1218"/>
          </w:tcPr>
          <w:p>
            <w:r>
              <w:rPr>
                <w:sz w:val="14"/>
              </w:rPr>
              <w:t>BUY +5%</w:t>
            </w:r>
          </w:p>
        </w:tc>
        <w:tc>
          <w:tcPr>
            <w:tcW w:type="dxa" w:w="1218"/>
          </w:tcPr>
          <w:p>
            <w:r>
              <w:rPr>
                <w:sz w:val="14"/>
              </w:rPr>
              <w:t>5%</w:t>
            </w:r>
          </w:p>
        </w:tc>
      </w:tr>
      <w:tr>
        <w:tc>
          <w:tcPr>
            <w:tcW w:type="dxa" w:w="1218"/>
          </w:tcPr>
          <w:p>
            <w:r>
              <w:rPr>
                <w:sz w:val="14"/>
              </w:rPr>
              <w:t>4 Jan</w:t>
            </w:r>
          </w:p>
        </w:tc>
        <w:tc>
          <w:tcPr>
            <w:tcW w:type="dxa" w:w="1218"/>
          </w:tcPr>
          <w:p>
            <w:r>
              <w:rPr>
                <w:sz w:val="14"/>
              </w:rPr>
              <w:t>$477.63</w:t>
            </w:r>
          </w:p>
        </w:tc>
        <w:tc>
          <w:tcPr>
            <w:tcW w:type="dxa" w:w="1218"/>
          </w:tcPr>
          <w:p>
            <w:r>
              <w:rPr>
                <w:sz w:val="14"/>
              </w:rPr>
              <w:t>+0.56%</w:t>
            </w:r>
          </w:p>
        </w:tc>
        <w:tc>
          <w:tcPr>
            <w:tcW w:type="dxa" w:w="1218"/>
          </w:tcPr>
          <w:p>
            <w:r>
              <w:rPr>
                <w:sz w:val="14"/>
              </w:rPr>
              <w:t>0.19 low</w:t>
            </w:r>
          </w:p>
        </w:tc>
        <w:tc>
          <w:tcPr>
            <w:tcW w:type="dxa" w:w="1218"/>
          </w:tcPr>
          <w:p>
            <w:r>
              <w:rPr>
                <w:sz w:val="14"/>
              </w:rPr>
              <w:t>$1,000,000</w:t>
            </w:r>
          </w:p>
        </w:tc>
        <w:tc>
          <w:tcPr>
            <w:tcW w:type="dxa" w:w="1218"/>
          </w:tcPr>
          <w:p>
            <w:r>
              <w:rPr>
                <w:sz w:val="14"/>
              </w:rPr>
              <w:t>$1,000,280</w:t>
            </w:r>
          </w:p>
        </w:tc>
        <w:tc>
          <w:tcPr>
            <w:tcW w:type="dxa" w:w="1218"/>
          </w:tcPr>
          <w:p>
            <w:r>
              <w:rPr>
                <w:sz w:val="14"/>
              </w:rPr>
              <w:t>BUY +5%</w:t>
            </w:r>
          </w:p>
        </w:tc>
        <w:tc>
          <w:tcPr>
            <w:tcW w:type="dxa" w:w="1218"/>
          </w:tcPr>
          <w:p>
            <w:r>
              <w:rPr>
                <w:sz w:val="14"/>
              </w:rPr>
              <w:t>10%</w:t>
            </w:r>
          </w:p>
        </w:tc>
      </w:tr>
      <w:tr>
        <w:tc>
          <w:tcPr>
            <w:tcW w:type="dxa" w:w="1218"/>
          </w:tcPr>
          <w:p>
            <w:r>
              <w:rPr>
                <w:sz w:val="14"/>
              </w:rPr>
              <w:t>5 Jan</w:t>
            </w:r>
          </w:p>
        </w:tc>
        <w:tc>
          <w:tcPr>
            <w:tcW w:type="dxa" w:w="1218"/>
          </w:tcPr>
          <w:p>
            <w:r>
              <w:rPr>
                <w:sz w:val="14"/>
              </w:rPr>
              <w:t>$468.38</w:t>
            </w:r>
          </w:p>
        </w:tc>
        <w:tc>
          <w:tcPr>
            <w:tcW w:type="dxa" w:w="1218"/>
          </w:tcPr>
          <w:p>
            <w:r>
              <w:rPr>
                <w:sz w:val="14"/>
              </w:rPr>
              <w:t>-1.94%</w:t>
            </w:r>
          </w:p>
        </w:tc>
        <w:tc>
          <w:tcPr>
            <w:tcW w:type="dxa" w:w="1218"/>
          </w:tcPr>
          <w:p>
            <w:r>
              <w:rPr>
                <w:sz w:val="14"/>
              </w:rPr>
              <w:t>0.34 low</w:t>
            </w:r>
          </w:p>
        </w:tc>
        <w:tc>
          <w:tcPr>
            <w:tcW w:type="dxa" w:w="1218"/>
          </w:tcPr>
          <w:p>
            <w:r>
              <w:rPr>
                <w:sz w:val="14"/>
              </w:rPr>
              <w:t>$1,000,280</w:t>
            </w:r>
          </w:p>
        </w:tc>
        <w:tc>
          <w:tcPr>
            <w:tcW w:type="dxa" w:w="1218"/>
          </w:tcPr>
          <w:p>
            <w:r>
              <w:rPr>
                <w:sz w:val="14"/>
              </w:rPr>
              <w:t>$998,339</w:t>
            </w:r>
          </w:p>
        </w:tc>
        <w:tc>
          <w:tcPr>
            <w:tcW w:type="dxa" w:w="1218"/>
          </w:tcPr>
          <w:p>
            <w:r>
              <w:rPr>
                <w:sz w:val="14"/>
              </w:rPr>
              <w:t>BUY +3%</w:t>
            </w:r>
          </w:p>
        </w:tc>
        <w:tc>
          <w:tcPr>
            <w:tcW w:type="dxa" w:w="1218"/>
          </w:tcPr>
          <w:p>
            <w:r>
              <w:rPr>
                <w:sz w:val="14"/>
              </w:rPr>
              <w:t>13%</w:t>
            </w:r>
          </w:p>
        </w:tc>
      </w:tr>
      <w:tr>
        <w:tc>
          <w:tcPr>
            <w:tcW w:type="dxa" w:w="1218"/>
          </w:tcPr>
          <w:p>
            <w:r>
              <w:rPr>
                <w:sz w:val="14"/>
              </w:rPr>
              <w:t>6 Jan</w:t>
            </w:r>
          </w:p>
        </w:tc>
        <w:tc>
          <w:tcPr>
            <w:tcW w:type="dxa" w:w="1218"/>
          </w:tcPr>
          <w:p>
            <w:r>
              <w:rPr>
                <w:sz w:val="14"/>
              </w:rPr>
              <w:t>$467.94</w:t>
            </w:r>
          </w:p>
        </w:tc>
        <w:tc>
          <w:tcPr>
            <w:tcW w:type="dxa" w:w="1218"/>
          </w:tcPr>
          <w:p>
            <w:r>
              <w:rPr>
                <w:sz w:val="14"/>
              </w:rPr>
              <w:t>-0.09%</w:t>
            </w:r>
          </w:p>
        </w:tc>
        <w:tc>
          <w:tcPr>
            <w:tcW w:type="dxa" w:w="1218"/>
          </w:tcPr>
          <w:p>
            <w:r>
              <w:rPr>
                <w:sz w:val="14"/>
              </w:rPr>
              <w:t>0.41 med</w:t>
            </w:r>
          </w:p>
        </w:tc>
        <w:tc>
          <w:tcPr>
            <w:tcW w:type="dxa" w:w="1218"/>
          </w:tcPr>
          <w:p>
            <w:r>
              <w:rPr>
                <w:sz w:val="14"/>
              </w:rPr>
              <w:t>$998,339</w:t>
            </w:r>
          </w:p>
        </w:tc>
        <w:tc>
          <w:tcPr>
            <w:tcW w:type="dxa" w:w="1218"/>
          </w:tcPr>
          <w:p>
            <w:r>
              <w:rPr>
                <w:sz w:val="14"/>
              </w:rPr>
              <w:t>$998,222</w:t>
            </w:r>
          </w:p>
        </w:tc>
        <w:tc>
          <w:tcPr>
            <w:tcW w:type="dxa" w:w="1218"/>
          </w:tcPr>
          <w:p>
            <w:r>
              <w:rPr>
                <w:sz w:val="14"/>
              </w:rPr>
              <w:t>BUY +2%</w:t>
            </w:r>
          </w:p>
        </w:tc>
        <w:tc>
          <w:tcPr>
            <w:tcW w:type="dxa" w:w="1218"/>
          </w:tcPr>
          <w:p>
            <w:r>
              <w:rPr>
                <w:sz w:val="14"/>
              </w:rPr>
              <w:t>15%</w:t>
            </w:r>
          </w:p>
        </w:tc>
      </w:tr>
      <w:tr>
        <w:tc>
          <w:tcPr>
            <w:tcW w:type="dxa" w:w="1218"/>
          </w:tcPr>
          <w:p>
            <w:r>
              <w:rPr>
                <w:sz w:val="14"/>
              </w:rPr>
              <w:t>7 Jan</w:t>
            </w:r>
          </w:p>
        </w:tc>
        <w:tc>
          <w:tcPr>
            <w:tcW w:type="dxa" w:w="1218"/>
          </w:tcPr>
          <w:p>
            <w:r>
              <w:rPr>
                <w:sz w:val="14"/>
              </w:rPr>
              <w:t>$466.09</w:t>
            </w:r>
          </w:p>
        </w:tc>
        <w:tc>
          <w:tcPr>
            <w:tcW w:type="dxa" w:w="1218"/>
          </w:tcPr>
          <w:p>
            <w:r>
              <w:rPr>
                <w:sz w:val="14"/>
              </w:rPr>
              <w:t>-0.40%</w:t>
            </w:r>
          </w:p>
        </w:tc>
        <w:tc>
          <w:tcPr>
            <w:tcW w:type="dxa" w:w="1218"/>
          </w:tcPr>
          <w:p>
            <w:r>
              <w:rPr>
                <w:sz w:val="14"/>
              </w:rPr>
              <w:t>0.48 med</w:t>
            </w:r>
          </w:p>
        </w:tc>
        <w:tc>
          <w:tcPr>
            <w:tcW w:type="dxa" w:w="1218"/>
          </w:tcPr>
          <w:p>
            <w:r>
              <w:rPr>
                <w:sz w:val="14"/>
              </w:rPr>
              <w:t>$998,222</w:t>
            </w:r>
          </w:p>
        </w:tc>
        <w:tc>
          <w:tcPr>
            <w:tcW w:type="dxa" w:w="1218"/>
          </w:tcPr>
          <w:p>
            <w:r>
              <w:rPr>
                <w:sz w:val="14"/>
              </w:rPr>
              <w:t>$997,623</w:t>
            </w:r>
          </w:p>
        </w:tc>
        <w:tc>
          <w:tcPr>
            <w:tcW w:type="dxa" w:w="1218"/>
          </w:tcPr>
          <w:p>
            <w:r>
              <w:rPr>
                <w:sz w:val="14"/>
              </w:rPr>
              <w:t>BUY +1%</w:t>
            </w:r>
          </w:p>
        </w:tc>
        <w:tc>
          <w:tcPr>
            <w:tcW w:type="dxa" w:w="1218"/>
          </w:tcPr>
          <w:p>
            <w:r>
              <w:rPr>
                <w:sz w:val="14"/>
              </w:rPr>
              <w:t>16%</w:t>
            </w:r>
          </w:p>
        </w:tc>
      </w:tr>
      <w:tr>
        <w:tc>
          <w:tcPr>
            <w:tcW w:type="dxa" w:w="1218"/>
          </w:tcPr>
          <w:p>
            <w:r>
              <w:rPr>
                <w:sz w:val="14"/>
              </w:rPr>
              <w:t>10 Jan</w:t>
            </w:r>
          </w:p>
        </w:tc>
        <w:tc>
          <w:tcPr>
            <w:tcW w:type="dxa" w:w="1218"/>
          </w:tcPr>
          <w:p>
            <w:r>
              <w:rPr>
                <w:sz w:val="14"/>
              </w:rPr>
              <w:t>$462.83</w:t>
            </w:r>
          </w:p>
        </w:tc>
        <w:tc>
          <w:tcPr>
            <w:tcW w:type="dxa" w:w="1218"/>
          </w:tcPr>
          <w:p>
            <w:r>
              <w:rPr>
                <w:sz w:val="14"/>
              </w:rPr>
              <w:t>-0.70%</w:t>
            </w:r>
          </w:p>
        </w:tc>
        <w:tc>
          <w:tcPr>
            <w:tcW w:type="dxa" w:w="1218"/>
          </w:tcPr>
          <w:p>
            <w:r>
              <w:rPr>
                <w:sz w:val="14"/>
              </w:rPr>
              <w:t>0.58 med</w:t>
            </w:r>
          </w:p>
        </w:tc>
        <w:tc>
          <w:tcPr>
            <w:tcW w:type="dxa" w:w="1218"/>
          </w:tcPr>
          <w:p>
            <w:r>
              <w:rPr>
                <w:sz w:val="14"/>
              </w:rPr>
              <w:t>$997,623</w:t>
            </w:r>
          </w:p>
        </w:tc>
        <w:tc>
          <w:tcPr>
            <w:tcW w:type="dxa" w:w="1218"/>
          </w:tcPr>
          <w:p>
            <w:r>
              <w:rPr>
                <w:sz w:val="14"/>
              </w:rPr>
              <w:t>$996,506</w:t>
            </w:r>
          </w:p>
        </w:tc>
        <w:tc>
          <w:tcPr>
            <w:tcW w:type="dxa" w:w="1218"/>
          </w:tcPr>
          <w:p>
            <w:r>
              <w:rPr>
                <w:sz w:val="14"/>
              </w:rPr>
              <w:t>HOLD</w:t>
            </w:r>
          </w:p>
        </w:tc>
        <w:tc>
          <w:tcPr>
            <w:tcW w:type="dxa" w:w="1218"/>
          </w:tcPr>
          <w:p>
            <w:r>
              <w:rPr>
                <w:sz w:val="14"/>
              </w:rPr>
              <w:t>16%</w:t>
            </w:r>
          </w:p>
        </w:tc>
      </w:tr>
      <w:tr>
        <w:tc>
          <w:tcPr>
            <w:tcW w:type="dxa" w:w="1218"/>
          </w:tcPr>
          <w:p>
            <w:r>
              <w:rPr>
                <w:sz w:val="14"/>
              </w:rPr>
              <w:t>11 Jan</w:t>
            </w:r>
          </w:p>
        </w:tc>
        <w:tc>
          <w:tcPr>
            <w:tcW w:type="dxa" w:w="1218"/>
          </w:tcPr>
          <w:p>
            <w:r>
              <w:rPr>
                <w:sz w:val="14"/>
              </w:rPr>
              <w:t>$469.75</w:t>
            </w:r>
          </w:p>
        </w:tc>
        <w:tc>
          <w:tcPr>
            <w:tcW w:type="dxa" w:w="1218"/>
          </w:tcPr>
          <w:p>
            <w:r>
              <w:rPr>
                <w:sz w:val="14"/>
              </w:rPr>
              <w:t>+1.49%</w:t>
            </w:r>
          </w:p>
        </w:tc>
        <w:tc>
          <w:tcPr>
            <w:tcW w:type="dxa" w:w="1218"/>
          </w:tcPr>
          <w:p>
            <w:r>
              <w:rPr>
                <w:sz w:val="14"/>
              </w:rPr>
              <w:t>0.44 med</w:t>
            </w:r>
          </w:p>
        </w:tc>
        <w:tc>
          <w:tcPr>
            <w:tcW w:type="dxa" w:w="1218"/>
          </w:tcPr>
          <w:p>
            <w:r>
              <w:rPr>
                <w:sz w:val="14"/>
              </w:rPr>
              <w:t>$996,506</w:t>
            </w:r>
          </w:p>
        </w:tc>
        <w:tc>
          <w:tcPr>
            <w:tcW w:type="dxa" w:w="1218"/>
          </w:tcPr>
          <w:p>
            <w:r>
              <w:rPr>
                <w:sz w:val="14"/>
              </w:rPr>
              <w:t>$998,881</w:t>
            </w:r>
          </w:p>
        </w:tc>
        <w:tc>
          <w:tcPr>
            <w:tcW w:type="dxa" w:w="1218"/>
          </w:tcPr>
          <w:p>
            <w:r>
              <w:rPr>
                <w:sz w:val="14"/>
              </w:rPr>
              <w:t>BUY +2%</w:t>
            </w:r>
          </w:p>
        </w:tc>
        <w:tc>
          <w:tcPr>
            <w:tcW w:type="dxa" w:w="1218"/>
          </w:tcPr>
          <w:p>
            <w:r>
              <w:rPr>
                <w:sz w:val="14"/>
              </w:rPr>
              <w:t>18%</w:t>
            </w:r>
          </w:p>
        </w:tc>
      </w:tr>
      <w:tr>
        <w:tc>
          <w:tcPr>
            <w:tcW w:type="dxa" w:w="1218"/>
          </w:tcPr>
          <w:p>
            <w:r>
              <w:rPr>
                <w:sz w:val="14"/>
              </w:rPr>
              <w:t>12 Jan</w:t>
            </w:r>
          </w:p>
        </w:tc>
        <w:tc>
          <w:tcPr>
            <w:tcW w:type="dxa" w:w="1218"/>
          </w:tcPr>
          <w:p>
            <w:r>
              <w:rPr>
                <w:sz w:val="14"/>
              </w:rPr>
              <w:t>$471.02</w:t>
            </w:r>
          </w:p>
        </w:tc>
        <w:tc>
          <w:tcPr>
            <w:tcW w:type="dxa" w:w="1218"/>
          </w:tcPr>
          <w:p>
            <w:r>
              <w:rPr>
                <w:sz w:val="14"/>
              </w:rPr>
              <w:t>+0.27%</w:t>
            </w:r>
          </w:p>
        </w:tc>
        <w:tc>
          <w:tcPr>
            <w:tcW w:type="dxa" w:w="1218"/>
          </w:tcPr>
          <w:p>
            <w:r>
              <w:rPr>
                <w:sz w:val="14"/>
              </w:rPr>
              <w:t>0.38 low</w:t>
            </w:r>
          </w:p>
        </w:tc>
        <w:tc>
          <w:tcPr>
            <w:tcW w:type="dxa" w:w="1218"/>
          </w:tcPr>
          <w:p>
            <w:r>
              <w:rPr>
                <w:sz w:val="14"/>
              </w:rPr>
              <w:t>$998,881</w:t>
            </w:r>
          </w:p>
        </w:tc>
        <w:tc>
          <w:tcPr>
            <w:tcW w:type="dxa" w:w="1218"/>
          </w:tcPr>
          <w:p>
            <w:r>
              <w:rPr>
                <w:sz w:val="14"/>
              </w:rPr>
              <w:t>$999,367</w:t>
            </w:r>
          </w:p>
        </w:tc>
        <w:tc>
          <w:tcPr>
            <w:tcW w:type="dxa" w:w="1218"/>
          </w:tcPr>
          <w:p>
            <w:r>
              <w:rPr>
                <w:sz w:val="14"/>
              </w:rPr>
              <w:t>BUY +2%</w:t>
            </w:r>
          </w:p>
        </w:tc>
        <w:tc>
          <w:tcPr>
            <w:tcW w:type="dxa" w:w="1218"/>
          </w:tcPr>
          <w:p>
            <w:r>
              <w:rPr>
                <w:sz w:val="14"/>
              </w:rPr>
              <w:t>20%</w:t>
            </w:r>
          </w:p>
        </w:tc>
      </w:tr>
      <w:tr>
        <w:tc>
          <w:tcPr>
            <w:tcW w:type="dxa" w:w="1218"/>
          </w:tcPr>
          <w:p>
            <w:r>
              <w:rPr>
                <w:sz w:val="14"/>
              </w:rPr>
              <w:t>13 Jan</w:t>
            </w:r>
          </w:p>
        </w:tc>
        <w:tc>
          <w:tcPr>
            <w:tcW w:type="dxa" w:w="1218"/>
          </w:tcPr>
          <w:p>
            <w:r>
              <w:rPr>
                <w:sz w:val="14"/>
              </w:rPr>
              <w:t>$464.53</w:t>
            </w:r>
          </w:p>
        </w:tc>
        <w:tc>
          <w:tcPr>
            <w:tcW w:type="dxa" w:w="1218"/>
          </w:tcPr>
          <w:p>
            <w:r>
              <w:rPr>
                <w:sz w:val="14"/>
              </w:rPr>
              <w:t>-1.38%</w:t>
            </w:r>
          </w:p>
        </w:tc>
        <w:tc>
          <w:tcPr>
            <w:tcW w:type="dxa" w:w="1218"/>
          </w:tcPr>
          <w:p>
            <w:r>
              <w:rPr>
                <w:sz w:val="14"/>
              </w:rPr>
              <w:t>0.62 med</w:t>
            </w:r>
          </w:p>
        </w:tc>
        <w:tc>
          <w:tcPr>
            <w:tcW w:type="dxa" w:w="1218"/>
          </w:tcPr>
          <w:p>
            <w:r>
              <w:rPr>
                <w:sz w:val="14"/>
              </w:rPr>
              <w:t>$999,367</w:t>
            </w:r>
          </w:p>
        </w:tc>
        <w:tc>
          <w:tcPr>
            <w:tcW w:type="dxa" w:w="1218"/>
          </w:tcPr>
          <w:p>
            <w:r>
              <w:rPr>
                <w:sz w:val="14"/>
              </w:rPr>
              <w:t>$996,609</w:t>
            </w:r>
          </w:p>
        </w:tc>
        <w:tc>
          <w:tcPr>
            <w:tcW w:type="dxa" w:w="1218"/>
          </w:tcPr>
          <w:p>
            <w:r>
              <w:rPr>
                <w:sz w:val="14"/>
              </w:rPr>
              <w:t>HOLD</w:t>
            </w:r>
          </w:p>
        </w:tc>
        <w:tc>
          <w:tcPr>
            <w:tcW w:type="dxa" w:w="1218"/>
          </w:tcPr>
          <w:p>
            <w:r>
              <w:rPr>
                <w:sz w:val="14"/>
              </w:rPr>
              <w:t>20%</w:t>
            </w:r>
          </w:p>
        </w:tc>
      </w:tr>
      <w:tr>
        <w:tc>
          <w:tcPr>
            <w:tcW w:type="dxa" w:w="1218"/>
          </w:tcPr>
          <w:p>
            <w:r>
              <w:rPr>
                <w:sz w:val="14"/>
              </w:rPr>
              <w:t>14 Jan</w:t>
            </w:r>
          </w:p>
        </w:tc>
        <w:tc>
          <w:tcPr>
            <w:tcW w:type="dxa" w:w="1218"/>
          </w:tcPr>
          <w:p>
            <w:r>
              <w:rPr>
                <w:sz w:val="14"/>
              </w:rPr>
              <w:t>$456.49</w:t>
            </w:r>
          </w:p>
        </w:tc>
        <w:tc>
          <w:tcPr>
            <w:tcW w:type="dxa" w:w="1218"/>
          </w:tcPr>
          <w:p>
            <w:r>
              <w:rPr>
                <w:sz w:val="14"/>
              </w:rPr>
              <w:t>-1.73%</w:t>
            </w:r>
          </w:p>
        </w:tc>
        <w:tc>
          <w:tcPr>
            <w:tcW w:type="dxa" w:w="1218"/>
          </w:tcPr>
          <w:p>
            <w:r>
              <w:rPr>
                <w:sz w:val="14"/>
              </w:rPr>
              <w:t>0.81 HIGH</w:t>
            </w:r>
          </w:p>
        </w:tc>
        <w:tc>
          <w:tcPr>
            <w:tcW w:type="dxa" w:w="1218"/>
          </w:tcPr>
          <w:p>
            <w:r>
              <w:rPr>
                <w:sz w:val="14"/>
              </w:rPr>
              <w:t>$996,609</w:t>
            </w:r>
          </w:p>
        </w:tc>
        <w:tc>
          <w:tcPr>
            <w:tcW w:type="dxa" w:w="1218"/>
          </w:tcPr>
          <w:p>
            <w:r>
              <w:rPr>
                <w:sz w:val="14"/>
              </w:rPr>
              <w:t>$993,161</w:t>
            </w:r>
          </w:p>
        </w:tc>
        <w:tc>
          <w:tcPr>
            <w:tcW w:type="dxa" w:w="1218"/>
          </w:tcPr>
          <w:p>
            <w:r>
              <w:rPr>
                <w:b/>
                <w:color w:val="CC0000"/>
                <w:sz w:val="14"/>
              </w:rPr>
              <w:t>BLOCKED</w:t>
            </w:r>
          </w:p>
        </w:tc>
        <w:tc>
          <w:tcPr>
            <w:tcW w:type="dxa" w:w="1218"/>
          </w:tcPr>
          <w:p>
            <w:r>
              <w:rPr>
                <w:sz w:val="14"/>
              </w:rPr>
              <w:t>20%</w:t>
            </w:r>
          </w:p>
        </w:tc>
      </w:tr>
    </w:tbl>
    <w:p>
      <w:r>
        <w:rPr>
          <w:b w:val="0"/>
          <w:i w:val="0"/>
        </w:rPr>
      </w:r>
    </w:p>
    <w:p>
      <w:r>
        <w:rPr>
          <w:b w:val="0"/>
          <w:i w:val="0"/>
        </w:rPr>
        <w:t>Worked example — 5 January, row by row: the portfolio opened at $1,000,280 (carried from 4 January's close). Entering this day, 10% of the portfolio was in SPY and 90% in cash. SPY then dropped -1.94%. Only the 10% in SPY was affected: 10% of $1,000,280 is about $100,000, and -1.94% of that is roughly -$1,941. Cash is untouched. So the portfolio closed at $998,339 — a loss of $1,941 caused entirely by the market drop on existing holdings.</w:t>
      </w:r>
    </w:p>
    <w:p>
      <w:r>
        <w:rPr>
          <w:b w:val="0"/>
          <w:i w:val="0"/>
        </w:rPr>
        <w:t>After the dust settled, the agent decided to BUY +3% (moving 3 more percentage points from cash into SPY at the new lower price of $468.38). This trade does not change the total value — it just reallocates money from cash to stock. However, it changes the exposure from 10% to 13%, which means tomorrow's price swing will affect a bigger share of the portfolio. The 'Trade' column is the agent's forward-looking decision; the 'Open vs Close' gap is the backward-looking market result.</w:t>
      </w:r>
    </w:p>
    <w:p>
      <w:r>
        <w:rPr>
          <w:b w:val="0"/>
          <w:i w:val="0"/>
        </w:rPr>
        <w:t>Reading the full story: on 3–4 January, uncertainty is low and the agent builds its position quickly (0% → 5% → 10%). On 5–7 January, SPY drifts down and the agent slows its buying (adding only +3%, +2%, +1%). On 10 January the agent holds — uncertainty is too elevated to justify more buying. On 11–12 January, a small recovery brings confidence back and the agent resumes, reaching 20% exposure. Then on 13–14 January, sharp drops push uncertainty above 0.80. On 14 January the buy is BLOCKED — the system refuses to let the agent increase its position into a falling market. Notice that the 14 January loss ($3,448) is much larger than the 6 January loss ($117) even though both are small daily price drops — because by 14 January the portfolio has 20% in SPY instead of 13%.</w:t>
      </w:r>
    </w:p>
    <w:p>
      <w:r>
        <w:rPr>
          <w:b w:val="0"/>
          <w:i w:val="0"/>
        </w:rPr>
        <w:t>The full interactive version of this simulation (60 consecutive days) is in the Dissertation Walkthrough notebook (notebooks/Dissertation_Walkthrough.ipynb).</w:t>
      </w:r>
    </w:p>
    <w:p>
      <w:r>
        <w:br w:type="page"/>
      </w:r>
    </w:p>
    <w:p>
      <w:pPr>
        <w:pStyle w:val="Heading1"/>
      </w:pPr>
      <w:r>
        <w:rPr>
          <w:color w:val="000000"/>
        </w:rPr>
        <w:t>Future plan</w:t>
      </w:r>
    </w:p>
    <w:p>
      <w:r>
        <w:rPr>
          <w:b w:val="0"/>
          <w:i w:val="0"/>
        </w:rPr>
        <w:t>Progress against the previous plan. The May 2026 milestones in the original plan have been completed: the dissertation has been reframed around drawdown-constrained risk-adjusted return; a finance and risk-management background section has been added; the rule-based stop-loss comparator is checked in and reported alongside the AI agents; the test universe has been expanded from single-index SPY to a market sample of 70 stocks; and the extended seed-stability check has been run on a representative sub-universe. The plan below covers what remains.</w:t>
      </w:r>
    </w:p>
    <w:p>
      <w:r>
        <w:rPr>
          <w:b w:val="0"/>
          <w:i w:val="0"/>
        </w:rPr>
        <w:t>Each scheduled task is tied to a milestone with a target date. Milestones are tied to objectives O1 to O4. The submission-critical path is the backtest and walk-forward evidence; live execution sits outside that path and is treated as a stretch goal (see the August 2026 row).</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rPr>
              <w:t>Working period</w:t>
            </w:r>
          </w:p>
        </w:tc>
        <w:tc>
          <w:tcPr>
            <w:tcW w:type="dxa" w:w="3249"/>
          </w:tcPr>
          <w:p>
            <w:r>
              <w:rPr>
                <w:b/>
              </w:rPr>
              <w:t>Tasks to undertake</w:t>
            </w:r>
          </w:p>
        </w:tc>
        <w:tc>
          <w:tcPr>
            <w:tcW w:type="dxa" w:w="3249"/>
          </w:tcPr>
          <w:p>
            <w:r>
              <w:rPr>
                <w:b/>
              </w:rPr>
              <w:t>Milestones (with target dates)</w:t>
            </w:r>
          </w:p>
        </w:tc>
      </w:tr>
      <w:tr>
        <w:tc>
          <w:tcPr>
            <w:tcW w:type="dxa" w:w="3249"/>
          </w:tcPr>
          <w:p>
            <w:r>
              <w:rPr>
                <w:b/>
              </w:rPr>
              <w:t>June 2026 (4 weeks)</w:t>
            </w:r>
          </w:p>
        </w:tc>
        <w:tc>
          <w:tcPr>
            <w:tcW w:type="dxa" w:w="3249"/>
          </w:tcPr>
          <w:p>
            <w:r>
              <w:t>Phase-2 extended grid on the full market sample at extended budget (10 seeds × 50 000 timesteps × 4 walk-forward folds × 16 bootstrap paths) on Colab GPU runtime. Sector-aware uncertainty-quantile calibration (replace the single global threshold with a per-sector or per-regime threshold). Begin Chapter 2 (Background) and Chapter 3 (Methodology) full drafts.</w:t>
            </w:r>
          </w:p>
        </w:tc>
        <w:tc>
          <w:tcPr>
            <w:tcW w:type="dxa" w:w="3249"/>
          </w:tcPr>
          <w:p>
            <w:r>
              <w:t>M1: full market-sample × 4-fold × 10-seed × 50k-step extended grid (mid-June). M2: sector-aware calibration ablation + Chapter 2 and Chapter 3 first drafts (end of June).</w:t>
            </w:r>
          </w:p>
        </w:tc>
      </w:tr>
      <w:tr>
        <w:tc>
          <w:tcPr>
            <w:tcW w:type="dxa" w:w="3249"/>
          </w:tcPr>
          <w:p>
            <w:r>
              <w:rPr>
                <w:b/>
              </w:rPr>
              <w:t>July 2026 (4-6 weeks)</w:t>
            </w:r>
          </w:p>
        </w:tc>
        <w:tc>
          <w:tcPr>
            <w:tcW w:type="dxa" w:w="3249"/>
          </w:tcPr>
          <w:p>
            <w:r>
              <w:t>Sensitivity sweep on the uncertainty quantile threshold, the minimum trade-size scale, and the maximum trade fraction. Block-bootstrap data augmentation (Politis and Romano, 1994) to expand the effective training set. Lock the final headline results table. Draft Chapter 5 (Results) and Chapter 1 (Introduction).</w:t>
            </w:r>
          </w:p>
        </w:tc>
        <w:tc>
          <w:tcPr>
            <w:tcW w:type="dxa" w:w="3249"/>
          </w:tcPr>
          <w:p>
            <w:r>
              <w:t>M3: sensitivity and bootstrap results locked (mid-July). M4: Chapters 1, 2, 3 and 5 first drafts (end of July).</w:t>
            </w:r>
          </w:p>
        </w:tc>
      </w:tr>
      <w:tr>
        <w:tc>
          <w:tcPr>
            <w:tcW w:type="dxa" w:w="3249"/>
          </w:tcPr>
          <w:p>
            <w:r>
              <w:rPr>
                <w:b/>
              </w:rPr>
              <w:t>August 2026 (4 weeks)</w:t>
            </w:r>
          </w:p>
        </w:tc>
        <w:tc>
          <w:tcPr>
            <w:tcW w:type="dxa" w:w="3249"/>
          </w:tcPr>
          <w:p>
            <w:r>
              <w:t>Polish phase. Write Chapter 6 (Discussion) and Chapter 7 (Conclusion). Polish figures and tables, integrate supervisor feedback on the full draft, and finalise the dissertation. Code changes from this point are bug-fix only. Stretch goal: if time and a working brokerage account permit, run a two-week paper-trading shadow run via the Alpaca API and report the live profit-and-loss as an out-of-sample case study; if it does not happen the dissertation rests on the backtest and walk-forward evidence and the live run is recorded as post-submission work in the real-world deployment roadmap (see the live/ directory in the repository).</w:t>
            </w:r>
          </w:p>
        </w:tc>
        <w:tc>
          <w:tcPr>
            <w:tcW w:type="dxa" w:w="3249"/>
          </w:tcPr>
          <w:p>
            <w:r>
              <w:t>M5: full draft to supervisor (mid-August). M6: submission-ready version (end of August). M7 (stretch): paper-trading PnL added to results chapter (third week of August), only if the shadow run is in scope.</w:t>
            </w:r>
          </w:p>
        </w:tc>
      </w:tr>
      <w:tr>
        <w:tc>
          <w:tcPr>
            <w:tcW w:type="dxa" w:w="3249"/>
          </w:tcPr>
          <w:p>
            <w:r>
              <w:rPr>
                <w:b/>
              </w:rPr>
              <w:t>September 2026</w:t>
            </w:r>
          </w:p>
        </w:tc>
        <w:tc>
          <w:tcPr>
            <w:tcW w:type="dxa" w:w="3249"/>
          </w:tcPr>
          <w:p>
            <w:r>
              <w:t>Submit by 1 September 2026. Viva preparation: slide deck (no more than twelve slides, no more than twenty minutes per the project handbook), demo of the reproducible pipeline, pre-emptive question and answer rehearsal using reports/templates/viva_qa_notes.md.</w:t>
            </w:r>
          </w:p>
        </w:tc>
        <w:tc>
          <w:tcPr>
            <w:tcW w:type="dxa" w:w="3249"/>
          </w:tcPr>
          <w:p>
            <w:r>
              <w:t>M8: viva-ready presentation and demo by viva date.</w:t>
            </w:r>
          </w:p>
        </w:tc>
      </w:tr>
    </w:tbl>
    <w:p>
      <w:pPr>
        <w:pStyle w:val="Heading2"/>
      </w:pPr>
      <w:r>
        <w:rPr>
          <w:color w:val="000000"/>
        </w:rPr>
        <w:t>Risks and mitigations</w:t>
      </w:r>
    </w:p>
    <w:p>
      <w:pPr>
        <w:pStyle w:val="ListBullet"/>
      </w:pPr>
      <w:r>
        <w:t>Compute time. Phase-1 runs are CPU-friendly (10 000 PPO timesteps, three seeds). The full Phase-2 grid is larger but still tractable on a Google Colab T4 GPU runtime, and the runners are designed to lift onto Colab without code changes. Partial-grid results will be accepted for any interim deliverable.</w:t>
      </w:r>
    </w:p>
    <w:p>
      <w:pPr>
        <w:pStyle w:val="ListBullet"/>
      </w:pPr>
      <w:r>
        <w:t>Data-API drift. yfinance occasionally changes its column shape. The _close_1d helper used by every runner already normalises this, and the protocol pins explicit dates so a re-pull stays comparable.</w:t>
      </w:r>
    </w:p>
    <w:p>
      <w:pPr>
        <w:pStyle w:val="ListBullet"/>
      </w:pPr>
      <w:r>
        <w:t>Result fragility. The Phase-1 numbers may move under the full market-sample, walk-forward and ablation work. To guard against over-claiming, results will be reported as median and inter-quartile range across ten seeds and across tickers, evaluated on multiple sliding test windows (walk-forward) rather than a single window, and any case where the probabilistic variant fails to beat the rule-based stop-loss comparator or buy-and-hold will be called out explicitly.</w:t>
      </w:r>
    </w:p>
    <w:p>
      <w:pPr>
        <w:pStyle w:val="ListBullet"/>
      </w:pPr>
      <w:r>
        <w:t>Paper-trading dependency (stretch goal only). The Alpaca shadow run is a stretch goal that does not gate the dissertation. If the brokerage account, the API or the time available does not support a clean two-week run during August, the dissertation rests on the backtest and walk-forward evidence and the shadow run is moved into the real-world deployment roadmap as post-submission work.</w:t>
      </w:r>
    </w:p>
    <w:p>
      <w:r>
        <w:br w:type="page"/>
      </w:r>
    </w:p>
    <w:p>
      <w:pPr>
        <w:pStyle w:val="Heading1"/>
      </w:pPr>
      <w:r>
        <w:rPr>
          <w:color w:val="000000"/>
        </w:rPr>
        <w:t>Extenuating circumstances</w:t>
      </w:r>
    </w:p>
    <w:p>
      <w:r>
        <w:rPr>
          <w:b w:val="0"/>
          <w:i/>
        </w:rPr>
        <w:t>[Student to fill in. Either record "None to declare" or describe and indicate that the personal tutor and student-support services have been informed. Do not include medical detail in this document.]</w:t>
      </w:r>
    </w:p>
    <w:p>
      <w:pPr>
        <w:pStyle w:val="Heading1"/>
      </w:pPr>
      <w:r>
        <w:rPr>
          <w:color w:val="000000"/>
        </w:rPr>
        <w:t>Indicative project hours and progress</w:t>
      </w:r>
    </w:p>
    <w:p>
      <w:r>
        <w:rPr>
          <w:b w:val="0"/>
          <w:i w:val="0"/>
        </w:rPr>
        <w:t>Self-assessment of the first one hundred hours allocated to the project. The student should tick exactly one of the following:</w:t>
      </w:r>
    </w:p>
    <w:p>
      <w:pPr>
        <w:pStyle w:val="ListBullet"/>
      </w:pPr>
      <w:r>
        <w:t>[ ]  The work has exceeded the first 100 hours of time allocated.</w:t>
      </w:r>
    </w:p>
    <w:p>
      <w:pPr>
        <w:pStyle w:val="ListBullet"/>
      </w:pPr>
      <w:r>
        <w:t>[X] The work has sufficiently met the first 100 hours.</w:t>
      </w:r>
    </w:p>
    <w:p>
      <w:pPr>
        <w:pStyle w:val="ListBullet"/>
      </w:pPr>
      <w:r>
        <w:t>[ ]  The majority of the first 100 hours have been completed but some time has been lost and will be made up.</w:t>
      </w:r>
    </w:p>
    <w:p>
      <w:pPr>
        <w:pStyle w:val="ListBullet"/>
      </w:pPr>
      <w:r>
        <w:t>[ ]  Engagement in the project has been insufficient and progress is of concern.</w:t>
      </w:r>
    </w:p>
    <w:p>
      <w:r>
        <w:rPr>
          <w:b w:val="0"/>
          <w:i/>
        </w:rPr>
        <w:t>Justification: the reproducible Phase-0 and Phase-1 pipeline, the protocol document, the baseline and probabilistic agents, the benchmarks, the rule-based stop-loss comparator and the generated supervisor pack together support the second tick above.</w:t>
      </w:r>
    </w:p>
    <w:p>
      <w:r>
        <w:br w:type="page"/>
      </w:r>
    </w:p>
    <w:p>
      <w:pPr>
        <w:pStyle w:val="Heading1"/>
      </w:pPr>
      <w:r>
        <w:rPr>
          <w:color w:val="000000"/>
        </w:rPr>
        <w:t>Supervisor's assessment</w:t>
      </w:r>
    </w:p>
    <w:p>
      <w:r>
        <w:rPr>
          <w:b w:val="0"/>
          <w:i/>
        </w:rPr>
        <w:t>The boxes below are reserved for the supervisor's written feedback. The student-completed sections of this document are intended to give the supervisor enough material to assess each item.</w:t>
      </w:r>
    </w:p>
    <w:p>
      <w:r>
        <w:rPr>
          <w:i/>
          <w:color w:val="1F497D"/>
          <w:sz w:val="20"/>
        </w:rPr>
        <w:t>Comments on the project plan and on the student's progress to date:</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literature review and the framing of the problem:</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technical progress and the experimental protocol: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Recommendations for the remainder of the project:</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Other comments (optional):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