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is shown. Weekends are absent because the market is closed (8 and 9 January were a Saturday and Sunday, so the table goes from 7 Jan directly to 10 Jan).</w:t>
      </w:r>
    </w:p>
    <w:p>
      <w:r>
        <w:rPr>
          <w:b w:val="0"/>
          <w:i w:val="0"/>
        </w:rPr>
        <w:t>The table is read left to right. Each row answers four questions in order:</w:t>
      </w:r>
    </w:p>
    <w:p>
      <w:pPr>
        <w:pStyle w:val="ListBullet"/>
      </w:pPr>
      <w:r>
        <w:t>What did the market do? (SPY Price and Change — facts the agent cannot control.)</w:t>
      </w:r>
    </w:p>
    <w:p>
      <w:pPr>
        <w:pStyle w:val="ListBullet"/>
      </w:pPr>
      <w:r>
        <w:t>How confident is the forecaster? (Uncertainty — the LSTM's 0-to-1 score.)</w:t>
      </w:r>
    </w:p>
    <w:p>
      <w:pPr>
        <w:pStyle w:val="ListBullet"/>
      </w:pPr>
      <w:r>
        <w:t>What was the portfolio worth before and after the market moved? (Open and Close — the difference is the gain or loss caused by SPY's price change on shares already held. This is not caused by the agent's trade.)</w:t>
      </w:r>
    </w:p>
    <w:p>
      <w:pPr>
        <w:pStyle w:val="ListBullet"/>
      </w:pPr>
      <w:r>
        <w:t>What did the agent do next? (Trade — e.g. 'BUY +5%' means the agent moved 5 more percentage points from cash into SPY. This changes the allocation but does not change the total value.)</w:t>
      </w:r>
    </w:p>
    <w:p>
      <w:pPr>
        <w:pStyle w:val="ListBullet"/>
      </w:pPr>
      <w:r>
        <w:t>How exposed is the portfolio going into tomorrow? (% in SPY — the cumulative fraction invested. The rest is cash, safe from price swings.)</w:t>
      </w:r>
    </w:p>
    <w:tbl>
      <w:tblPr>
        <w:tblStyle w:val="LightList-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4"/>
              </w:rPr>
              <w:t>Day</w:t>
            </w:r>
          </w:p>
        </w:tc>
        <w:tc>
          <w:tcPr>
            <w:tcW w:type="dxa" w:w="1176"/>
          </w:tcPr>
          <w:p>
            <w:r>
              <w:rPr>
                <w:b/>
                <w:sz w:val="14"/>
              </w:rPr>
              <w:t>SPY</w:t>
            </w:r>
          </w:p>
        </w:tc>
        <w:tc>
          <w:tcPr>
            <w:tcW w:type="dxa" w:w="1176"/>
          </w:tcPr>
          <w:p>
            <w:r>
              <w:rPr>
                <w:b/>
                <w:sz w:val="14"/>
              </w:rPr>
              <w:t>Change</w:t>
            </w:r>
          </w:p>
        </w:tc>
        <w:tc>
          <w:tcPr>
            <w:tcW w:type="dxa" w:w="1176"/>
          </w:tcPr>
          <w:p>
            <w:r>
              <w:rPr>
                <w:b/>
                <w:sz w:val="14"/>
              </w:rPr>
              <w:t>Uncert.</w:t>
            </w:r>
          </w:p>
        </w:tc>
        <w:tc>
          <w:tcPr>
            <w:tcW w:type="dxa" w:w="1176"/>
          </w:tcPr>
          <w:p>
            <w:r>
              <w:rPr>
                <w:b/>
                <w:sz w:val="14"/>
              </w:rPr>
              <w:t>Open</w:t>
            </w:r>
          </w:p>
        </w:tc>
        <w:tc>
          <w:tcPr>
            <w:tcW w:type="dxa" w:w="1176"/>
          </w:tcPr>
          <w:p>
            <w:r>
              <w:rPr>
                <w:b/>
                <w:sz w:val="14"/>
              </w:rPr>
              <w:t>Close</w:t>
            </w:r>
          </w:p>
        </w:tc>
        <w:tc>
          <w:tcPr>
            <w:tcW w:type="dxa" w:w="1176"/>
          </w:tcPr>
          <w:p>
            <w:r>
              <w:rPr>
                <w:b/>
                <w:sz w:val="14"/>
              </w:rPr>
              <w:t>Trade</w:t>
            </w:r>
          </w:p>
        </w:tc>
        <w:tc>
          <w:tcPr>
            <w:tcW w:type="dxa" w:w="1176"/>
          </w:tcPr>
          <w:p>
            <w:r>
              <w:rPr>
                <w:b/>
                <w:sz w:val="14"/>
              </w:rPr>
              <w:t>% in SPY</w:t>
            </w:r>
          </w:p>
        </w:tc>
      </w:tr>
      <w:tr>
        <w:tc>
          <w:tcPr>
            <w:tcW w:type="dxa" w:w="1176"/>
          </w:tcPr>
          <w:p>
            <w:r>
              <w:rPr>
                <w:sz w:val="14"/>
              </w:rPr>
              <w:t>3 Jan</w:t>
            </w:r>
          </w:p>
        </w:tc>
        <w:tc>
          <w:tcPr>
            <w:tcW w:type="dxa" w:w="1176"/>
          </w:tcPr>
          <w:p>
            <w:r>
              <w:rPr>
                <w:sz w:val="14"/>
              </w:rPr>
              <w:t>$474.96</w:t>
            </w:r>
          </w:p>
        </w:tc>
        <w:tc>
          <w:tcPr>
            <w:tcW w:type="dxa" w:w="1176"/>
          </w:tcPr>
          <w:p>
            <w:r>
              <w:rPr>
                <w:sz w:val="14"/>
              </w:rPr>
              <w:t>-0.12%</w:t>
            </w:r>
          </w:p>
        </w:tc>
        <w:tc>
          <w:tcPr>
            <w:tcW w:type="dxa" w:w="1176"/>
          </w:tcPr>
          <w:p>
            <w:r>
              <w:rPr>
                <w:sz w:val="14"/>
              </w:rPr>
              <w:t>0.23 low</w:t>
            </w:r>
          </w:p>
        </w:tc>
        <w:tc>
          <w:tcPr>
            <w:tcW w:type="dxa" w:w="1176"/>
          </w:tcPr>
          <w:p>
            <w:r>
              <w:rPr>
                <w:sz w:val="14"/>
              </w:rPr>
              <w:t>$1,000,000</w:t>
            </w:r>
          </w:p>
        </w:tc>
        <w:tc>
          <w:tcPr>
            <w:tcW w:type="dxa" w:w="1176"/>
          </w:tcPr>
          <w:p>
            <w:r>
              <w:rPr>
                <w:sz w:val="14"/>
              </w:rPr>
              <w:t>$1,000,000</w:t>
            </w:r>
          </w:p>
        </w:tc>
        <w:tc>
          <w:tcPr>
            <w:tcW w:type="dxa" w:w="1176"/>
          </w:tcPr>
          <w:p>
            <w:r>
              <w:rPr>
                <w:sz w:val="14"/>
              </w:rPr>
              <w:t>BUY +5%</w:t>
            </w:r>
          </w:p>
        </w:tc>
        <w:tc>
          <w:tcPr>
            <w:tcW w:type="dxa" w:w="1176"/>
          </w:tcPr>
          <w:p>
            <w:r>
              <w:rPr>
                <w:sz w:val="14"/>
              </w:rPr>
              <w:t>5%</w:t>
            </w:r>
          </w:p>
        </w:tc>
      </w:tr>
      <w:tr>
        <w:tc>
          <w:tcPr>
            <w:tcW w:type="dxa" w:w="1176"/>
          </w:tcPr>
          <w:p>
            <w:r>
              <w:rPr>
                <w:sz w:val="14"/>
              </w:rPr>
              <w:t>4 Jan</w:t>
            </w:r>
          </w:p>
        </w:tc>
        <w:tc>
          <w:tcPr>
            <w:tcW w:type="dxa" w:w="1176"/>
          </w:tcPr>
          <w:p>
            <w:r>
              <w:rPr>
                <w:sz w:val="14"/>
              </w:rPr>
              <w:t>$477.63</w:t>
            </w:r>
          </w:p>
        </w:tc>
        <w:tc>
          <w:tcPr>
            <w:tcW w:type="dxa" w:w="1176"/>
          </w:tcPr>
          <w:p>
            <w:r>
              <w:rPr>
                <w:sz w:val="14"/>
              </w:rPr>
              <w:t>+0.56%</w:t>
            </w:r>
          </w:p>
        </w:tc>
        <w:tc>
          <w:tcPr>
            <w:tcW w:type="dxa" w:w="1176"/>
          </w:tcPr>
          <w:p>
            <w:r>
              <w:rPr>
                <w:sz w:val="14"/>
              </w:rPr>
              <w:t>0.19 low</w:t>
            </w:r>
          </w:p>
        </w:tc>
        <w:tc>
          <w:tcPr>
            <w:tcW w:type="dxa" w:w="1176"/>
          </w:tcPr>
          <w:p>
            <w:r>
              <w:rPr>
                <w:sz w:val="14"/>
              </w:rPr>
              <w:t>$1,000,000</w:t>
            </w:r>
          </w:p>
        </w:tc>
        <w:tc>
          <w:tcPr>
            <w:tcW w:type="dxa" w:w="1176"/>
          </w:tcPr>
          <w:p>
            <w:r>
              <w:rPr>
                <w:sz w:val="14"/>
              </w:rPr>
              <w:t>$1,000,280</w:t>
            </w:r>
          </w:p>
        </w:tc>
        <w:tc>
          <w:tcPr>
            <w:tcW w:type="dxa" w:w="1176"/>
          </w:tcPr>
          <w:p>
            <w:r>
              <w:rPr>
                <w:sz w:val="14"/>
              </w:rPr>
              <w:t>BUY +5%</w:t>
            </w:r>
          </w:p>
        </w:tc>
        <w:tc>
          <w:tcPr>
            <w:tcW w:type="dxa" w:w="1176"/>
          </w:tcPr>
          <w:p>
            <w:r>
              <w:rPr>
                <w:sz w:val="14"/>
              </w:rPr>
              <w:t>10%</w:t>
            </w:r>
          </w:p>
        </w:tc>
      </w:tr>
      <w:tr>
        <w:tc>
          <w:tcPr>
            <w:tcW w:type="dxa" w:w="1176"/>
          </w:tcPr>
          <w:p>
            <w:r>
              <w:rPr>
                <w:sz w:val="14"/>
              </w:rPr>
              <w:t>5 Jan</w:t>
            </w:r>
          </w:p>
        </w:tc>
        <w:tc>
          <w:tcPr>
            <w:tcW w:type="dxa" w:w="1176"/>
          </w:tcPr>
          <w:p>
            <w:r>
              <w:rPr>
                <w:sz w:val="14"/>
              </w:rPr>
              <w:t>$468.38</w:t>
            </w:r>
          </w:p>
        </w:tc>
        <w:tc>
          <w:tcPr>
            <w:tcW w:type="dxa" w:w="1176"/>
          </w:tcPr>
          <w:p>
            <w:r>
              <w:rPr>
                <w:sz w:val="14"/>
              </w:rPr>
              <w:t>-1.94%</w:t>
            </w:r>
          </w:p>
        </w:tc>
        <w:tc>
          <w:tcPr>
            <w:tcW w:type="dxa" w:w="1176"/>
          </w:tcPr>
          <w:p>
            <w:r>
              <w:rPr>
                <w:sz w:val="14"/>
              </w:rPr>
              <w:t>0.34 low</w:t>
            </w:r>
          </w:p>
        </w:tc>
        <w:tc>
          <w:tcPr>
            <w:tcW w:type="dxa" w:w="1176"/>
          </w:tcPr>
          <w:p>
            <w:r>
              <w:rPr>
                <w:sz w:val="14"/>
              </w:rPr>
              <w:t>$1,000,280</w:t>
            </w:r>
          </w:p>
        </w:tc>
        <w:tc>
          <w:tcPr>
            <w:tcW w:type="dxa" w:w="1176"/>
          </w:tcPr>
          <w:p>
            <w:r>
              <w:rPr>
                <w:sz w:val="14"/>
              </w:rPr>
              <w:t>$998,339</w:t>
            </w:r>
          </w:p>
        </w:tc>
        <w:tc>
          <w:tcPr>
            <w:tcW w:type="dxa" w:w="1176"/>
          </w:tcPr>
          <w:p>
            <w:r>
              <w:rPr>
                <w:sz w:val="14"/>
              </w:rPr>
              <w:t>BUY +3%</w:t>
            </w:r>
          </w:p>
        </w:tc>
        <w:tc>
          <w:tcPr>
            <w:tcW w:type="dxa" w:w="1176"/>
          </w:tcPr>
          <w:p>
            <w:r>
              <w:rPr>
                <w:sz w:val="14"/>
              </w:rPr>
              <w:t>13%</w:t>
            </w:r>
          </w:p>
        </w:tc>
      </w:tr>
      <w:tr>
        <w:tc>
          <w:tcPr>
            <w:tcW w:type="dxa" w:w="1176"/>
          </w:tcPr>
          <w:p>
            <w:r>
              <w:rPr>
                <w:sz w:val="14"/>
              </w:rPr>
              <w:t>6 Jan</w:t>
            </w:r>
          </w:p>
        </w:tc>
        <w:tc>
          <w:tcPr>
            <w:tcW w:type="dxa" w:w="1176"/>
          </w:tcPr>
          <w:p>
            <w:r>
              <w:rPr>
                <w:sz w:val="14"/>
              </w:rPr>
              <w:t>$467.94</w:t>
            </w:r>
          </w:p>
        </w:tc>
        <w:tc>
          <w:tcPr>
            <w:tcW w:type="dxa" w:w="1176"/>
          </w:tcPr>
          <w:p>
            <w:r>
              <w:rPr>
                <w:sz w:val="14"/>
              </w:rPr>
              <w:t>-0.09%</w:t>
            </w:r>
          </w:p>
        </w:tc>
        <w:tc>
          <w:tcPr>
            <w:tcW w:type="dxa" w:w="1176"/>
          </w:tcPr>
          <w:p>
            <w:r>
              <w:rPr>
                <w:sz w:val="14"/>
              </w:rPr>
              <w:t>0.41 med</w:t>
            </w:r>
          </w:p>
        </w:tc>
        <w:tc>
          <w:tcPr>
            <w:tcW w:type="dxa" w:w="1176"/>
          </w:tcPr>
          <w:p>
            <w:r>
              <w:rPr>
                <w:sz w:val="14"/>
              </w:rPr>
              <w:t>$998,339</w:t>
            </w:r>
          </w:p>
        </w:tc>
        <w:tc>
          <w:tcPr>
            <w:tcW w:type="dxa" w:w="1176"/>
          </w:tcPr>
          <w:p>
            <w:r>
              <w:rPr>
                <w:sz w:val="14"/>
              </w:rPr>
              <w:t>$998,222</w:t>
            </w:r>
          </w:p>
        </w:tc>
        <w:tc>
          <w:tcPr>
            <w:tcW w:type="dxa" w:w="1176"/>
          </w:tcPr>
          <w:p>
            <w:r>
              <w:rPr>
                <w:sz w:val="14"/>
              </w:rPr>
              <w:t>BUY +2%</w:t>
            </w:r>
          </w:p>
        </w:tc>
        <w:tc>
          <w:tcPr>
            <w:tcW w:type="dxa" w:w="1176"/>
          </w:tcPr>
          <w:p>
            <w:r>
              <w:rPr>
                <w:sz w:val="14"/>
              </w:rPr>
              <w:t>15%</w:t>
            </w:r>
          </w:p>
        </w:tc>
      </w:tr>
      <w:tr>
        <w:tc>
          <w:tcPr>
            <w:tcW w:type="dxa" w:w="1176"/>
          </w:tcPr>
          <w:p>
            <w:r>
              <w:rPr>
                <w:sz w:val="14"/>
              </w:rPr>
              <w:t>7 Jan</w:t>
            </w:r>
          </w:p>
        </w:tc>
        <w:tc>
          <w:tcPr>
            <w:tcW w:type="dxa" w:w="1176"/>
          </w:tcPr>
          <w:p>
            <w:r>
              <w:rPr>
                <w:sz w:val="14"/>
              </w:rPr>
              <w:t>$466.09</w:t>
            </w:r>
          </w:p>
        </w:tc>
        <w:tc>
          <w:tcPr>
            <w:tcW w:type="dxa" w:w="1176"/>
          </w:tcPr>
          <w:p>
            <w:r>
              <w:rPr>
                <w:sz w:val="14"/>
              </w:rPr>
              <w:t>-0.40%</w:t>
            </w:r>
          </w:p>
        </w:tc>
        <w:tc>
          <w:tcPr>
            <w:tcW w:type="dxa" w:w="1176"/>
          </w:tcPr>
          <w:p>
            <w:r>
              <w:rPr>
                <w:sz w:val="14"/>
              </w:rPr>
              <w:t>0.48 med</w:t>
            </w:r>
          </w:p>
        </w:tc>
        <w:tc>
          <w:tcPr>
            <w:tcW w:type="dxa" w:w="1176"/>
          </w:tcPr>
          <w:p>
            <w:r>
              <w:rPr>
                <w:sz w:val="14"/>
              </w:rPr>
              <w:t>$998,222</w:t>
            </w:r>
          </w:p>
        </w:tc>
        <w:tc>
          <w:tcPr>
            <w:tcW w:type="dxa" w:w="1176"/>
          </w:tcPr>
          <w:p>
            <w:r>
              <w:rPr>
                <w:sz w:val="14"/>
              </w:rPr>
              <w:t>$997,623</w:t>
            </w:r>
          </w:p>
        </w:tc>
        <w:tc>
          <w:tcPr>
            <w:tcW w:type="dxa" w:w="1176"/>
          </w:tcPr>
          <w:p>
            <w:r>
              <w:rPr>
                <w:sz w:val="14"/>
              </w:rPr>
              <w:t>BUY +1%</w:t>
            </w:r>
          </w:p>
        </w:tc>
        <w:tc>
          <w:tcPr>
            <w:tcW w:type="dxa" w:w="1176"/>
          </w:tcPr>
          <w:p>
            <w:r>
              <w:rPr>
                <w:sz w:val="14"/>
              </w:rPr>
              <w:t>16%</w:t>
            </w:r>
          </w:p>
        </w:tc>
      </w:tr>
      <w:tr>
        <w:tc>
          <w:tcPr>
            <w:tcW w:type="dxa" w:w="1176"/>
          </w:tcPr>
          <w:p>
            <w:r>
              <w:rPr>
                <w:sz w:val="14"/>
              </w:rPr>
              <w:t>10 Jan</w:t>
            </w:r>
          </w:p>
        </w:tc>
        <w:tc>
          <w:tcPr>
            <w:tcW w:type="dxa" w:w="1176"/>
          </w:tcPr>
          <w:p>
            <w:r>
              <w:rPr>
                <w:sz w:val="14"/>
              </w:rPr>
              <w:t>$462.83</w:t>
            </w:r>
          </w:p>
        </w:tc>
        <w:tc>
          <w:tcPr>
            <w:tcW w:type="dxa" w:w="1176"/>
          </w:tcPr>
          <w:p>
            <w:r>
              <w:rPr>
                <w:sz w:val="14"/>
              </w:rPr>
              <w:t>-0.70%</w:t>
            </w:r>
          </w:p>
        </w:tc>
        <w:tc>
          <w:tcPr>
            <w:tcW w:type="dxa" w:w="1176"/>
          </w:tcPr>
          <w:p>
            <w:r>
              <w:rPr>
                <w:sz w:val="14"/>
              </w:rPr>
              <w:t>0.58 med</w:t>
            </w:r>
          </w:p>
        </w:tc>
        <w:tc>
          <w:tcPr>
            <w:tcW w:type="dxa" w:w="1176"/>
          </w:tcPr>
          <w:p>
            <w:r>
              <w:rPr>
                <w:sz w:val="14"/>
              </w:rPr>
              <w:t>$997,623</w:t>
            </w:r>
          </w:p>
        </w:tc>
        <w:tc>
          <w:tcPr>
            <w:tcW w:type="dxa" w:w="1176"/>
          </w:tcPr>
          <w:p>
            <w:r>
              <w:rPr>
                <w:sz w:val="14"/>
              </w:rPr>
              <w:t>$996,506</w:t>
            </w:r>
          </w:p>
        </w:tc>
        <w:tc>
          <w:tcPr>
            <w:tcW w:type="dxa" w:w="1176"/>
          </w:tcPr>
          <w:p>
            <w:r>
              <w:rPr>
                <w:sz w:val="14"/>
              </w:rPr>
              <w:t>HOLD</w:t>
            </w:r>
          </w:p>
        </w:tc>
        <w:tc>
          <w:tcPr>
            <w:tcW w:type="dxa" w:w="1176"/>
          </w:tcPr>
          <w:p>
            <w:r>
              <w:rPr>
                <w:sz w:val="14"/>
              </w:rPr>
              <w:t>16%</w:t>
            </w:r>
          </w:p>
        </w:tc>
      </w:tr>
      <w:tr>
        <w:tc>
          <w:tcPr>
            <w:tcW w:type="dxa" w:w="1176"/>
          </w:tcPr>
          <w:p>
            <w:r>
              <w:rPr>
                <w:sz w:val="14"/>
              </w:rPr>
              <w:t>11 Jan</w:t>
            </w:r>
          </w:p>
        </w:tc>
        <w:tc>
          <w:tcPr>
            <w:tcW w:type="dxa" w:w="1176"/>
          </w:tcPr>
          <w:p>
            <w:r>
              <w:rPr>
                <w:sz w:val="14"/>
              </w:rPr>
              <w:t>$469.75</w:t>
            </w:r>
          </w:p>
        </w:tc>
        <w:tc>
          <w:tcPr>
            <w:tcW w:type="dxa" w:w="1176"/>
          </w:tcPr>
          <w:p>
            <w:r>
              <w:rPr>
                <w:sz w:val="14"/>
              </w:rPr>
              <w:t>+1.49%</w:t>
            </w:r>
          </w:p>
        </w:tc>
        <w:tc>
          <w:tcPr>
            <w:tcW w:type="dxa" w:w="1176"/>
          </w:tcPr>
          <w:p>
            <w:r>
              <w:rPr>
                <w:sz w:val="14"/>
              </w:rPr>
              <w:t>0.44 med</w:t>
            </w:r>
          </w:p>
        </w:tc>
        <w:tc>
          <w:tcPr>
            <w:tcW w:type="dxa" w:w="1176"/>
          </w:tcPr>
          <w:p>
            <w:r>
              <w:rPr>
                <w:sz w:val="14"/>
              </w:rPr>
              <w:t>$996,506</w:t>
            </w:r>
          </w:p>
        </w:tc>
        <w:tc>
          <w:tcPr>
            <w:tcW w:type="dxa" w:w="1176"/>
          </w:tcPr>
          <w:p>
            <w:r>
              <w:rPr>
                <w:sz w:val="14"/>
              </w:rPr>
              <w:t>$998,881</w:t>
            </w:r>
          </w:p>
        </w:tc>
        <w:tc>
          <w:tcPr>
            <w:tcW w:type="dxa" w:w="1176"/>
          </w:tcPr>
          <w:p>
            <w:r>
              <w:rPr>
                <w:sz w:val="14"/>
              </w:rPr>
              <w:t>BUY +2%</w:t>
            </w:r>
          </w:p>
        </w:tc>
        <w:tc>
          <w:tcPr>
            <w:tcW w:type="dxa" w:w="1176"/>
          </w:tcPr>
          <w:p>
            <w:r>
              <w:rPr>
                <w:sz w:val="14"/>
              </w:rPr>
              <w:t>18%</w:t>
            </w:r>
          </w:p>
        </w:tc>
      </w:tr>
      <w:tr>
        <w:tc>
          <w:tcPr>
            <w:tcW w:type="dxa" w:w="1176"/>
          </w:tcPr>
          <w:p>
            <w:r>
              <w:rPr>
                <w:sz w:val="14"/>
              </w:rPr>
              <w:t>12 Jan</w:t>
            </w:r>
          </w:p>
        </w:tc>
        <w:tc>
          <w:tcPr>
            <w:tcW w:type="dxa" w:w="1176"/>
          </w:tcPr>
          <w:p>
            <w:r>
              <w:rPr>
                <w:sz w:val="14"/>
              </w:rPr>
              <w:t>$471.02</w:t>
            </w:r>
          </w:p>
        </w:tc>
        <w:tc>
          <w:tcPr>
            <w:tcW w:type="dxa" w:w="1176"/>
          </w:tcPr>
          <w:p>
            <w:r>
              <w:rPr>
                <w:sz w:val="14"/>
              </w:rPr>
              <w:t>+0.27%</w:t>
            </w:r>
          </w:p>
        </w:tc>
        <w:tc>
          <w:tcPr>
            <w:tcW w:type="dxa" w:w="1176"/>
          </w:tcPr>
          <w:p>
            <w:r>
              <w:rPr>
                <w:sz w:val="14"/>
              </w:rPr>
              <w:t>0.38 low</w:t>
            </w:r>
          </w:p>
        </w:tc>
        <w:tc>
          <w:tcPr>
            <w:tcW w:type="dxa" w:w="1176"/>
          </w:tcPr>
          <w:p>
            <w:r>
              <w:rPr>
                <w:sz w:val="14"/>
              </w:rPr>
              <w:t>$998,881</w:t>
            </w:r>
          </w:p>
        </w:tc>
        <w:tc>
          <w:tcPr>
            <w:tcW w:type="dxa" w:w="1176"/>
          </w:tcPr>
          <w:p>
            <w:r>
              <w:rPr>
                <w:sz w:val="14"/>
              </w:rPr>
              <w:t>$999,367</w:t>
            </w:r>
          </w:p>
        </w:tc>
        <w:tc>
          <w:tcPr>
            <w:tcW w:type="dxa" w:w="1176"/>
          </w:tcPr>
          <w:p>
            <w:r>
              <w:rPr>
                <w:sz w:val="14"/>
              </w:rPr>
              <w:t>BUY +2%</w:t>
            </w:r>
          </w:p>
        </w:tc>
        <w:tc>
          <w:tcPr>
            <w:tcW w:type="dxa" w:w="1176"/>
          </w:tcPr>
          <w:p>
            <w:r>
              <w:rPr>
                <w:sz w:val="14"/>
              </w:rPr>
              <w:t>20%</w:t>
            </w:r>
          </w:p>
        </w:tc>
      </w:tr>
      <w:tr>
        <w:tc>
          <w:tcPr>
            <w:tcW w:type="dxa" w:w="1176"/>
          </w:tcPr>
          <w:p>
            <w:r>
              <w:rPr>
                <w:sz w:val="14"/>
              </w:rPr>
              <w:t>13 Jan</w:t>
            </w:r>
          </w:p>
        </w:tc>
        <w:tc>
          <w:tcPr>
            <w:tcW w:type="dxa" w:w="1176"/>
          </w:tcPr>
          <w:p>
            <w:r>
              <w:rPr>
                <w:sz w:val="14"/>
              </w:rPr>
              <w:t>$464.53</w:t>
            </w:r>
          </w:p>
        </w:tc>
        <w:tc>
          <w:tcPr>
            <w:tcW w:type="dxa" w:w="1176"/>
          </w:tcPr>
          <w:p>
            <w:r>
              <w:rPr>
                <w:sz w:val="14"/>
              </w:rPr>
              <w:t>-1.38%</w:t>
            </w:r>
          </w:p>
        </w:tc>
        <w:tc>
          <w:tcPr>
            <w:tcW w:type="dxa" w:w="1176"/>
          </w:tcPr>
          <w:p>
            <w:r>
              <w:rPr>
                <w:sz w:val="14"/>
              </w:rPr>
              <w:t>0.62 med</w:t>
            </w:r>
          </w:p>
        </w:tc>
        <w:tc>
          <w:tcPr>
            <w:tcW w:type="dxa" w:w="1176"/>
          </w:tcPr>
          <w:p>
            <w:r>
              <w:rPr>
                <w:sz w:val="14"/>
              </w:rPr>
              <w:t>$999,367</w:t>
            </w:r>
          </w:p>
        </w:tc>
        <w:tc>
          <w:tcPr>
            <w:tcW w:type="dxa" w:w="1176"/>
          </w:tcPr>
          <w:p>
            <w:r>
              <w:rPr>
                <w:sz w:val="14"/>
              </w:rPr>
              <w:t>$996,609</w:t>
            </w:r>
          </w:p>
        </w:tc>
        <w:tc>
          <w:tcPr>
            <w:tcW w:type="dxa" w:w="1176"/>
          </w:tcPr>
          <w:p>
            <w:r>
              <w:rPr>
                <w:sz w:val="14"/>
              </w:rPr>
              <w:t>HOLD</w:t>
            </w:r>
          </w:p>
        </w:tc>
        <w:tc>
          <w:tcPr>
            <w:tcW w:type="dxa" w:w="1176"/>
          </w:tcPr>
          <w:p>
            <w:r>
              <w:rPr>
                <w:sz w:val="14"/>
              </w:rPr>
              <w:t>20%</w:t>
            </w:r>
          </w:p>
        </w:tc>
      </w:tr>
      <w:tr>
        <w:tc>
          <w:tcPr>
            <w:tcW w:type="dxa" w:w="1176"/>
          </w:tcPr>
          <w:p>
            <w:r>
              <w:rPr>
                <w:sz w:val="14"/>
              </w:rPr>
              <w:t>14 Jan</w:t>
            </w:r>
          </w:p>
        </w:tc>
        <w:tc>
          <w:tcPr>
            <w:tcW w:type="dxa" w:w="1176"/>
          </w:tcPr>
          <w:p>
            <w:r>
              <w:rPr>
                <w:sz w:val="14"/>
              </w:rPr>
              <w:t>$456.49</w:t>
            </w:r>
          </w:p>
        </w:tc>
        <w:tc>
          <w:tcPr>
            <w:tcW w:type="dxa" w:w="1176"/>
          </w:tcPr>
          <w:p>
            <w:r>
              <w:rPr>
                <w:sz w:val="14"/>
              </w:rPr>
              <w:t>-1.73%</w:t>
            </w:r>
          </w:p>
        </w:tc>
        <w:tc>
          <w:tcPr>
            <w:tcW w:type="dxa" w:w="1176"/>
          </w:tcPr>
          <w:p>
            <w:r>
              <w:rPr>
                <w:sz w:val="14"/>
              </w:rPr>
              <w:t>0.81 HIGH</w:t>
            </w:r>
          </w:p>
        </w:tc>
        <w:tc>
          <w:tcPr>
            <w:tcW w:type="dxa" w:w="1176"/>
          </w:tcPr>
          <w:p>
            <w:r>
              <w:rPr>
                <w:sz w:val="14"/>
              </w:rPr>
              <w:t>$996,609</w:t>
            </w:r>
          </w:p>
        </w:tc>
        <w:tc>
          <w:tcPr>
            <w:tcW w:type="dxa" w:w="1176"/>
          </w:tcPr>
          <w:p>
            <w:r>
              <w:rPr>
                <w:sz w:val="14"/>
              </w:rPr>
              <w:t>$993,161</w:t>
            </w:r>
          </w:p>
        </w:tc>
        <w:tc>
          <w:tcPr>
            <w:tcW w:type="dxa" w:w="1176"/>
          </w:tcPr>
          <w:p>
            <w:r>
              <w:rPr>
                <w:b/>
                <w:color w:val="CC0000"/>
                <w:sz w:val="14"/>
              </w:rPr>
              <w:t>BLOCKED</w:t>
            </w:r>
          </w:p>
        </w:tc>
        <w:tc>
          <w:tcPr>
            <w:tcW w:type="dxa" w:w="1176"/>
          </w:tcPr>
          <w:p>
            <w:r>
              <w:rPr>
                <w:sz w:val="14"/>
              </w:rPr>
              <w:t>20%</w:t>
            </w:r>
          </w:p>
        </w:tc>
      </w:tr>
    </w:tbl>
    <w:p>
      <w:r>
        <w:rPr>
          <w:b w:val="0"/>
          <w:i w:val="0"/>
        </w:rPr>
      </w:r>
    </w:p>
    <w:p>
      <w:r>
        <w:rPr>
          <w:b w:val="0"/>
          <w:i w:val="0"/>
        </w:rPr>
        <w:t>Worked example — 5 January: the portfolio opened at $1,000,280 (carried from 4 January's close). Entering this day, 10% of the portfolio was in SPY and 90% in cash. SPY dropped -1.94%. Only the 10% in SPY was affected: 10% of $1,000,280 is about $100,000, and -1.94% of that is -$1,941. Cash is untouched. The portfolio closed at $998,339 — a loss caused entirely by the market drop on existing holdings.</w:t>
      </w:r>
    </w:p>
    <w:p>
      <w:r>
        <w:rPr>
          <w:b w:val="0"/>
          <w:i w:val="0"/>
        </w:rPr>
        <w:t>After the market moved, the agent decided to BUY +3% (shifting 3 more percentage points from cash into SPY at the lower price of $468.38). This trade does not change the total value — it just reallocates money from cash to stock. The exposure rises from 10% to 13%, meaning tomorrow's price swing will affect a bigger share of the portfolio. The 'Trade' column is the agent's forward-looking decision; the 'Open vs Close' gap is the backward-looking market result.</w:t>
      </w:r>
    </w:p>
    <w:p>
      <w:r>
        <w:rPr>
          <w:b w:val="0"/>
          <w:i w:val="0"/>
        </w:rPr>
        <w:t>Notice that the 14 January loss ($3,448) is much larger than the 6 January loss ($117) even though both are small daily price drops — because by 14 January the portfolio has 20% in SPY instead of 13%. On 14 January the system blocks the agent's buy, preventing it from increasing exposure into a falling market. This is the core mechanism: the LSTM forecaster detects rising volatility and the environment enforces the constraint. The 60-day interactive version of this simulation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