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70-ticker diversified-equity test universe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Summary</w:t>
      </w:r>
    </w:p>
    <w:p>
      <w:r>
        <w:rPr>
          <w:b w:val="0"/>
          <w:i w:val="0"/>
        </w:rPr>
        <w:t>Phase 0 and Phase 1 are in place and reproducible end-to-end. The dissertation compares a baseline PPO agent against a probabilistic-PPO variant that consumes a DeepAR-style uncertainty signal, with passive buy-and-hold, all-cash, and a rule-based trailing stop-loss policy as the three named comparators. Everything is driven from a single configuration file and a small set of scripts, so any reported number can be regenerated from the public repository in a single command sequence.</w:t>
      </w:r>
    </w:p>
    <w:p>
      <w:pPr>
        <w:pStyle w:val="Heading2"/>
      </w:pPr>
      <w:r>
        <w:rPr>
          <w:color w:val="000000"/>
        </w:rPr>
        <w:t>What has been built</w:t>
      </w:r>
    </w:p>
    <w:p>
      <w:pPr>
        <w:pStyle w:val="ListBullet"/>
      </w:pPr>
      <w:r>
        <w:t>A probabilistic forecaster (experiments/runners/run_probabilistic_agent.py): an LSTM trained with Gaussian negative log-likelihood that emits the mean and log variance of the next-step log return. The predictive standard deviation is min-max normalised across the test window into a unit-interval uncertainty score.</w:t>
      </w:r>
    </w:p>
    <w:p>
      <w:pPr>
        <w:pStyle w:val="ListBullet"/>
      </w:pPr>
      <w:r>
        <w:t>An uncertainty-aware trading environment (experiments/common.py:StockEnv): action space [-1, 1] over a configurable max_trade_fraction of cash, with the trade size shrunk by (1 - uncertainty_level) and floored at min_trade_scale. When the uncertainty score exceeds the protocol quantile (default 0.80) the environment blocks new long-side trades but still allows exits. Reward is the per-step log of the portfolio-value ratio multiplied by 100 for numerical scale.</w:t>
      </w:r>
    </w:p>
    <w:p>
      <w:pPr>
        <w:pStyle w:val="ListBullet"/>
      </w:pPr>
      <w:r>
        <w:t>A baseline PPO runner (experiments/runners/run_baseline.py) that uses the same environment without the uncertainty coordinate or the trade-size shrinkage, so the comparison against the probabilistic variant is genuinely controlled.</w:t>
      </w:r>
    </w:p>
    <w:p>
      <w:pPr>
        <w:pStyle w:val="ListBullet"/>
      </w:pPr>
      <w:r>
        <w:t>A rule-based stop-loss runner (experiments/runners/run_rule_baselines.py) implementing 5 % and 10 % trailing-stop policies with a 20/50-day moving-average crossover for re-entry. This is the directly-measured non-AI comparator that the supervisor's previous feedback asked for.</w:t>
      </w:r>
    </w:p>
    <w:p>
      <w:pPr>
        <w:pStyle w:val="ListBullet"/>
      </w:pPr>
      <w:r>
        <w:t>A benchmarks runner (experiments/runners/run_benchmarks.py) that evaluates passive buy-and-hold and all-cash on the same test window. These act as sanity checks on the metric definitions as much as competitors to beat.</w:t>
      </w:r>
    </w:p>
    <w:p>
      <w:pPr>
        <w:pStyle w:val="ListBullet"/>
      </w:pPr>
      <w:r>
        <w:t>A single evaluation protocol (experiments/configs/dissertation_protocol.json) that fixes the splits (2009-2018 train / 2019-2021 validation / 2022-2025 test), the seeds [7, 19, 42] in the headline study, and the metric set, and is read by every script. This is the bit that actually makes the comparisons fair.</w:t>
      </w:r>
    </w:p>
    <w:p>
      <w:pPr>
        <w:pStyle w:val="ListBullet"/>
      </w:pPr>
      <w:r>
        <w:t>A reporting layer: reports/builders/generate_dissertation_report.py for the markdown summary, reports/builders/build_supervisor_pack.py for the one-page chart, reports/builders/plot_dissertation_visuals.py for the detailed figures, and Dissertation_Walkthrough.ipynb for the embedded-output review notebook.</w:t>
      </w:r>
    </w:p>
    <w:p>
      <w:pPr>
        <w:pStyle w:val="Heading2"/>
      </w:pPr>
      <w:r>
        <w:rPr>
          <w:color w:val="000000"/>
        </w:rPr>
        <w:t>Phase-0 to Phase-1 status table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Step</w:t>
            </w:r>
          </w:p>
        </w:tc>
        <w:tc>
          <w:tcPr>
            <w:tcW w:type="dxa" w:w="3249"/>
          </w:tcPr>
          <w:p>
            <w:r>
              <w:rPr>
                <w:b/>
              </w:rPr>
              <w:t>Status</w:t>
            </w:r>
          </w:p>
        </w:tc>
        <w:tc>
          <w:tcPr>
            <w:tcW w:type="dxa" w:w="3249"/>
          </w:tcPr>
          <w:p>
            <w:r>
              <w:rPr>
                <w:b/>
              </w:rPr>
              <w:t>Notes</w:t>
            </w:r>
          </w:p>
        </w:tc>
      </w:tr>
      <w:tr>
        <w:tc>
          <w:tcPr>
            <w:tcW w:type="dxa" w:w="3249"/>
          </w:tcPr>
          <w:p>
            <w:r>
              <w:t>0.1 Environment + dependencies</w:t>
            </w:r>
          </w:p>
        </w:tc>
        <w:tc>
          <w:tcPr>
            <w:tcW w:type="dxa" w:w="3249"/>
          </w:tcPr>
          <w:p>
            <w:r>
              <w:t>Done</w:t>
            </w:r>
          </w:p>
        </w:tc>
        <w:tc>
          <w:tcPr>
            <w:tcW w:type="dxa" w:w="3249"/>
          </w:tcPr>
          <w:p>
            <w:r>
              <w:t>requirements.txt, SB3, PyTorch, gymnasium, yfinance</w:t>
            </w:r>
          </w:p>
        </w:tc>
      </w:tr>
      <w:tr>
        <w:tc>
          <w:tcPr>
            <w:tcW w:type="dxa" w:w="3249"/>
          </w:tcPr>
          <w:p>
            <w:r>
              <w:t>0.2 PPO baseline on sample data</w:t>
            </w:r>
          </w:p>
        </w:tc>
        <w:tc>
          <w:tcPr>
            <w:tcW w:type="dxa" w:w="3249"/>
          </w:tcPr>
          <w:p>
            <w:r>
              <w:t>Done</w:t>
            </w:r>
          </w:p>
        </w:tc>
        <w:tc>
          <w:tcPr>
            <w:tcW w:type="dxa" w:w="3249"/>
          </w:tcPr>
          <w:p>
            <w:r>
              <w:t>phase0_examples/ppo_stock_trading_standalone.py</w:t>
            </w:r>
          </w:p>
        </w:tc>
      </w:tr>
      <w:tr>
        <w:tc>
          <w:tcPr>
            <w:tcW w:type="dxa" w:w="3249"/>
          </w:tcPr>
          <w:p>
            <w:r>
              <w:t>0.3 DeepAR-style probabilistic example</w:t>
            </w:r>
          </w:p>
        </w:tc>
        <w:tc>
          <w:tcPr>
            <w:tcW w:type="dxa" w:w="3249"/>
          </w:tcPr>
          <w:p>
            <w:r>
              <w:t>Done</w:t>
            </w:r>
          </w:p>
        </w:tc>
        <w:tc>
          <w:tcPr>
            <w:tcW w:type="dxa" w:w="3249"/>
          </w:tcPr>
          <w:p>
            <w:r>
              <w:t>phase0_examples/deepar_style_example.py</w:t>
            </w:r>
          </w:p>
        </w:tc>
      </w:tr>
      <w:tr>
        <w:tc>
          <w:tcPr>
            <w:tcW w:type="dxa" w:w="3249"/>
          </w:tcPr>
          <w:p>
            <w:r>
              <w:t>1.1 Shared protocol + metrics</w:t>
            </w:r>
          </w:p>
        </w:tc>
        <w:tc>
          <w:tcPr>
            <w:tcW w:type="dxa" w:w="3249"/>
          </w:tcPr>
          <w:p>
            <w:r>
              <w:t>Done</w:t>
            </w:r>
          </w:p>
        </w:tc>
        <w:tc>
          <w:tcPr>
            <w:tcW w:type="dxa" w:w="3249"/>
          </w:tcPr>
          <w:p>
            <w:r>
              <w:t>experiments/configs/dissertation_protocol.json, experiments/common.py</w:t>
            </w:r>
          </w:p>
        </w:tc>
      </w:tr>
      <w:tr>
        <w:tc>
          <w:tcPr>
            <w:tcW w:type="dxa" w:w="3249"/>
          </w:tcPr>
          <w:p>
            <w:r>
              <w:t>1.2 Reproducible baseline / probabilistic / benchmark runners</w:t>
            </w:r>
          </w:p>
        </w:tc>
        <w:tc>
          <w:tcPr>
            <w:tcW w:type="dxa" w:w="3249"/>
          </w:tcPr>
          <w:p>
            <w:r>
              <w:t>Done</w:t>
            </w:r>
          </w:p>
        </w:tc>
        <w:tc>
          <w:tcPr>
            <w:tcW w:type="dxa" w:w="3249"/>
          </w:tcPr>
          <w:p>
            <w:r>
              <w:t>Three runners, seeded</w:t>
            </w:r>
          </w:p>
        </w:tc>
      </w:tr>
      <w:tr>
        <w:tc>
          <w:tcPr>
            <w:tcW w:type="dxa" w:w="3249"/>
          </w:tcPr>
          <w:p>
            <w:r>
              <w:t>1.3 Dissertation report + supervisor pack</w:t>
            </w:r>
          </w:p>
        </w:tc>
        <w:tc>
          <w:tcPr>
            <w:tcW w:type="dxa" w:w="3249"/>
          </w:tcPr>
          <w:p>
            <w:r>
              <w:t>Done</w:t>
            </w:r>
          </w:p>
        </w:tc>
        <w:tc>
          <w:tcPr>
            <w:tcW w:type="dxa" w:w="3249"/>
          </w:tcPr>
          <w:p>
            <w:r>
              <w:t>reports/generated/</w:t>
            </w:r>
          </w:p>
        </w:tc>
      </w:tr>
      <w:tr>
        <w:tc>
          <w:tcPr>
            <w:tcW w:type="dxa" w:w="3249"/>
          </w:tcPr>
          <w:p>
            <w:r>
              <w:t>1.4 Rule-based stop-loss comparator (5 % and 10 % variants)</w:t>
            </w:r>
          </w:p>
        </w:tc>
        <w:tc>
          <w:tcPr>
            <w:tcW w:type="dxa" w:w="3249"/>
          </w:tcPr>
          <w:p>
            <w:r>
              <w:t>Done</w:t>
            </w:r>
          </w:p>
        </w:tc>
        <w:tc>
          <w:tcPr>
            <w:tcW w:type="dxa" w:w="3249"/>
          </w:tcPr>
          <w:p>
            <w:r>
              <w:t>experiments/runners/run_rule_baselines.py</w:t>
            </w:r>
          </w:p>
        </w:tc>
      </w:tr>
      <w:tr>
        <w:tc>
          <w:tcPr>
            <w:tcW w:type="dxa" w:w="3249"/>
          </w:tcPr>
          <w:p>
            <w:r>
              <w:t>1.5 Robustness on 70-ticker test universe (Phase-1 budget)</w:t>
            </w:r>
          </w:p>
        </w:tc>
        <w:tc>
          <w:tcPr>
            <w:tcW w:type="dxa" w:w="3249"/>
          </w:tcPr>
          <w:p>
            <w:r>
              <w:t>Done</w:t>
            </w:r>
          </w:p>
        </w:tc>
        <w:tc>
          <w:tcPr>
            <w:tcW w:type="dxa" w:w="3249"/>
          </w:tcPr>
          <w:p>
            <w:r>
              <w:t>Four-agent comparison on 70 tickers × 3 seeds × 10k steps; aggregate stats + per-ticker table in Section 5.5 of dissertation</w:t>
            </w:r>
          </w:p>
        </w:tc>
      </w:tr>
      <w:tr>
        <w:tc>
          <w:tcPr>
            <w:tcW w:type="dxa" w:w="3249"/>
          </w:tcPr>
          <w:p>
            <w:r>
              <w:t>1.6 Walk-forward (out-of-time) on CPU-feasible subset</w:t>
            </w:r>
          </w:p>
        </w:tc>
        <w:tc>
          <w:tcPr>
            <w:tcW w:type="dxa" w:w="3249"/>
          </w:tcPr>
          <w:p>
            <w:r>
              <w:t>Done</w:t>
            </w:r>
          </w:p>
        </w:tc>
        <w:tc>
          <w:tcPr>
            <w:tcW w:type="dxa" w:w="3249"/>
          </w:tcPr>
          <w:p>
            <w:r>
              <w:t>4 tickers × 4 folds × 3 seeds × 10k steps = 96 trainings; in Section 6.4 of dissertation</w:t>
            </w:r>
          </w:p>
        </w:tc>
      </w:tr>
      <w:tr>
        <w:tc>
          <w:tcPr>
            <w:tcW w:type="dxa" w:w="3249"/>
          </w:tcPr>
          <w:p>
            <w:r>
              <w:t>1.7 Extended seed-stability check on representative sub-universe</w:t>
            </w:r>
          </w:p>
        </w:tc>
        <w:tc>
          <w:tcPr>
            <w:tcW w:type="dxa" w:w="3249"/>
          </w:tcPr>
          <w:p>
            <w:r>
              <w:t>Done</w:t>
            </w:r>
          </w:p>
        </w:tc>
        <w:tc>
          <w:tcPr>
            <w:tcW w:type="dxa" w:w="3249"/>
          </w:tcPr>
          <w:p>
            <w:r>
              <w:t>8 tickers × 10 seeds × 50k steps = 80 trainings; in Section 5.5.1 of dissertation</w:t>
            </w:r>
          </w:p>
        </w:tc>
      </w:tr>
      <w:tr>
        <w:tc>
          <w:tcPr>
            <w:tcW w:type="dxa" w:w="3249"/>
          </w:tcPr>
          <w:p>
            <w:r>
              <w:t>1.8 Phase-2 extended grid on full 70-ticker universe</w:t>
            </w:r>
          </w:p>
        </w:tc>
        <w:tc>
          <w:tcPr>
            <w:tcW w:type="dxa" w:w="3249"/>
          </w:tcPr>
          <w:p>
            <w:r>
              <w:t>Scheduled</w:t>
            </w:r>
          </w:p>
        </w:tc>
        <w:tc>
          <w:tcPr>
            <w:tcW w:type="dxa" w:w="3249"/>
          </w:tcPr>
          <w:p>
            <w:r>
              <w:t>GPU-only; orchestrator experiments/runners/run_extended_grid.py + notebook notebooks/extended_grid_colab.ipynb</w:t>
            </w:r>
          </w:p>
        </w:tc>
      </w:tr>
    </w:tbl>
    <w:p>
      <w:pPr>
        <w:pStyle w:val="Heading2"/>
      </w:pPr>
      <w:r>
        <w:rPr>
          <w:color w:val="000000"/>
        </w:rPr>
        <w:t>Current results (mean across 3 seeds, test window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$1,233,202</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rPr>
        <w:t>Reference figures: reports/generated/charts/final_value_comparison.png, equity_curve_comparison.png and uncertainty_signal.png.</w:t>
      </w:r>
    </w:p>
    <w:p>
      <w:pPr>
        <w:pStyle w:val="Heading2"/>
      </w:pPr>
      <w:r>
        <w:rPr>
          <w:color w:val="000000"/>
        </w:rPr>
        <w:t>70-ticker test universe — Phase-1 robustness</w:t>
      </w:r>
    </w:p>
    <w:p>
      <w:r>
        <w:rPr>
          <w:b w:val="0"/>
          <w:i w:val="0"/>
        </w:rPr>
        <w:t>The Phase-1 robustness study runs the same four-agent comparison on a 70-ticker diversified-equity test universe (41 single-name US large-cap equities spanning technology, payments and financial services, healthcare, consumer and industrials, plus 29 exchange-traded funds covering broad-market indices, sector SPDRs, dividend ETFs, thematic exposures and commodity funds) on the same 2022–2025 test window with the same metric definitions. The aggregate result is summarised below; the full per-ticker table is in Appendix B of the main dissertation.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rPr>
              <w:t>Strategy</w:t>
            </w:r>
          </w:p>
        </w:tc>
        <w:tc>
          <w:tcPr>
            <w:tcW w:type="dxa" w:w="2436"/>
          </w:tcPr>
          <w:p>
            <w:r>
              <w:rPr>
                <w:b/>
              </w:rPr>
              <w:t>Mean terminal value</w:t>
            </w:r>
          </w:p>
        </w:tc>
        <w:tc>
          <w:tcPr>
            <w:tcW w:type="dxa" w:w="2436"/>
          </w:tcPr>
          <w:p>
            <w:r>
              <w:rPr>
                <w:b/>
              </w:rPr>
              <w:t>Mean Sharpe</w:t>
            </w:r>
          </w:p>
        </w:tc>
        <w:tc>
          <w:tcPr>
            <w:tcW w:type="dxa" w:w="2436"/>
          </w:tcPr>
          <w:p>
            <w:r>
              <w:rPr>
                <w:b/>
              </w:rPr>
              <w:t>Mean Max-DD</w:t>
            </w:r>
          </w:p>
        </w:tc>
      </w:tr>
      <w:tr>
        <w:tc>
          <w:tcPr>
            <w:tcW w:type="dxa" w:w="2436"/>
          </w:tcPr>
          <w:p>
            <w:r>
              <w:t>Baseline PPO (no uncertainty)</w:t>
            </w:r>
          </w:p>
        </w:tc>
        <w:tc>
          <w:tcPr>
            <w:tcW w:type="dxa" w:w="2436"/>
          </w:tcPr>
          <w:p>
            <w:r>
              <w:t>$989,430</w:t>
            </w:r>
          </w:p>
        </w:tc>
        <w:tc>
          <w:tcPr>
            <w:tcW w:type="dxa" w:w="2436"/>
          </w:tcPr>
          <w:p>
            <w:r>
              <w:t>−0.23</w:t>
            </w:r>
          </w:p>
        </w:tc>
        <w:tc>
          <w:tcPr>
            <w:tcW w:type="dxa" w:w="2436"/>
          </w:tcPr>
          <w:p>
            <w:r>
              <w:t>0.033</w:t>
            </w:r>
          </w:p>
        </w:tc>
      </w:tr>
      <w:tr>
        <w:tc>
          <w:tcPr>
            <w:tcW w:type="dxa" w:w="2436"/>
          </w:tcPr>
          <w:p>
            <w:r>
              <w:rPr>
                <w:b/>
              </w:rPr>
              <w:t>Probabilistic PPO (this work)</w:t>
            </w:r>
          </w:p>
        </w:tc>
        <w:tc>
          <w:tcPr>
            <w:tcW w:type="dxa" w:w="2436"/>
          </w:tcPr>
          <w:p>
            <w:r>
              <w:rPr>
                <w:b/>
              </w:rPr>
              <w:t>$1,998,817</w:t>
            </w:r>
          </w:p>
        </w:tc>
        <w:tc>
          <w:tcPr>
            <w:tcW w:type="dxa" w:w="2436"/>
          </w:tcPr>
          <w:p>
            <w:r>
              <w:rPr>
                <w:b/>
              </w:rPr>
              <w:t>+0.60</w:t>
            </w:r>
          </w:p>
        </w:tc>
        <w:tc>
          <w:tcPr>
            <w:tcW w:type="dxa" w:w="2436"/>
          </w:tcPr>
          <w:p>
            <w:r>
              <w:rPr>
                <w:b/>
              </w:rPr>
              <w:t>0.225</w:t>
            </w:r>
          </w:p>
        </w:tc>
      </w:tr>
      <w:tr>
        <w:tc>
          <w:tcPr>
            <w:tcW w:type="dxa" w:w="2436"/>
          </w:tcPr>
          <w:p>
            <w:r>
              <w:t>Manual 5 % trailing stop</w:t>
            </w:r>
          </w:p>
        </w:tc>
        <w:tc>
          <w:tcPr>
            <w:tcW w:type="dxa" w:w="2436"/>
          </w:tcPr>
          <w:p>
            <w:r>
              <w:t>$1,531,163</w:t>
            </w:r>
          </w:p>
        </w:tc>
        <w:tc>
          <w:tcPr>
            <w:tcW w:type="dxa" w:w="2436"/>
          </w:tcPr>
          <w:p>
            <w:r>
              <w:t>+0.36</w:t>
            </w:r>
          </w:p>
        </w:tc>
        <w:tc>
          <w:tcPr>
            <w:tcW w:type="dxa" w:w="2436"/>
          </w:tcPr>
          <w:p>
            <w:r>
              <w:t>0.305</w:t>
            </w:r>
          </w:p>
        </w:tc>
      </w:tr>
      <w:tr>
        <w:tc>
          <w:tcPr>
            <w:tcW w:type="dxa" w:w="2436"/>
          </w:tcPr>
          <w:p>
            <w:r>
              <w:t>Passive buy-and-hold</w:t>
            </w:r>
          </w:p>
        </w:tc>
        <w:tc>
          <w:tcPr>
            <w:tcW w:type="dxa" w:w="2436"/>
          </w:tcPr>
          <w:p>
            <w:r>
              <w:t>$2,099,838</w:t>
            </w:r>
          </w:p>
        </w:tc>
        <w:tc>
          <w:tcPr>
            <w:tcW w:type="dxa" w:w="2436"/>
          </w:tcPr>
          <w:p>
            <w:r>
              <w:t>+0.54</w:t>
            </w:r>
          </w:p>
        </w:tc>
        <w:tc>
          <w:tcPr>
            <w:tcW w:type="dxa" w:w="2436"/>
          </w:tcPr>
          <w:p>
            <w:r>
              <w:t>0.370</w:t>
            </w:r>
          </w:p>
        </w:tc>
      </w:tr>
    </w:tbl>
    <w:p>
      <w:r>
        <w:rPr>
          <w:b/>
          <w:i w:val="0"/>
        </w:rPr>
        <w:t>Headline findings on the 70-ticker test universe:</w:t>
      </w:r>
    </w:p>
    <w:p>
      <w:pPr>
        <w:pStyle w:val="ListBullet"/>
      </w:pPr>
      <w:r>
        <w:t>Drawdown reduced versus passive buy-and-hold on 70 of 70 tickers (100 % of the universe), with an average reduction of 14.5 percentage points (mean drawdown cut by 39 % in relative terms — from 37.0 % to 22.5 %). This is the strongest single number in the dissertation.</w:t>
      </w:r>
    </w:p>
    <w:p>
      <w:pPr>
        <w:pStyle w:val="ListBullet"/>
      </w:pPr>
      <w:r>
        <w:t>Probabilistic agent beat the manually-tuned 5 % trailing stop on 61 of 70 tickers (87 %) in terminal value, and on essentially every ticker in Sharpe ratio — the empirical answer to the previous-meeting question on whether the AI agent beats a manually-tuned stop-loss alternative.</w:t>
      </w:r>
    </w:p>
    <w:p>
      <w:pPr>
        <w:pStyle w:val="ListBullet"/>
      </w:pPr>
      <w:r>
        <w:t>Cost in mean terminal value versus passive buy-and-hold: roughly 5 % give-up in mean upside in exchange for the 39 % reduction in mean drawdown above. This is exactly the trade an institutional drawdown-mandated investor runs every quarter.</w:t>
      </w:r>
    </w:p>
    <w:p>
      <w:pPr>
        <w:pStyle w:val="ListBullet"/>
      </w:pPr>
      <w:r>
        <w:t>Where the agent loses (45 of 70 tickers in terminal value, all winning on drawdown), the losses cluster in two diagnosable regimes: persistent, low-uncertainty bull-market trends in single names (NVDA, AVGO, LLY) where the uncertainty-guard's caution costs the right tail, and very-low-drawdown defensives (JNJ, MCD, SCHD, GLD) where there is essentially nothing for a drawdown overlay to add. Sector-aware uncertainty-quantile calibration is the targeted Phase-2 fix.</w:t>
      </w:r>
    </w:p>
    <w:p>
      <w:pPr>
        <w:pStyle w:val="Heading2"/>
      </w:pPr>
      <w:r>
        <w:rPr>
          <w:color w:val="000000"/>
        </w:rPr>
        <w:t>How to read these numbers</w:t>
      </w:r>
    </w:p>
    <w:p>
      <w:pPr>
        <w:pStyle w:val="ListBullet"/>
      </w:pPr>
      <w:r>
        <w:t>The headline criterion is the joint of Sharpe ratio and drawdown control, not either half alone. Meeting either half on its own is trivial: an all-cash policy achieves perfect preservation with zero return, and a return-only policy ignores the constraint entirely. On the 70-ticker test universe the probabilistic agent meets the joint constraint: it controls drawdown on 100 % of the universe (mean drawdown 22.5 % vs buy-and-hold's 37.0 %) and earns a higher mean Sharpe than passive buy-and-hold (+0.60 vs +0.54). The baseline PPO meets neither half: it ends roughly where it started with a slightly negative Sharpe.</w:t>
      </w:r>
    </w:p>
    <w:p>
      <w:pPr>
        <w:pStyle w:val="ListBullet"/>
      </w:pPr>
      <w:r>
        <w:t>The manually-tuned trailing-stop comparator (5 % stop with 20/50-day moving-average re-entry) is the directly measured manual alternative. The probabilistic agent beats it on 87 % of the 70-ticker universe in terminal value and on essentially every ticker in Sharpe. This is a directly-measured rather than asserted answer to the previous-meeting question on whether the AI agent beats a manually-tuned stop-loss alternative.</w:t>
      </w:r>
    </w:p>
    <w:p>
      <w:pPr>
        <w:pStyle w:val="ListBullet"/>
      </w:pPr>
      <w:r>
        <w:t>Max drawdown on the baseline looks small only because the baseline barely compounds in the first place. Both terminal preservation and path preservation (1 − MDD) are reported in the dissertation so the reader can apply whichever definition matches their mandate.</w:t>
      </w:r>
    </w:p>
    <w:p>
      <w:pPr>
        <w:pStyle w:val="ListBullet"/>
      </w:pPr>
      <w:r>
        <w:t>These numbers are provisional Phase-1 evidence. The Phase-2 extended grid (10 seeds × 50 000 timesteps × 4 walk-forward folds × 16 bootstrap paths × 70 tickers) on the Colab GPU runtime will tighten the seed-variability bands and provide out-of-time confirmation across the full universe.</w:t>
      </w:r>
    </w:p>
    <w:p>
      <w:pPr>
        <w:pStyle w:val="Heading2"/>
      </w:pPr>
      <w:r>
        <w:rPr>
          <w:color w:val="000000"/>
        </w:rPr>
        <w:t>Reproducibility</w:t>
      </w:r>
    </w:p>
    <w:p>
      <w:r>
        <w:rPr>
          <w:rFonts w:ascii="Consolas" w:hAnsi="Consolas"/>
          <w:sz w:val="20"/>
        </w:rPr>
        <w:t>python experiments/runners/run_baseline.py</w:t>
        <w:br/>
        <w:t>python experiments/runners/run_probabilistic_agent.py</w:t>
        <w:br/>
        <w:t>python experiments/runners/run_benchmarks.py</w:t>
        <w:br/>
        <w:t>python experiments/runners/run_rule_baselines.py</w:t>
        <w:br/>
        <w:t>python reports/builders/generate_dissertation_report.py</w:t>
        <w:br/>
        <w:t>python reports/builders/build_supervisor_pack.py</w:t>
        <w:br/>
        <w:t>python reports/builders/plot_dissertation_visuals.py</w:t>
      </w:r>
    </w:p>
    <w:p>
      <w:r>
        <w:rPr>
          <w:b w:val="0"/>
          <w:i w:val="0"/>
        </w:rPr>
        <w:t>Artifacts land in experiments/results/ and reports/generated/. The full source is on GitHub at TheFinix13/Dissertation_Sample_Project, with the walkthrough notebook (Dissertation_Walkthrough.ipynb) as the single entry point for someone reading the project for the first time.</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70-ticker diversified-equity universe;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70-ticker universe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70-ticker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70-ticker,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