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COLLEGE KNOWLEDGE BASE</w:t>
      </w:r>
    </w:p>
    <w:p>
      <w:r>
        <w:rPr>
          <w:b/>
          <w:sz w:val="24"/>
        </w:rPr>
        <w:t>Template document for the RAG FAQ chatbot</w:t>
      </w:r>
    </w:p>
    <w:p>
      <w:r>
        <w:t>HOW TO USE THIS FILE: replace this document with your own institution's knowledge base and keep the same file name (data/knowledge_base.docx), then run 'python scripts/ingest.py --reset' to rebuild the vector index. Use Heading 1 for top-level sections, Heading 2 for subsections and plain paragraphs or tables for the details. Every fact the chatbot quotes comes from this document, so keep it accurate and up to date.</w:t>
      </w:r>
    </w:p>
    <w:p>
      <w:r>
        <w:t>The sample content below is placeholder data for a fictional college. Replace it with your own information.</w:t>
      </w:r>
    </w:p>
    <w:p>
      <w:pPr>
        <w:pStyle w:val="Heading1"/>
      </w:pPr>
      <w:r>
        <w:t>1. About the College</w:t>
      </w:r>
    </w:p>
    <w:p>
      <w:r>
        <w:t>Sample College of Engineering was established in 2001 under the Example Education Trust and is an autonomous engineering college affiliated to Example State University. It offers undergraduate, postgraduate and research programmes to roughly 2400 students with a faculty strength of 175 members.</w:t>
      </w:r>
    </w:p>
    <w:p>
      <w:pPr>
        <w:pStyle w:val="Heading2"/>
      </w:pPr>
      <w:r>
        <w:t>History and Establishment</w:t>
      </w:r>
    </w:p>
    <w:p>
      <w:r>
        <w:t>Sample College of Engineering is an autonomous engineering college established in 2001 under the Example Education Trust. It started with two undergraduate branches and a strength of 320 students; today it runs six undergraduate branches and three postgraduate programmes with roughly 2400 students on campus.</w:t>
      </w:r>
    </w:p>
    <w:p>
      <w:r>
        <w:t>The college received autonomous status in 2019 and has been affiliated to Example State University since its inception.</w:t>
      </w:r>
    </w:p>
    <w:p>
      <w:pPr>
        <w:pStyle w:val="Heading2"/>
      </w:pPr>
      <w:r>
        <w:t>Vision</w:t>
      </w:r>
    </w:p>
    <w:p>
      <w:r>
        <w:t>To be a centre of academic excellence in engineering education, producing graduates with strong technical depth, ethical grounding and research inclination.</w:t>
      </w:r>
    </w:p>
    <w:p>
      <w:pPr>
        <w:pStyle w:val="Heading2"/>
      </w:pPr>
      <w:r>
        <w:t>Mission</w:t>
      </w:r>
    </w:p>
    <w:p>
      <w:pPr>
        <w:pStyle w:val="ListParagraph"/>
      </w:pPr>
      <w:r>
        <w:t>Deliver outcome-based engineering education aligned with industry practice.</w:t>
      </w:r>
    </w:p>
    <w:p>
      <w:pPr>
        <w:pStyle w:val="ListParagraph"/>
      </w:pPr>
      <w:r>
        <w:t>Encourage research, innovation and interdisciplinary collaboration.</w:t>
      </w:r>
    </w:p>
    <w:p>
      <w:pPr>
        <w:pStyle w:val="ListParagraph"/>
      </w:pPr>
      <w:r>
        <w:t>Support inclusive growth through scholarships and mentoring programmes.</w:t>
      </w:r>
    </w:p>
    <w:p>
      <w:pPr>
        <w:pStyle w:val="ListParagraph"/>
      </w:pPr>
      <w:r>
        <w:t>Prepare students for professional life through internships and projects.</w:t>
      </w:r>
    </w:p>
    <w:p>
      <w:pPr>
        <w:pStyle w:val="Heading2"/>
      </w:pPr>
      <w:r>
        <w:t>Accreditations &amp; Approvals</w:t>
      </w:r>
    </w:p>
    <w:p>
      <w:pPr>
        <w:pStyle w:val="ListParagraph"/>
      </w:pPr>
      <w:r>
        <w:t>NAAC: Accredited with Grade 'B+' (2021).</w:t>
      </w:r>
    </w:p>
    <w:p>
      <w:pPr>
        <w:pStyle w:val="ListParagraph"/>
      </w:pPr>
      <w:r>
        <w:t>NBA: Accredited for the CSE and ECE undergraduate programmes.</w:t>
      </w:r>
    </w:p>
    <w:p>
      <w:pPr>
        <w:pStyle w:val="ListParagraph"/>
      </w:pPr>
      <w:r>
        <w:t>Autonomous status granted from the academic year 2019-20 for a period of 10 years.</w:t>
      </w:r>
    </w:p>
    <w:p>
      <w:pPr>
        <w:pStyle w:val="ListParagraph"/>
      </w:pPr>
      <w:r>
        <w:t>Approved by AICTE (All India Council for Technical Education) and the State Government.</w:t>
      </w:r>
    </w:p>
    <w:p>
      <w:pPr>
        <w:pStyle w:val="ListParagraph"/>
      </w:pPr>
      <w:r>
        <w:t>Affiliated to Example State University.</w:t>
      </w:r>
    </w:p>
    <w:p>
      <w:pPr>
        <w:pStyle w:val="Heading1"/>
      </w:pPr>
      <w:r>
        <w:t>2. Departments</w:t>
      </w:r>
    </w:p>
    <w:p>
      <w:r>
        <w:t>The college offers undergraduate (B.Tech), postgraduate (M.Tech) and Ph.D research programmes across six departments.</w:t>
      </w:r>
    </w:p>
    <w:p>
      <w:pPr>
        <w:pStyle w:val="Heading2"/>
      </w:pPr>
      <w:r>
        <w:t>Undergraduate Branches</w:t>
      </w:r>
    </w:p>
    <w:p>
      <w:pPr>
        <w:pStyle w:val="ListParagraph"/>
      </w:pPr>
      <w:r>
        <w:t>Computer Science &amp; Engineering (CSE)</w:t>
      </w:r>
    </w:p>
    <w:p>
      <w:pPr>
        <w:pStyle w:val="ListParagraph"/>
      </w:pPr>
      <w:r>
        <w:t>Computer Science &amp; Engineering - Artificial Intelligence and Machine Learning (CSE-AIML)</w:t>
      </w:r>
    </w:p>
    <w:p>
      <w:pPr>
        <w:pStyle w:val="ListParagraph"/>
      </w:pPr>
      <w:r>
        <w:t>Electronics and Communication Engineering (ECE)</w:t>
      </w:r>
    </w:p>
    <w:p>
      <w:pPr>
        <w:pStyle w:val="ListParagraph"/>
      </w:pPr>
      <w:r>
        <w:t>Electrical and Electronics Engineering (EEE)</w:t>
      </w:r>
    </w:p>
    <w:p>
      <w:pPr>
        <w:pStyle w:val="ListParagraph"/>
      </w:pPr>
      <w:r>
        <w:t>Mechanical Engineering (ME)</w:t>
      </w:r>
    </w:p>
    <w:p>
      <w:pPr>
        <w:pStyle w:val="ListParagraph"/>
      </w:pPr>
      <w:r>
        <w:t>Civil Engineering (CE)</w:t>
      </w:r>
    </w:p>
    <w:p>
      <w:pPr>
        <w:pStyle w:val="Heading2"/>
      </w:pPr>
      <w:r>
        <w:t>Postgraduate and Research Programmes</w:t>
      </w:r>
    </w:p>
    <w:p>
      <w:pPr>
        <w:pStyle w:val="ListParagraph"/>
      </w:pPr>
      <w:r>
        <w:t>M.Tech in Computer Science &amp; Engineering</w:t>
      </w:r>
    </w:p>
    <w:p>
      <w:pPr>
        <w:pStyle w:val="ListParagraph"/>
      </w:pPr>
      <w:r>
        <w:t>M.Tech in Electronics and Communication Engineering</w:t>
      </w:r>
    </w:p>
    <w:p>
      <w:pPr>
        <w:pStyle w:val="ListParagraph"/>
      </w:pPr>
      <w:r>
        <w:t>M.Tech in Data Science</w:t>
      </w:r>
    </w:p>
    <w:p>
      <w:pPr>
        <w:pStyle w:val="ListParagraph"/>
      </w:pPr>
      <w:r>
        <w:t>Ph.D in Computer Science &amp; Engineering, ECE and Mechanical Engineering</w:t>
      </w:r>
    </w:p>
    <w:p>
      <w:pPr>
        <w:pStyle w:val="Heading2"/>
      </w:pPr>
      <w:r>
        <w:t>Department-wise Faculty Strength &amp; Heads of Department</w:t>
      </w:r>
    </w:p>
    <w:tbl>
      <w:tblPr>
        <w:tblStyle w:val="TableGrid"/>
        <w:tblW w:type="auto" w:w="0"/>
        <w:tblLook w:firstColumn="1" w:firstRow="1" w:lastColumn="0" w:lastRow="0" w:noHBand="0" w:noVBand="1" w:val="04A0"/>
      </w:tblPr>
      <w:tblGrid>
        <w:gridCol w:w="2880"/>
        <w:gridCol w:w="2880"/>
        <w:gridCol w:w="2880"/>
      </w:tblGrid>
      <w:tr>
        <w:tc>
          <w:tcPr>
            <w:tcW w:type="dxa" w:w="2880"/>
          </w:tcPr>
          <w:p>
            <w:r>
              <w:t>Department</w:t>
            </w:r>
          </w:p>
        </w:tc>
        <w:tc>
          <w:tcPr>
            <w:tcW w:type="dxa" w:w="2880"/>
          </w:tcPr>
          <w:p>
            <w:r>
              <w:t>Faculty Members</w:t>
            </w:r>
          </w:p>
        </w:tc>
        <w:tc>
          <w:tcPr>
            <w:tcW w:type="dxa" w:w="2880"/>
          </w:tcPr>
          <w:p>
            <w:r>
              <w:t>Head of Department</w:t>
            </w:r>
          </w:p>
        </w:tc>
      </w:tr>
      <w:tr>
        <w:tc>
          <w:tcPr>
            <w:tcW w:type="dxa" w:w="2880"/>
          </w:tcPr>
          <w:p>
            <w:r>
              <w:t>Computer Science &amp; Engineering (CSE)</w:t>
            </w:r>
          </w:p>
        </w:tc>
        <w:tc>
          <w:tcPr>
            <w:tcW w:type="dxa" w:w="2880"/>
          </w:tcPr>
          <w:p>
            <w:r>
              <w:t>42</w:t>
            </w:r>
          </w:p>
        </w:tc>
        <w:tc>
          <w:tcPr>
            <w:tcW w:type="dxa" w:w="2880"/>
          </w:tcPr>
          <w:p>
            <w:r>
              <w:t>Dr. A. Sharma</w:t>
            </w:r>
          </w:p>
        </w:tc>
      </w:tr>
      <w:tr>
        <w:tc>
          <w:tcPr>
            <w:tcW w:type="dxa" w:w="2880"/>
          </w:tcPr>
          <w:p>
            <w:r>
              <w:t>CSE - Artificial Intelligence and Machine Learning</w:t>
            </w:r>
          </w:p>
        </w:tc>
        <w:tc>
          <w:tcPr>
            <w:tcW w:type="dxa" w:w="2880"/>
          </w:tcPr>
          <w:p>
            <w:r>
              <w:t>16</w:t>
            </w:r>
          </w:p>
        </w:tc>
        <w:tc>
          <w:tcPr>
            <w:tcW w:type="dxa" w:w="2880"/>
          </w:tcPr>
          <w:p>
            <w:r>
              <w:t>Dr. P. Nair</w:t>
            </w:r>
          </w:p>
        </w:tc>
      </w:tr>
      <w:tr>
        <w:tc>
          <w:tcPr>
            <w:tcW w:type="dxa" w:w="2880"/>
          </w:tcPr>
          <w:p>
            <w:r>
              <w:t>Electronics and Communication Engineering (ECE)</w:t>
            </w:r>
          </w:p>
        </w:tc>
        <w:tc>
          <w:tcPr>
            <w:tcW w:type="dxa" w:w="2880"/>
          </w:tcPr>
          <w:p>
            <w:r>
              <w:t>35</w:t>
            </w:r>
          </w:p>
        </w:tc>
        <w:tc>
          <w:tcPr>
            <w:tcW w:type="dxa" w:w="2880"/>
          </w:tcPr>
          <w:p>
            <w:r>
              <w:t>Dr. R. Menon</w:t>
            </w:r>
          </w:p>
        </w:tc>
      </w:tr>
      <w:tr>
        <w:tc>
          <w:tcPr>
            <w:tcW w:type="dxa" w:w="2880"/>
          </w:tcPr>
          <w:p>
            <w:r>
              <w:t>Electrical and Electronics Engineering (EEE)</w:t>
            </w:r>
          </w:p>
        </w:tc>
        <w:tc>
          <w:tcPr>
            <w:tcW w:type="dxa" w:w="2880"/>
          </w:tcPr>
          <w:p>
            <w:r>
              <w:t>28</w:t>
            </w:r>
          </w:p>
        </w:tc>
        <w:tc>
          <w:tcPr>
            <w:tcW w:type="dxa" w:w="2880"/>
          </w:tcPr>
          <w:p>
            <w:r>
              <w:t>Dr. S. Iyer</w:t>
            </w:r>
          </w:p>
        </w:tc>
      </w:tr>
      <w:tr>
        <w:tc>
          <w:tcPr>
            <w:tcW w:type="dxa" w:w="2880"/>
          </w:tcPr>
          <w:p>
            <w:r>
              <w:t>Mechanical Engineering (ME)</w:t>
            </w:r>
          </w:p>
        </w:tc>
        <w:tc>
          <w:tcPr>
            <w:tcW w:type="dxa" w:w="2880"/>
          </w:tcPr>
          <w:p>
            <w:r>
              <w:t>30</w:t>
            </w:r>
          </w:p>
        </w:tc>
        <w:tc>
          <w:tcPr>
            <w:tcW w:type="dxa" w:w="2880"/>
          </w:tcPr>
          <w:p>
            <w:r>
              <w:t>Dr. K. Rao</w:t>
            </w:r>
          </w:p>
        </w:tc>
      </w:tr>
      <w:tr>
        <w:tc>
          <w:tcPr>
            <w:tcW w:type="dxa" w:w="2880"/>
          </w:tcPr>
          <w:p>
            <w:r>
              <w:t>Civil Engineering (CE)</w:t>
            </w:r>
          </w:p>
        </w:tc>
        <w:tc>
          <w:tcPr>
            <w:tcW w:type="dxa" w:w="2880"/>
          </w:tcPr>
          <w:p>
            <w:r>
              <w:t>24</w:t>
            </w:r>
          </w:p>
        </w:tc>
        <w:tc>
          <w:tcPr>
            <w:tcW w:type="dxa" w:w="2880"/>
          </w:tcPr>
          <w:p>
            <w:r>
              <w:t>Dr. V. Desai</w:t>
            </w:r>
          </w:p>
        </w:tc>
      </w:tr>
    </w:tbl>
    <w:p>
      <w:r>
        <w:t>In total the college has 175 faculty members, of whom 41 hold doctoral degrees and 34 are on contract or visiting appointments.</w:t>
      </w:r>
    </w:p>
    <w:p>
      <w:pPr>
        <w:pStyle w:val="Heading1"/>
      </w:pPr>
      <w:r>
        <w:t>3. Admissions</w:t>
      </w:r>
    </w:p>
    <w:p>
      <w:r>
        <w:t>Admissions to the undergraduate programmes are conducted once every academic year through the state entrance examination, followed by counselling and document verification by the admissions office.</w:t>
      </w:r>
    </w:p>
    <w:p>
      <w:pPr>
        <w:pStyle w:val="Heading2"/>
      </w:pPr>
      <w:r>
        <w:t>Eligibility</w:t>
      </w:r>
    </w:p>
    <w:p>
      <w:r>
        <w:t>Admission to the B.Tech programmes is through the state entrance examination. Candidates must have passed the higher secondary examination with Physics, Chemistry and Mathematics, and must have scored a minimum of 50% aggregate (45% for reserved categories).</w:t>
      </w:r>
    </w:p>
    <w:p>
      <w:pPr>
        <w:pStyle w:val="Heading2"/>
      </w:pPr>
      <w:r>
        <w:t>Admission Process</w:t>
      </w:r>
    </w:p>
    <w:p>
      <w:pPr>
        <w:pStyle w:val="ListParagraph"/>
      </w:pPr>
      <w:r>
        <w:t>Publish the entrance notification and the counselling schedule each year.</w:t>
      </w:r>
    </w:p>
    <w:p>
      <w:pPr>
        <w:pStyle w:val="ListParagraph"/>
      </w:pPr>
      <w:r>
        <w:t>Register online and upload the required documents.</w:t>
      </w:r>
    </w:p>
    <w:p>
      <w:pPr>
        <w:pStyle w:val="ListParagraph"/>
      </w:pPr>
      <w:r>
        <w:t>Participate in the counselling and seat allotment process.</w:t>
      </w:r>
    </w:p>
    <w:p>
      <w:pPr>
        <w:pStyle w:val="ListParagraph"/>
      </w:pPr>
      <w:r>
        <w:t>Confirm the allotment and pay the tuition fee to secure the seat.</w:t>
      </w:r>
    </w:p>
    <w:p>
      <w:pPr>
        <w:pStyle w:val="Heading2"/>
      </w:pPr>
      <w:r>
        <w:t>Tuition Fee</w:t>
      </w:r>
    </w:p>
    <w:tbl>
      <w:tblPr>
        <w:tblStyle w:val="TableGrid"/>
        <w:tblW w:type="auto" w:w="0"/>
        <w:tblLook w:firstColumn="1" w:firstRow="1" w:lastColumn="0" w:lastRow="0" w:noHBand="0" w:noVBand="1" w:val="04A0"/>
      </w:tblPr>
      <w:tblGrid>
        <w:gridCol w:w="2880"/>
        <w:gridCol w:w="2880"/>
        <w:gridCol w:w="2880"/>
      </w:tblGrid>
      <w:tr>
        <w:tc>
          <w:tcPr>
            <w:tcW w:type="dxa" w:w="2880"/>
          </w:tcPr>
          <w:p>
            <w:r>
              <w:t>Programme</w:t>
            </w:r>
          </w:p>
        </w:tc>
        <w:tc>
          <w:tcPr>
            <w:tcW w:type="dxa" w:w="2880"/>
          </w:tcPr>
          <w:p>
            <w:r>
              <w:t>Annual Tuition Fee (INR)</w:t>
            </w:r>
          </w:p>
        </w:tc>
        <w:tc>
          <w:tcPr>
            <w:tcW w:type="dxa" w:w="2880"/>
          </w:tcPr>
          <w:p>
            <w:r>
              <w:t>Duration</w:t>
            </w:r>
          </w:p>
        </w:tc>
      </w:tr>
      <w:tr>
        <w:tc>
          <w:tcPr>
            <w:tcW w:type="dxa" w:w="2880"/>
          </w:tcPr>
          <w:p>
            <w:r>
              <w:t>B.Tech (CSE, ECE, EEE, ME, CE)</w:t>
            </w:r>
          </w:p>
        </w:tc>
        <w:tc>
          <w:tcPr>
            <w:tcW w:type="dxa" w:w="2880"/>
          </w:tcPr>
          <w:p>
            <w:r>
              <w:t>62,000</w:t>
            </w:r>
          </w:p>
        </w:tc>
        <w:tc>
          <w:tcPr>
            <w:tcW w:type="dxa" w:w="2880"/>
          </w:tcPr>
          <w:p>
            <w:r>
              <w:t>4 years</w:t>
            </w:r>
          </w:p>
        </w:tc>
      </w:tr>
      <w:tr>
        <w:tc>
          <w:tcPr>
            <w:tcW w:type="dxa" w:w="2880"/>
          </w:tcPr>
          <w:p>
            <w:r>
              <w:t>B.Tech (CSE - AIML)</w:t>
            </w:r>
          </w:p>
        </w:tc>
        <w:tc>
          <w:tcPr>
            <w:tcW w:type="dxa" w:w="2880"/>
          </w:tcPr>
          <w:p>
            <w:r>
              <w:t>68,000</w:t>
            </w:r>
          </w:p>
        </w:tc>
        <w:tc>
          <w:tcPr>
            <w:tcW w:type="dxa" w:w="2880"/>
          </w:tcPr>
          <w:p>
            <w:r>
              <w:t>4 years</w:t>
            </w:r>
          </w:p>
        </w:tc>
      </w:tr>
      <w:tr>
        <w:tc>
          <w:tcPr>
            <w:tcW w:type="dxa" w:w="2880"/>
          </w:tcPr>
          <w:p>
            <w:r>
              <w:t>M.Tech</w:t>
            </w:r>
          </w:p>
        </w:tc>
        <w:tc>
          <w:tcPr>
            <w:tcW w:type="dxa" w:w="2880"/>
          </w:tcPr>
          <w:p>
            <w:r>
              <w:t>54,000</w:t>
            </w:r>
          </w:p>
        </w:tc>
        <w:tc>
          <w:tcPr>
            <w:tcW w:type="dxa" w:w="2880"/>
          </w:tcPr>
          <w:p>
            <w:r>
              <w:t>2 years</w:t>
            </w:r>
          </w:p>
        </w:tc>
      </w:tr>
      <w:tr>
        <w:tc>
          <w:tcPr>
            <w:tcW w:type="dxa" w:w="2880"/>
          </w:tcPr>
          <w:p>
            <w:r>
              <w:t>Ph.D</w:t>
            </w:r>
          </w:p>
        </w:tc>
        <w:tc>
          <w:tcPr>
            <w:tcW w:type="dxa" w:w="2880"/>
          </w:tcPr>
          <w:p>
            <w:r>
              <w:t>45,000</w:t>
            </w:r>
          </w:p>
        </w:tc>
        <w:tc>
          <w:tcPr>
            <w:tcW w:type="dxa" w:w="2880"/>
          </w:tcPr>
          <w:p>
            <w:r>
              <w:t>3-5 years</w:t>
            </w:r>
          </w:p>
        </w:tc>
      </w:tr>
    </w:tbl>
    <w:p>
      <w:pPr>
        <w:pStyle w:val="Heading1"/>
      </w:pPr>
      <w:r>
        <w:t>4. Facilities</w:t>
      </w:r>
    </w:p>
    <w:p>
      <w:pPr>
        <w:pStyle w:val="ListParagraph"/>
      </w:pPr>
      <w:r>
        <w:t>Central library with more than 42000 books and an e-resource subscription.</w:t>
      </w:r>
    </w:p>
    <w:p>
      <w:pPr>
        <w:pStyle w:val="ListParagraph"/>
      </w:pPr>
      <w:r>
        <w:t>Sixteen laboratories, including dedicated AI, VLSI and robotics labs.</w:t>
      </w:r>
    </w:p>
    <w:p>
      <w:pPr>
        <w:pStyle w:val="ListParagraph"/>
      </w:pPr>
      <w:r>
        <w:t>Boys and girls hostels on campus with a combined capacity of 1200 students.</w:t>
      </w:r>
    </w:p>
    <w:p>
      <w:pPr>
        <w:pStyle w:val="ListParagraph"/>
      </w:pPr>
      <w:r>
        <w:t>Sports complex with a cricket ground, football field, gymnasium and indoor courts.</w:t>
      </w:r>
    </w:p>
    <w:p>
      <w:pPr>
        <w:pStyle w:val="ListParagraph"/>
      </w:pPr>
      <w:r>
        <w:t>Transport fleet of 24 buses covering 40 routes across the district.</w:t>
      </w:r>
    </w:p>
    <w:p>
      <w:pPr>
        <w:pStyle w:val="ListParagraph"/>
      </w:pPr>
      <w:r>
        <w:t>Health centre, bank, post office, cafeteria and student activity club rooms on campus.</w:t>
      </w:r>
    </w:p>
    <w:p>
      <w:pPr>
        <w:pStyle w:val="Heading1"/>
      </w:pPr>
      <w:r>
        <w:t>5. Placements</w:t>
      </w:r>
    </w:p>
    <w:p>
      <w:r>
        <w:t>The Training and Placement cell runs a year-round programme that includes aptitude training, technical interview practice, mock interviews and company-specific placement clubs.</w:t>
      </w:r>
    </w:p>
    <w:p>
      <w:pPr>
        <w:pStyle w:val="Heading2"/>
      </w:pPr>
      <w:r>
        <w:t>Placement Trend by Batch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Batch</w:t>
            </w:r>
          </w:p>
        </w:tc>
        <w:tc>
          <w:tcPr>
            <w:tcW w:type="dxa" w:w="2160"/>
          </w:tcPr>
          <w:p>
            <w:r>
              <w:t>Students Placed</w:t>
            </w:r>
          </w:p>
        </w:tc>
        <w:tc>
          <w:tcPr>
            <w:tcW w:type="dxa" w:w="2160"/>
          </w:tcPr>
          <w:p>
            <w:r>
              <w:t>Placement Rate</w:t>
            </w:r>
          </w:p>
        </w:tc>
        <w:tc>
          <w:tcPr>
            <w:tcW w:type="dxa" w:w="2160"/>
          </w:tcPr>
          <w:p>
            <w:r>
              <w:t>Highest Package (LPA)</w:t>
            </w:r>
          </w:p>
        </w:tc>
      </w:tr>
      <w:tr>
        <w:tc>
          <w:tcPr>
            <w:tcW w:type="dxa" w:w="2160"/>
          </w:tcPr>
          <w:p>
            <w:r>
              <w:t>2021-2025</w:t>
            </w:r>
          </w:p>
        </w:tc>
        <w:tc>
          <w:tcPr>
            <w:tcW w:type="dxa" w:w="2160"/>
          </w:tcPr>
          <w:p>
            <w:r>
              <w:t>612</w:t>
            </w:r>
          </w:p>
        </w:tc>
        <w:tc>
          <w:tcPr>
            <w:tcW w:type="dxa" w:w="2160"/>
          </w:tcPr>
          <w:p>
            <w:r>
              <w:t>94%</w:t>
            </w:r>
          </w:p>
        </w:tc>
        <w:tc>
          <w:tcPr>
            <w:tcW w:type="dxa" w:w="2160"/>
          </w:tcPr>
          <w:p>
            <w:r>
              <w:t>32.5</w:t>
            </w:r>
          </w:p>
        </w:tc>
      </w:tr>
      <w:tr>
        <w:tc>
          <w:tcPr>
            <w:tcW w:type="dxa" w:w="2160"/>
          </w:tcPr>
          <w:p>
            <w:r>
              <w:t>2022-2026</w:t>
            </w:r>
          </w:p>
        </w:tc>
        <w:tc>
          <w:tcPr>
            <w:tcW w:type="dxa" w:w="2160"/>
          </w:tcPr>
          <w:p>
            <w:r>
              <w:t>648</w:t>
            </w:r>
          </w:p>
        </w:tc>
        <w:tc>
          <w:tcPr>
            <w:tcW w:type="dxa" w:w="2160"/>
          </w:tcPr>
          <w:p>
            <w:r>
              <w:t>96%</w:t>
            </w:r>
          </w:p>
        </w:tc>
        <w:tc>
          <w:tcPr>
            <w:tcW w:type="dxa" w:w="2160"/>
          </w:tcPr>
          <w:p>
            <w:r>
              <w:t>28.0</w:t>
            </w:r>
          </w:p>
        </w:tc>
      </w:tr>
      <w:tr>
        <w:tc>
          <w:tcPr>
            <w:tcW w:type="dxa" w:w="2160"/>
          </w:tcPr>
          <w:p>
            <w:r>
              <w:t>2023-2027</w:t>
            </w:r>
          </w:p>
        </w:tc>
        <w:tc>
          <w:tcPr>
            <w:tcW w:type="dxa" w:w="2160"/>
          </w:tcPr>
          <w:p>
            <w:r>
              <w:t>671</w:t>
            </w:r>
          </w:p>
        </w:tc>
        <w:tc>
          <w:tcPr>
            <w:tcW w:type="dxa" w:w="2160"/>
          </w:tcPr>
          <w:p>
            <w:r>
              <w:t>97%</w:t>
            </w:r>
          </w:p>
        </w:tc>
        <w:tc>
          <w:tcPr>
            <w:tcW w:type="dxa" w:w="2160"/>
          </w:tcPr>
          <w:p>
            <w:r>
              <w:t>35.0</w:t>
            </w:r>
          </w:p>
        </w:tc>
      </w:tr>
    </w:tbl>
    <w:p>
      <w:r>
        <w:t>The highest package of 35.0 LPA in the 2023-2027 batch was offered by Globex Technologies. The average package for the 2023-2027 batch is 9.2 LPA and the median package is 8.1 LPA. Top recruiters include Globex Technologies, Northwind Systems, Helio Networks, Quantbridge Analytics and Bluewave Software.</w:t>
      </w:r>
    </w:p>
    <w:p>
      <w:pPr>
        <w:pStyle w:val="Heading1"/>
      </w:pPr>
      <w:r>
        <w:t>6. Research</w:t>
      </w:r>
    </w:p>
    <w:p>
      <w:r>
        <w:t>Research activity is concentrated in artificial intelligence, wireless communication, power systems and sustainable materials. The college runs a Ph.D programme and supports faculty research through a seed-grant scheme.</w:t>
      </w:r>
    </w:p>
    <w:p>
      <w:pPr>
        <w:pStyle w:val="Heading1"/>
      </w:pPr>
      <w:r>
        <w:t>7. Contact</w:t>
      </w:r>
    </w:p>
    <w:p>
      <w:r>
        <w:t>Email: principal@example.edu</w:t>
      </w:r>
    </w:p>
    <w:p>
      <w:r>
        <w:t>Admissions: admissions@example.edu</w:t>
      </w:r>
    </w:p>
    <w:p>
      <w:r>
        <w:t>Phone: +91 40 4000 0000</w:t>
      </w:r>
    </w:p>
    <w:p>
      <w:r>
        <w:t>Website: www.example.edu</w:t>
      </w:r>
    </w:p>
    <w:p>
      <w:r>
        <w:t>The campus is located on the main campus road, 12 km from the city centre. The admissions office is open on all working days from 9:00 to 16:30.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