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A5E" w:rsidRDefault="00F94A5E" w:rsidP="00913926">
      <w:pPr>
        <w:pStyle w:val="berschrift1"/>
        <w:jc w:val="center"/>
      </w:pPr>
      <w:r>
        <w:t>Projekt Studienarbeit – Qualitätssichernde Maßnahmen</w:t>
      </w:r>
    </w:p>
    <w:p w:rsidR="00913926" w:rsidRPr="00913926" w:rsidRDefault="00913926" w:rsidP="00913926"/>
    <w:p w:rsidR="00F94A5E" w:rsidRDefault="00F94A5E" w:rsidP="00F94A5E">
      <w:pPr>
        <w:rPr>
          <w:sz w:val="24"/>
          <w:szCs w:val="24"/>
        </w:rPr>
      </w:pPr>
      <w:r>
        <w:rPr>
          <w:sz w:val="24"/>
          <w:szCs w:val="24"/>
        </w:rPr>
        <w:t>Die qualitätssichernden Maßnahmen tragen maßgeblich zum Erreichen des Ziels bei und sich sehr wichtig, um am Projektende ein gutes Ergebnis zu erlangen. Die nachfolgende Tabelle zeigt eine Übersicht der qualitätssichernden Maßnahmen des Projektes „Studienarbeit“.</w:t>
      </w:r>
    </w:p>
    <w:p w:rsidR="00913926" w:rsidRDefault="00913926" w:rsidP="00F94A5E">
      <w:pPr>
        <w:rPr>
          <w:sz w:val="24"/>
          <w:szCs w:val="24"/>
        </w:rPr>
      </w:pPr>
    </w:p>
    <w:tbl>
      <w:tblPr>
        <w:tblStyle w:val="Tabellenraster"/>
        <w:tblW w:w="0" w:type="auto"/>
        <w:jc w:val="center"/>
        <w:tblLook w:val="04A0" w:firstRow="1" w:lastRow="0" w:firstColumn="1" w:lastColumn="0" w:noHBand="0" w:noVBand="1"/>
      </w:tblPr>
      <w:tblGrid>
        <w:gridCol w:w="2972"/>
        <w:gridCol w:w="5909"/>
      </w:tblGrid>
      <w:tr w:rsidR="00F94A5E" w:rsidTr="00F94A5E">
        <w:trPr>
          <w:jc w:val="center"/>
        </w:trPr>
        <w:tc>
          <w:tcPr>
            <w:tcW w:w="2972" w:type="dxa"/>
            <w:shd w:val="clear" w:color="auto" w:fill="4472C4" w:themeFill="accent1"/>
          </w:tcPr>
          <w:p w:rsidR="00F94A5E" w:rsidRPr="00F94A5E" w:rsidRDefault="00F94A5E" w:rsidP="00F94A5E">
            <w:pPr>
              <w:jc w:val="center"/>
              <w:rPr>
                <w:color w:val="FFFFFF" w:themeColor="background1"/>
                <w:sz w:val="24"/>
                <w:szCs w:val="24"/>
              </w:rPr>
            </w:pPr>
            <w:r w:rsidRPr="00F94A5E">
              <w:rPr>
                <w:color w:val="FFFFFF" w:themeColor="background1"/>
                <w:sz w:val="24"/>
                <w:szCs w:val="24"/>
              </w:rPr>
              <w:t>QS-Maßnahme</w:t>
            </w:r>
          </w:p>
        </w:tc>
        <w:tc>
          <w:tcPr>
            <w:tcW w:w="5909" w:type="dxa"/>
            <w:shd w:val="clear" w:color="auto" w:fill="4472C4" w:themeFill="accent1"/>
          </w:tcPr>
          <w:p w:rsidR="00F94A5E" w:rsidRPr="00F94A5E" w:rsidRDefault="00F94A5E" w:rsidP="00F94A5E">
            <w:pPr>
              <w:jc w:val="center"/>
              <w:rPr>
                <w:color w:val="FFFFFF" w:themeColor="background1"/>
                <w:sz w:val="24"/>
                <w:szCs w:val="24"/>
              </w:rPr>
            </w:pPr>
            <w:r w:rsidRPr="00F94A5E">
              <w:rPr>
                <w:color w:val="FFFFFF" w:themeColor="background1"/>
                <w:sz w:val="24"/>
                <w:szCs w:val="24"/>
              </w:rPr>
              <w:t>Erklärung</w:t>
            </w:r>
          </w:p>
        </w:tc>
      </w:tr>
      <w:tr w:rsidR="00F94A5E" w:rsidTr="00F94A5E">
        <w:trPr>
          <w:jc w:val="center"/>
        </w:trPr>
        <w:tc>
          <w:tcPr>
            <w:tcW w:w="2972" w:type="dxa"/>
          </w:tcPr>
          <w:p w:rsidR="00F94A5E" w:rsidRPr="00F94A5E" w:rsidRDefault="00F94A5E" w:rsidP="00F94A5E">
            <w:pPr>
              <w:rPr>
                <w:sz w:val="24"/>
                <w:szCs w:val="24"/>
              </w:rPr>
            </w:pPr>
            <w:r w:rsidRPr="00F94A5E">
              <w:rPr>
                <w:sz w:val="24"/>
                <w:szCs w:val="24"/>
              </w:rPr>
              <w:t>Überprüfen der Funktionsweise der Hardware</w:t>
            </w:r>
            <w:r w:rsidR="008D11FC">
              <w:rPr>
                <w:sz w:val="24"/>
                <w:szCs w:val="24"/>
              </w:rPr>
              <w:t xml:space="preserve"> zu Projektstart</w:t>
            </w:r>
          </w:p>
        </w:tc>
        <w:tc>
          <w:tcPr>
            <w:tcW w:w="5909" w:type="dxa"/>
          </w:tcPr>
          <w:p w:rsidR="00F94A5E" w:rsidRPr="00F94A5E" w:rsidRDefault="00F94A5E" w:rsidP="00F94A5E">
            <w:pPr>
              <w:rPr>
                <w:sz w:val="24"/>
                <w:szCs w:val="24"/>
              </w:rPr>
            </w:pPr>
            <w:r>
              <w:rPr>
                <w:sz w:val="24"/>
                <w:szCs w:val="24"/>
              </w:rPr>
              <w:t xml:space="preserve">Das Durchführen einer Funktionsüberprüfung der Hardware (NAO-Roboter, HTC VIVE) ist entscheidend für die erfolgreiche Abwicklung des Projektes. Nicht funktionsfähige Hardware würde den Projektstart </w:t>
            </w:r>
            <w:r w:rsidR="00913926">
              <w:rPr>
                <w:sz w:val="24"/>
                <w:szCs w:val="24"/>
              </w:rPr>
              <w:t>nach hinten verschieben und dementsprechend Zeitverlust nach sich ziehen.</w:t>
            </w:r>
          </w:p>
        </w:tc>
      </w:tr>
      <w:tr w:rsidR="00F94A5E" w:rsidTr="00F94A5E">
        <w:trPr>
          <w:jc w:val="center"/>
        </w:trPr>
        <w:tc>
          <w:tcPr>
            <w:tcW w:w="2972" w:type="dxa"/>
          </w:tcPr>
          <w:p w:rsidR="00F94A5E" w:rsidRPr="00F94A5E" w:rsidRDefault="00913926" w:rsidP="00F94A5E">
            <w:pPr>
              <w:rPr>
                <w:sz w:val="24"/>
                <w:szCs w:val="24"/>
              </w:rPr>
            </w:pPr>
            <w:r>
              <w:rPr>
                <w:sz w:val="24"/>
                <w:szCs w:val="24"/>
              </w:rPr>
              <w:t>Backup der Dokumente und des Quellcodes auf GitHub</w:t>
            </w:r>
          </w:p>
        </w:tc>
        <w:tc>
          <w:tcPr>
            <w:tcW w:w="5909" w:type="dxa"/>
          </w:tcPr>
          <w:p w:rsidR="00F94A5E" w:rsidRPr="00F94A5E" w:rsidRDefault="00913926" w:rsidP="00F94A5E">
            <w:pPr>
              <w:rPr>
                <w:sz w:val="24"/>
                <w:szCs w:val="24"/>
              </w:rPr>
            </w:pPr>
            <w:r>
              <w:rPr>
                <w:sz w:val="24"/>
                <w:szCs w:val="24"/>
              </w:rPr>
              <w:t>Um einem Datenverlust vorzubeugen, sichern wir jedes neu erstellte Dokument sowie den Quellcode auf dem Versionierungstool GitHub. Somit wird gewährleistet, dass bei einem lokalen Datenverlust, die Daten aus dem Repository wieder repliziert werden können.</w:t>
            </w:r>
          </w:p>
        </w:tc>
      </w:tr>
      <w:tr w:rsidR="00F94A5E" w:rsidTr="00F94A5E">
        <w:trPr>
          <w:jc w:val="center"/>
        </w:trPr>
        <w:tc>
          <w:tcPr>
            <w:tcW w:w="2972" w:type="dxa"/>
          </w:tcPr>
          <w:p w:rsidR="00F94A5E" w:rsidRPr="00F94A5E" w:rsidRDefault="00913926" w:rsidP="00F94A5E">
            <w:pPr>
              <w:rPr>
                <w:sz w:val="24"/>
                <w:szCs w:val="24"/>
              </w:rPr>
            </w:pPr>
            <w:r>
              <w:rPr>
                <w:sz w:val="24"/>
                <w:szCs w:val="24"/>
              </w:rPr>
              <w:t>Kontinuierliche Absprachen mit dem Betreuer</w:t>
            </w:r>
            <w:r w:rsidR="008D11FC">
              <w:rPr>
                <w:sz w:val="24"/>
                <w:szCs w:val="24"/>
              </w:rPr>
              <w:t xml:space="preserve"> der Studienarbeit</w:t>
            </w:r>
          </w:p>
        </w:tc>
        <w:tc>
          <w:tcPr>
            <w:tcW w:w="5909" w:type="dxa"/>
          </w:tcPr>
          <w:p w:rsidR="00F94A5E" w:rsidRPr="00F94A5E" w:rsidRDefault="00913926" w:rsidP="00F94A5E">
            <w:pPr>
              <w:rPr>
                <w:sz w:val="24"/>
                <w:szCs w:val="24"/>
              </w:rPr>
            </w:pPr>
            <w:r>
              <w:rPr>
                <w:sz w:val="24"/>
                <w:szCs w:val="24"/>
              </w:rPr>
              <w:t>Durch kontinuierliche Absprachen mit dem Betreuer der Studienarbeit kann sichergestellt werden, dass der Entwicklungsstand mit den Erwartungen des Betreuers übereinstimmt.</w:t>
            </w:r>
          </w:p>
        </w:tc>
      </w:tr>
      <w:tr w:rsidR="00F94A5E" w:rsidTr="00F94A5E">
        <w:trPr>
          <w:jc w:val="center"/>
        </w:trPr>
        <w:tc>
          <w:tcPr>
            <w:tcW w:w="2972" w:type="dxa"/>
          </w:tcPr>
          <w:p w:rsidR="00F94A5E" w:rsidRPr="00F94A5E" w:rsidRDefault="002B4C42" w:rsidP="00F94A5E">
            <w:pPr>
              <w:rPr>
                <w:sz w:val="24"/>
                <w:szCs w:val="24"/>
              </w:rPr>
            </w:pPr>
            <w:r>
              <w:rPr>
                <w:sz w:val="24"/>
                <w:szCs w:val="24"/>
              </w:rPr>
              <w:t xml:space="preserve">Durchführung von Tests (Langzeittest, fehlerhafte Eingaben, Non </w:t>
            </w:r>
            <w:proofErr w:type="spellStart"/>
            <w:r>
              <w:rPr>
                <w:sz w:val="24"/>
                <w:szCs w:val="24"/>
              </w:rPr>
              <w:t>expected</w:t>
            </w:r>
            <w:proofErr w:type="spellEnd"/>
            <w:r>
              <w:rPr>
                <w:sz w:val="24"/>
                <w:szCs w:val="24"/>
              </w:rPr>
              <w:t xml:space="preserve"> </w:t>
            </w:r>
            <w:proofErr w:type="spellStart"/>
            <w:r>
              <w:rPr>
                <w:sz w:val="24"/>
                <w:szCs w:val="24"/>
              </w:rPr>
              <w:t>behavior</w:t>
            </w:r>
            <w:proofErr w:type="spellEnd"/>
            <w:r>
              <w:rPr>
                <w:sz w:val="24"/>
                <w:szCs w:val="24"/>
              </w:rPr>
              <w:t xml:space="preserve">, </w:t>
            </w:r>
            <w:bookmarkStart w:id="0" w:name="_GoBack"/>
            <w:bookmarkEnd w:id="0"/>
            <w:proofErr w:type="spellStart"/>
            <w:r>
              <w:rPr>
                <w:sz w:val="24"/>
                <w:szCs w:val="24"/>
              </w:rPr>
              <w:t>Verbindungsbbruch</w:t>
            </w:r>
            <w:proofErr w:type="spellEnd"/>
            <w:r>
              <w:rPr>
                <w:sz w:val="24"/>
                <w:szCs w:val="24"/>
              </w:rPr>
              <w:t>, Stresstest)</w:t>
            </w:r>
          </w:p>
        </w:tc>
        <w:tc>
          <w:tcPr>
            <w:tcW w:w="5909" w:type="dxa"/>
          </w:tcPr>
          <w:p w:rsidR="00F94A5E" w:rsidRPr="00F94A5E" w:rsidRDefault="002B4C42" w:rsidP="00F94A5E">
            <w:pPr>
              <w:rPr>
                <w:sz w:val="24"/>
                <w:szCs w:val="24"/>
              </w:rPr>
            </w:pPr>
            <w:r>
              <w:rPr>
                <w:sz w:val="24"/>
                <w:szCs w:val="24"/>
              </w:rPr>
              <w:t>Die Durchführung der Test nach den Implementierungsphasen dient dazu, die Funktionsweise der Anwendung sicher zu stellen. Durch die Vielzahl der Testtypen kann gewährleistet werden, dass alle Komponenten der Anwendungen auch unter extremen Bedingungen einwandfrei funktionieren.</w:t>
            </w:r>
          </w:p>
        </w:tc>
      </w:tr>
      <w:tr w:rsidR="00F94A5E" w:rsidTr="00F94A5E">
        <w:trPr>
          <w:jc w:val="center"/>
        </w:trPr>
        <w:tc>
          <w:tcPr>
            <w:tcW w:w="2972" w:type="dxa"/>
          </w:tcPr>
          <w:p w:rsidR="00F94A5E" w:rsidRPr="00F94A5E" w:rsidRDefault="00F94A5E" w:rsidP="00F94A5E">
            <w:pPr>
              <w:rPr>
                <w:sz w:val="24"/>
                <w:szCs w:val="24"/>
              </w:rPr>
            </w:pPr>
          </w:p>
        </w:tc>
        <w:tc>
          <w:tcPr>
            <w:tcW w:w="5909" w:type="dxa"/>
          </w:tcPr>
          <w:p w:rsidR="00F94A5E" w:rsidRPr="00F94A5E" w:rsidRDefault="00F94A5E" w:rsidP="00F94A5E">
            <w:pPr>
              <w:rPr>
                <w:sz w:val="24"/>
                <w:szCs w:val="24"/>
              </w:rPr>
            </w:pPr>
          </w:p>
        </w:tc>
      </w:tr>
      <w:tr w:rsidR="00F94A5E" w:rsidTr="00F94A5E">
        <w:trPr>
          <w:jc w:val="center"/>
        </w:trPr>
        <w:tc>
          <w:tcPr>
            <w:tcW w:w="2972" w:type="dxa"/>
          </w:tcPr>
          <w:p w:rsidR="00F94A5E" w:rsidRPr="00F94A5E" w:rsidRDefault="00F94A5E" w:rsidP="00F94A5E">
            <w:pPr>
              <w:rPr>
                <w:sz w:val="24"/>
                <w:szCs w:val="24"/>
              </w:rPr>
            </w:pPr>
          </w:p>
        </w:tc>
        <w:tc>
          <w:tcPr>
            <w:tcW w:w="5909" w:type="dxa"/>
          </w:tcPr>
          <w:p w:rsidR="00F94A5E" w:rsidRPr="00F94A5E" w:rsidRDefault="00F94A5E" w:rsidP="00F94A5E">
            <w:pPr>
              <w:rPr>
                <w:sz w:val="24"/>
                <w:szCs w:val="24"/>
              </w:rPr>
            </w:pPr>
          </w:p>
        </w:tc>
      </w:tr>
      <w:tr w:rsidR="00F94A5E" w:rsidTr="00F94A5E">
        <w:trPr>
          <w:jc w:val="center"/>
        </w:trPr>
        <w:tc>
          <w:tcPr>
            <w:tcW w:w="2972" w:type="dxa"/>
          </w:tcPr>
          <w:p w:rsidR="00F94A5E" w:rsidRPr="00F94A5E" w:rsidRDefault="00F94A5E" w:rsidP="00F94A5E">
            <w:pPr>
              <w:rPr>
                <w:sz w:val="24"/>
                <w:szCs w:val="24"/>
              </w:rPr>
            </w:pPr>
          </w:p>
        </w:tc>
        <w:tc>
          <w:tcPr>
            <w:tcW w:w="5909" w:type="dxa"/>
          </w:tcPr>
          <w:p w:rsidR="00F94A5E" w:rsidRPr="00F94A5E" w:rsidRDefault="00F94A5E" w:rsidP="00F94A5E">
            <w:pPr>
              <w:rPr>
                <w:sz w:val="24"/>
                <w:szCs w:val="24"/>
              </w:rPr>
            </w:pPr>
          </w:p>
        </w:tc>
      </w:tr>
    </w:tbl>
    <w:p w:rsidR="00F94A5E" w:rsidRPr="00F94A5E" w:rsidRDefault="00F94A5E" w:rsidP="00F94A5E">
      <w:pPr>
        <w:rPr>
          <w:sz w:val="24"/>
          <w:szCs w:val="24"/>
        </w:rPr>
      </w:pPr>
    </w:p>
    <w:sectPr w:rsidR="00F94A5E" w:rsidRPr="00F94A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5E"/>
    <w:rsid w:val="002B4C42"/>
    <w:rsid w:val="008D11FC"/>
    <w:rsid w:val="00913926"/>
    <w:rsid w:val="00AD6D00"/>
    <w:rsid w:val="00F94A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DCA4"/>
  <w15:chartTrackingRefBased/>
  <w15:docId w15:val="{DB02BB74-120F-46AB-B6FE-53BC97D0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4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4A5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9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56DB9-3421-48C8-9AE0-FD3E1A069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Schmidt</dc:creator>
  <cp:keywords/>
  <dc:description/>
  <cp:lastModifiedBy>Isabella Schmidt</cp:lastModifiedBy>
  <cp:revision>2</cp:revision>
  <dcterms:created xsi:type="dcterms:W3CDTF">2018-11-18T18:53:00Z</dcterms:created>
  <dcterms:modified xsi:type="dcterms:W3CDTF">2018-11-21T12:02:00Z</dcterms:modified>
</cp:coreProperties>
</file>