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Arial" w:hAnsi="Arial"/>
          <w:b/>
          <w:color w:val="2E74B5"/>
          <w:sz w:val="18"/>
        </w:rPr>
        <w:t>ARCHITECTURE DECISION MEMO</w:t>
      </w:r>
    </w:p>
    <w:p>
      <w:pPr>
        <w:spacing w:after="100"/>
      </w:pPr>
      <w:r>
        <w:rPr>
          <w:rFonts w:ascii="Arial" w:hAnsi="Arial"/>
          <w:b/>
          <w:color w:val="0F172A"/>
          <w:sz w:val="52"/>
        </w:rPr>
        <w:t>Open Forecast Library</w:t>
      </w:r>
    </w:p>
    <w:p>
      <w:pPr>
        <w:spacing w:after="320"/>
      </w:pPr>
      <w:r>
        <w:rPr>
          <w:rFonts w:ascii="Arial" w:hAnsi="Arial"/>
          <w:color w:val="64748B"/>
          <w:sz w:val="28"/>
        </w:rPr>
        <w:t>Semantic entity, publisher, database, and blockchain proof architecture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  <w:insideH w:val="single" w:sz="2" w:space="0" w:color="E2E8F0"/>
          <w:insideV w:val="single" w:sz="2" w:space="0" w:color="E2E8F0"/>
        </w:tblBorders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F2F4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76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8"/>
              </w:rPr>
              <w:t>Implemented staging baseline</w:t>
            </w:r>
          </w:p>
        </w:tc>
      </w:tr>
      <w:tr>
        <w:trPr>
          <w:cantSplit/>
        </w:trPr>
        <w:tc>
          <w:tcPr>
            <w:tcW w:type="dxa" w:w="1600"/>
            <w:shd w:fill="F2F4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Version</w:t>
            </w:r>
          </w:p>
        </w:tc>
        <w:tc>
          <w:tcPr>
            <w:tcW w:type="dxa" w:w="776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8"/>
              </w:rPr>
              <w:t>0.1</w:t>
            </w:r>
          </w:p>
        </w:tc>
      </w:tr>
      <w:tr>
        <w:trPr>
          <w:cantSplit/>
        </w:trPr>
        <w:tc>
          <w:tcPr>
            <w:tcW w:type="dxa" w:w="1600"/>
            <w:shd w:fill="F2F4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Date</w:t>
            </w:r>
          </w:p>
        </w:tc>
        <w:tc>
          <w:tcPr>
            <w:tcW w:type="dxa" w:w="776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8"/>
              </w:rPr>
              <w:t>12 August 2026</w:t>
            </w:r>
          </w:p>
        </w:tc>
      </w:tr>
      <w:tr>
        <w:trPr>
          <w:cantSplit/>
        </w:trPr>
        <w:tc>
          <w:tcPr>
            <w:tcW w:type="dxa" w:w="1600"/>
            <w:shd w:fill="F2F4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Prepared for</w:t>
            </w:r>
          </w:p>
        </w:tc>
        <w:tc>
          <w:tcPr>
            <w:tcW w:type="dxa" w:w="776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8"/>
              </w:rPr>
              <w:t>Future Edge Group FZE / iPulse AI</w:t>
            </w:r>
          </w:p>
        </w:tc>
      </w:tr>
      <w:tr>
        <w:trPr>
          <w:cantSplit/>
        </w:trPr>
        <w:tc>
          <w:tcPr>
            <w:tcW w:type="dxa" w:w="1600"/>
            <w:shd w:fill="F2F4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Decision</w:t>
            </w:r>
          </w:p>
        </w:tc>
        <w:tc>
          <w:tcPr>
            <w:tcW w:type="dxa" w:w="776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8"/>
              </w:rPr>
              <w:t>Adopt Entity -&gt; Target -&gt; Forecast -&gt; Receipt -&gt; Proof -&gt; Evaluation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47857"/>
          <w:left w:val="single" w:sz="8" w:space="0" w:color="047857"/>
          <w:bottom w:val="single" w:sz="8" w:space="0" w:color="047857"/>
          <w:right w:val="single" w:sz="8" w:space="0" w:color="047857"/>
          <w:insideH w:val="single" w:sz="8" w:space="0" w:color="047857"/>
          <w:insideV w:val="single" w:sz="8" w:space="0" w:color="047857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CFDF5"/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2"/>
              </w:rPr>
              <w:t>Recommendation: keep Firestore as the governed operational catalog, use BigQuery only as an analytics mirror, and publish blockchain proofs through a dedicated KMS-controlled Base signer. iPulse AI is the first publisher profile, not the name of the Library.</w:t>
            </w:r>
          </w:p>
        </w:tc>
      </w:tr>
    </w:tbl>
    <w:p>
      <w:pPr>
        <w:spacing w:after="0"/>
      </w:pP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1"/>
      </w:pPr>
      <w:r>
        <w:t>Executive decision</w:t>
      </w:r>
    </w:p>
    <w:p>
      <w:r>
        <w:rPr>
          <w:rFonts w:ascii="Arial" w:hAnsi="Arial"/>
          <w:color w:val="263244"/>
          <w:sz w:val="22"/>
        </w:rPr>
        <w:t xml:space="preserve">Adopt an </w:t>
      </w:r>
      <w:r>
        <w:rPr>
          <w:rFonts w:ascii="Arial" w:hAnsi="Arial"/>
          <w:b/>
          <w:color w:val="263244"/>
          <w:sz w:val="22"/>
        </w:rPr>
        <w:t>Entity -&gt; Target -&gt; Forecast -&gt; Receipt -&gt; Proof -&gt; Evaluation</w:t>
      </w:r>
      <w:r>
        <w:rPr>
          <w:rFonts w:ascii="Arial" w:hAnsi="Arial"/>
          <w:color w:val="263244"/>
          <w:sz w:val="22"/>
        </w:rPr>
        <w:t xml:space="preserve"> architecture, with explicit publisher and provenance layers around it.</w:t>
      </w:r>
    </w:p>
    <w:p>
      <w:r>
        <w:rPr>
          <w:rFonts w:ascii="Arial" w:hAnsi="Arial"/>
          <w:color w:val="263244"/>
          <w:sz w:val="22"/>
        </w:rPr>
        <w:t xml:space="preserve">The immediate product should no longer be framed as an "iPulse AI Showcase." It is the </w:t>
      </w:r>
      <w:r>
        <w:rPr>
          <w:rFonts w:ascii="Arial" w:hAnsi="Arial"/>
          <w:b/>
          <w:color w:val="263244"/>
          <w:sz w:val="22"/>
        </w:rPr>
        <w:t>Open Forecast Library</w:t>
      </w:r>
      <w:r>
        <w:rPr>
          <w:rFonts w:ascii="Arial" w:hAnsi="Arial"/>
          <w:color w:val="263244"/>
          <w:sz w:val="22"/>
        </w:rPr>
        <w:t>, and iPulse AI is its first publisher profile. A useful public label is: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47857"/>
          <w:left w:val="single" w:sz="8" w:space="0" w:color="047857"/>
          <w:bottom w:val="single" w:sz="8" w:space="0" w:color="047857"/>
          <w:right w:val="single" w:sz="8" w:space="0" w:color="047857"/>
          <w:insideH w:val="single" w:sz="8" w:space="0" w:color="047857"/>
          <w:insideV w:val="single" w:sz="8" w:space="0" w:color="047857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CFDF5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22"/>
              </w:rPr>
              <w:t>Forecast Library</w:t>
            </w:r>
            <w:r>
              <w:rPr>
                <w:rFonts w:ascii="Arial" w:hAnsi="Arial"/>
                <w:color w:val="0F172A"/>
                <w:sz w:val="22"/>
              </w:rPr>
              <w:t xml:space="preserve">  |  Publisher: iPulse AI  |  Published by Future Edge Group FZE</w:t>
            </w:r>
          </w:p>
        </w:tc>
      </w:tr>
    </w:tbl>
    <w:p>
      <w:pPr>
        <w:spacing w:after="0"/>
      </w:pPr>
    </w:p>
    <w:p>
      <w:r>
        <w:rPr>
          <w:rFonts w:ascii="Arial" w:hAnsi="Arial"/>
          <w:color w:val="263244"/>
          <w:sz w:val="22"/>
        </w:rPr>
        <w:t>This preserves three different facts that should not be collapsed: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/>
          <w:b/>
          <w:color w:val="263244"/>
          <w:sz w:val="22"/>
        </w:rPr>
        <w:t>Future Edge Group FZE</w:t>
      </w:r>
      <w:r>
        <w:rPr>
          <w:rFonts w:ascii="Arial" w:hAnsi="Arial"/>
          <w:color w:val="263244"/>
          <w:sz w:val="22"/>
        </w:rPr>
        <w:t xml:space="preserve"> is the accountable legal organization.</w:t>
      </w:r>
      <w:r>
        <w:br/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/>
          <w:b/>
          <w:color w:val="263244"/>
          <w:sz w:val="22"/>
        </w:rPr>
        <w:t>iPulse AI</w:t>
      </w:r>
      <w:r>
        <w:rPr>
          <w:rFonts w:ascii="Arial" w:hAnsi="Arial"/>
          <w:color w:val="263244"/>
          <w:sz w:val="22"/>
        </w:rPr>
        <w:t xml:space="preserve"> is a product and brand owned and operated by that organization.</w:t>
      </w:r>
      <w:r>
        <w:br/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/>
          <w:b/>
          <w:color w:val="263244"/>
          <w:sz w:val="22"/>
        </w:rPr>
        <w:t>iPulse AI Research Team</w:t>
      </w:r>
      <w:r>
        <w:rPr>
          <w:rFonts w:ascii="Arial" w:hAnsi="Arial"/>
          <w:color w:val="263244"/>
          <w:sz w:val="22"/>
        </w:rPr>
        <w:t xml:space="preserve"> may be an operating team, but the product itself is not merely a team.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r>
        <w:rPr>
          <w:rFonts w:ascii="Arial" w:hAnsi="Arial"/>
          <w:color w:val="263244"/>
          <w:sz w:val="22"/>
        </w:rPr>
        <w:t xml:space="preserve">The operational catalog should remain in </w:t>
      </w:r>
      <w:r>
        <w:rPr>
          <w:rFonts w:ascii="Arial" w:hAnsi="Arial"/>
          <w:b/>
          <w:color w:val="263244"/>
          <w:sz w:val="22"/>
        </w:rPr>
        <w:t>Firestore Standard</w:t>
      </w:r>
      <w:r>
        <w:rPr>
          <w:rFonts w:ascii="Arial" w:hAnsi="Arial"/>
          <w:color w:val="263244"/>
          <w:sz w:val="22"/>
        </w:rPr>
        <w:t xml:space="preserve"> in </w:t>
      </w:r>
      <w:r>
        <w:rPr>
          <w:rFonts w:ascii="Consolas" w:hAnsi="Consolas"/>
          <w:color w:val="1F4D78"/>
          <w:sz w:val="20"/>
        </w:rPr>
        <w:t>us-central1</w:t>
      </w:r>
      <w:r>
        <w:rPr>
          <w:rFonts w:ascii="Arial" w:hAnsi="Arial"/>
          <w:color w:val="263244"/>
          <w:sz w:val="22"/>
        </w:rPr>
        <w:t>. Firestore is the authoritative system for governed entities, targets, submissions, editorial decisions, receipts, proofs, and public read projections. BigQuery should receive an optional analytics mirror; it should not be the submission or editorial system of record.</w:t>
      </w:r>
    </w:p>
    <w:p>
      <w:r>
        <w:rPr>
          <w:rFonts w:ascii="Arial" w:hAnsi="Arial"/>
          <w:color w:val="263244"/>
          <w:sz w:val="22"/>
        </w:rPr>
        <w:t xml:space="preserve">For blockchain publication, use a dedicated service wallet controlled by Google Cloud KMS. The web application never receives a private key and visitors do not connect a wallet. Every forecast receipt remains an independent EAS attestation with its own attestation UID, even when multiple attestations are transported in one </w:t>
      </w:r>
      <w:r>
        <w:rPr>
          <w:rFonts w:ascii="Consolas" w:hAnsi="Consolas"/>
          <w:color w:val="1F4D78"/>
          <w:sz w:val="20"/>
        </w:rPr>
        <w:t>multiAttest</w:t>
      </w:r>
      <w:r>
        <w:rPr>
          <w:rFonts w:ascii="Arial" w:hAnsi="Arial"/>
          <w:color w:val="263244"/>
          <w:sz w:val="22"/>
        </w:rPr>
        <w:t xml:space="preserve"> transaction.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1"/>
      </w:pPr>
      <w:r>
        <w:t>1. What was confusing and how to fix it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1.1 "iPulse AI Showcase" is too narrow</w:t>
      </w:r>
    </w:p>
    <w:p>
      <w:r>
        <w:rPr>
          <w:rFonts w:ascii="Arial" w:hAnsi="Arial"/>
          <w:color w:val="263244"/>
          <w:sz w:val="22"/>
        </w:rPr>
        <w:t>The current phrase makes the Library look like a branded demo rather than a general forecasting infrastructure product. It also mixes the container with one contributor.</w:t>
      </w:r>
    </w:p>
    <w:p>
      <w:r>
        <w:rPr>
          <w:rFonts w:ascii="Arial" w:hAnsi="Arial"/>
          <w:color w:val="263244"/>
          <w:sz w:val="22"/>
        </w:rPr>
        <w:t>Use these concepts instead:</w:t>
      </w:r>
    </w:p>
    <w:p>
      <w:pPr>
        <w:numPr>
          <w:ilvl w:val="0"/>
          <w:numId w:val="11"/>
        </w:numPr>
        <w:spacing w:before="0" w:after="60" w:line="264" w:lineRule="auto"/>
      </w:pPr>
      <w:r>
        <w:rPr>
          <w:rFonts w:ascii="Arial" w:hAnsi="Arial"/>
          <w:b/>
          <w:color w:val="263244"/>
          <w:sz w:val="22"/>
        </w:rPr>
        <w:t>Library:</w:t>
      </w:r>
      <w:r>
        <w:rPr>
          <w:rFonts w:ascii="Arial" w:hAnsi="Arial"/>
          <w:color w:val="263244"/>
          <w:sz w:val="22"/>
        </w:rPr>
        <w:t xml:space="preserve"> the overall public catalog and verification interface.</w:t>
      </w:r>
      <w:r>
        <w:br/>
      </w:r>
    </w:p>
    <w:p>
      <w:pPr>
        <w:numPr>
          <w:ilvl w:val="0"/>
          <w:numId w:val="11"/>
        </w:numPr>
        <w:spacing w:before="0" w:after="60" w:line="264" w:lineRule="auto"/>
      </w:pPr>
      <w:r>
        <w:rPr>
          <w:rFonts w:ascii="Arial" w:hAnsi="Arial"/>
          <w:b/>
          <w:color w:val="263244"/>
          <w:sz w:val="22"/>
        </w:rPr>
        <w:t>Collection:</w:t>
      </w:r>
      <w:r>
        <w:rPr>
          <w:rFonts w:ascii="Arial" w:hAnsi="Arial"/>
          <w:color w:val="263244"/>
          <w:sz w:val="22"/>
        </w:rPr>
        <w:t xml:space="preserve"> a curated set of forecasts, such as "iPulse AI Market Forecasts - Batch 6."</w:t>
      </w:r>
      <w:r>
        <w:br/>
      </w:r>
    </w:p>
    <w:p>
      <w:pPr>
        <w:numPr>
          <w:ilvl w:val="0"/>
          <w:numId w:val="11"/>
        </w:numPr>
        <w:spacing w:before="0" w:after="60" w:line="264" w:lineRule="auto"/>
      </w:pPr>
      <w:r>
        <w:rPr>
          <w:rFonts w:ascii="Arial" w:hAnsi="Arial"/>
          <w:b/>
          <w:color w:val="263244"/>
          <w:sz w:val="22"/>
        </w:rPr>
        <w:t>Publisher profile:</w:t>
      </w:r>
      <w:r>
        <w:rPr>
          <w:rFonts w:ascii="Arial" w:hAnsi="Arial"/>
          <w:color w:val="263244"/>
          <w:sz w:val="22"/>
        </w:rPr>
        <w:t xml:space="preserve"> the public identity under which a collection is released, such as iPulse AI.</w:t>
      </w:r>
      <w:r>
        <w:br/>
      </w:r>
    </w:p>
    <w:p>
      <w:pPr>
        <w:numPr>
          <w:ilvl w:val="0"/>
          <w:numId w:val="11"/>
        </w:numPr>
        <w:spacing w:before="0" w:after="60" w:line="264" w:lineRule="auto"/>
      </w:pPr>
      <w:r>
        <w:rPr>
          <w:rFonts w:ascii="Arial" w:hAnsi="Arial"/>
          <w:b/>
          <w:color w:val="263244"/>
          <w:sz w:val="22"/>
        </w:rPr>
        <w:t>Accountable publisher:</w:t>
      </w:r>
      <w:r>
        <w:rPr>
          <w:rFonts w:ascii="Arial" w:hAnsi="Arial"/>
          <w:color w:val="263244"/>
          <w:sz w:val="22"/>
        </w:rPr>
        <w:t xml:space="preserve"> the person or organization legally responsible for publication, such as Future Edge Group FZE.</w:t>
      </w:r>
      <w:r>
        <w:br/>
      </w:r>
    </w:p>
    <w:p>
      <w:pPr>
        <w:numPr>
          <w:ilvl w:val="0"/>
          <w:numId w:val="11"/>
        </w:numPr>
        <w:spacing w:before="0" w:after="60" w:line="264" w:lineRule="auto"/>
      </w:pPr>
      <w:r>
        <w:rPr>
          <w:rFonts w:ascii="Arial" w:hAnsi="Arial"/>
          <w:b/>
          <w:color w:val="263244"/>
          <w:sz w:val="22"/>
        </w:rPr>
        <w:t>Operating team:</w:t>
      </w:r>
      <w:r>
        <w:rPr>
          <w:rFonts w:ascii="Arial" w:hAnsi="Arial"/>
          <w:color w:val="263244"/>
          <w:sz w:val="22"/>
        </w:rPr>
        <w:t xml:space="preserve"> an optional team that prepared or managed the release.</w:t>
      </w:r>
      <w:r>
        <w:br/>
      </w:r>
    </w:p>
    <w:p>
      <w:pPr>
        <w:numPr>
          <w:ilvl w:val="0"/>
          <w:numId w:val="11"/>
        </w:numPr>
        <w:spacing w:before="0" w:after="60" w:line="264" w:lineRule="auto"/>
      </w:pPr>
      <w:r>
        <w:rPr>
          <w:rFonts w:ascii="Arial" w:hAnsi="Arial"/>
          <w:b/>
          <w:color w:val="263244"/>
          <w:sz w:val="22"/>
        </w:rPr>
        <w:t>Submitter:</w:t>
      </w:r>
      <w:r>
        <w:rPr>
          <w:rFonts w:ascii="Arial" w:hAnsi="Arial"/>
          <w:color w:val="263244"/>
          <w:sz w:val="22"/>
        </w:rPr>
        <w:t xml:space="preserve"> the authenticated human or service that sent the data to OFL.</w:t>
      </w:r>
      <w:r>
        <w:br/>
      </w:r>
    </w:p>
    <w:p>
      <w:pPr>
        <w:numPr>
          <w:ilvl w:val="0"/>
          <w:numId w:val="11"/>
        </w:numPr>
        <w:spacing w:before="0" w:after="60" w:line="264" w:lineRule="auto"/>
      </w:pPr>
      <w:r>
        <w:rPr>
          <w:rFonts w:ascii="Arial" w:hAnsi="Arial"/>
          <w:b/>
          <w:color w:val="263244"/>
          <w:sz w:val="22"/>
        </w:rPr>
        <w:t>Forecaster:</w:t>
      </w:r>
      <w:r>
        <w:rPr>
          <w:rFonts w:ascii="Arial" w:hAnsi="Arial"/>
          <w:color w:val="263244"/>
          <w:sz w:val="22"/>
        </w:rPr>
        <w:t xml:space="preserve"> the human, AI system, algorithm, ensemble, organization, or hybrid system that generated the forecast.</w:t>
      </w:r>
      <w:r>
        <w:br/>
      </w:r>
    </w:p>
    <w:p>
      <w:pPr>
        <w:numPr>
          <w:ilvl w:val="0"/>
          <w:numId w:val="11"/>
        </w:numPr>
        <w:spacing w:before="0" w:after="60" w:line="264" w:lineRule="auto"/>
      </w:pPr>
      <w:r>
        <w:rPr>
          <w:rFonts w:ascii="Arial" w:hAnsi="Arial"/>
          <w:b/>
          <w:color w:val="263244"/>
          <w:sz w:val="22"/>
        </w:rPr>
        <w:t>Reviewer:</w:t>
      </w:r>
      <w:r>
        <w:rPr>
          <w:rFonts w:ascii="Arial" w:hAnsi="Arial"/>
          <w:color w:val="263244"/>
          <w:sz w:val="22"/>
        </w:rPr>
        <w:t xml:space="preserve"> a human, AI system, algorithm, or organization that reviewed a particular forecast.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r>
        <w:rPr>
          <w:rFonts w:ascii="Arial" w:hAnsi="Arial"/>
          <w:color w:val="263244"/>
          <w:sz w:val="22"/>
        </w:rPr>
        <w:t>These are roles, not synonyms.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1.2 Recommended Future Edge structure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6"/>
              </w:rPr>
              <w:t>Future Edge Group FZE                     Organization / accountable party</w:t>
              <w:br/>
              <w:t xml:space="preserve">  |</w:t>
              <w:br/>
              <w:t xml:space="preserve">  +-- iPulse AI                           Product + brand</w:t>
              <w:br/>
              <w:t xml:space="preserve">        |</w:t>
              <w:br/>
              <w:t xml:space="preserve">        +-- iPulse AI Research Team       Optional operating team</w:t>
              <w:br/>
              <w:t xml:space="preserve">        |</w:t>
              <w:br/>
              <w:t xml:space="preserve">        +-- iPulse AI publisher profile   Public Library publishing identity</w:t>
            </w:r>
          </w:p>
        </w:tc>
      </w:tr>
    </w:tbl>
    <w:p>
      <w:pPr>
        <w:spacing w:after="0"/>
      </w:pPr>
    </w:p>
    <w:p>
      <w:r>
        <w:rPr>
          <w:rFonts w:ascii="Arial" w:hAnsi="Arial"/>
          <w:color w:val="263244"/>
          <w:sz w:val="22"/>
        </w:rPr>
        <w:t xml:space="preserve">The publisher profile is an application object, not a claim that a brand is a legal person. In public JSON-LD, the Schema.org </w:t>
      </w:r>
      <w:r>
        <w:rPr>
          <w:rFonts w:ascii="Consolas" w:hAnsi="Consolas"/>
          <w:color w:val="1F4D78"/>
          <w:sz w:val="20"/>
        </w:rPr>
        <w:t>publisher</w:t>
      </w:r>
      <w:r>
        <w:rPr>
          <w:rFonts w:ascii="Arial" w:hAnsi="Arial"/>
          <w:color w:val="263244"/>
          <w:sz w:val="22"/>
        </w:rPr>
        <w:t xml:space="preserve"> should therefore be Future Edge Group FZE, while iPulse AI is represented as the brand/product/source identity. Schema.org defines a brand as a name used by an organization for a product or product group, restricts </w:t>
      </w:r>
      <w:r>
        <w:rPr>
          <w:rFonts w:ascii="Consolas" w:hAnsi="Consolas"/>
          <w:color w:val="1F4D78"/>
          <w:sz w:val="20"/>
        </w:rPr>
        <w:t>publisher</w:t>
      </w:r>
      <w:r>
        <w:rPr>
          <w:rFonts w:ascii="Arial" w:hAnsi="Arial"/>
          <w:color w:val="263244"/>
          <w:sz w:val="22"/>
        </w:rPr>
        <w:t xml:space="preserve"> to a person or organization, and supports parent/sub-organization relationships and time-qualified organization roles. [1][2][3]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1.3 Do not use "Team" or "Group" as the universal container</w:t>
      </w:r>
    </w:p>
    <w:p>
      <w:r>
        <w:rPr>
          <w:rFonts w:ascii="Arial" w:hAnsi="Arial"/>
          <w:color w:val="263244"/>
          <w:sz w:val="22"/>
        </w:rPr>
        <w:t xml:space="preserve">"Team" excludes individual publishers and legal organizations. "Group" is informal and conflicts with Future Edge Group's legal name. The universal user-facing term should be </w:t>
      </w:r>
      <w:r>
        <w:rPr>
          <w:rFonts w:ascii="Arial" w:hAnsi="Arial"/>
          <w:b/>
          <w:color w:val="263244"/>
          <w:sz w:val="22"/>
        </w:rPr>
        <w:t>Publisher</w:t>
      </w:r>
      <w:r>
        <w:rPr>
          <w:rFonts w:ascii="Arial" w:hAnsi="Arial"/>
          <w:color w:val="263244"/>
          <w:sz w:val="22"/>
        </w:rPr>
        <w:t>. Internally, a publisher profile may point to:</w:t>
      </w:r>
    </w:p>
    <w:p>
      <w:pPr>
        <w:numPr>
          <w:ilvl w:val="0"/>
          <w:numId w:val="12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an accountable organization or person;</w:t>
      </w:r>
      <w:r>
        <w:br/>
      </w:r>
    </w:p>
    <w:p>
      <w:pPr>
        <w:numPr>
          <w:ilvl w:val="0"/>
          <w:numId w:val="12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a product or brand;</w:t>
      </w:r>
      <w:r>
        <w:br/>
      </w:r>
    </w:p>
    <w:p>
      <w:pPr>
        <w:numPr>
          <w:ilvl w:val="0"/>
          <w:numId w:val="12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an optional operating team;</w:t>
      </w:r>
      <w:r>
        <w:br/>
      </w:r>
    </w:p>
    <w:p>
      <w:pPr>
        <w:numPr>
          <w:ilvl w:val="0"/>
          <w:numId w:val="12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one or more authorized submitters.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1"/>
      </w:pPr>
      <w:r>
        <w:t>2. Core semantic model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2.1 The complete chain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6"/>
              </w:rPr>
              <w:t>Publisher context</w:t>
              <w:br/>
              <w:t xml:space="preserve">  Organization -&gt; Product/Brand -&gt; Team -&gt; Publisher Profile -&gt; Submitter</w:t>
              <w:br/>
              <w:br/>
              <w:t>Forecast knowledge graph</w:t>
              <w:br/>
              <w:t xml:space="preserve">  Domain -&gt; Entity -&gt; Target -&gt; Forecaster -&gt; Forecast -&gt; Receipt -&gt; Proof -&gt; Evaluation</w:t>
              <w:br/>
              <w:br/>
              <w:t>Governance around both</w:t>
              <w:br/>
              <w:t xml:space="preserve">  Candidate -&gt; Editorial Review -&gt; Approved Version -&gt; Public Projection</w:t>
            </w:r>
          </w:p>
        </w:tc>
      </w:tr>
    </w:tbl>
    <w:p>
      <w:pPr>
        <w:spacing w:after="0"/>
      </w:pP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2.2 Entity, subject, and target</w:t>
      </w:r>
    </w:p>
    <w:p>
      <w:r>
        <w:rPr>
          <w:rFonts w:ascii="Arial" w:hAnsi="Arial"/>
          <w:b/>
          <w:color w:val="263244"/>
          <w:sz w:val="22"/>
        </w:rPr>
        <w:t>Entity</w:t>
      </w:r>
      <w:r>
        <w:rPr>
          <w:rFonts w:ascii="Arial" w:hAnsi="Arial"/>
          <w:color w:val="263244"/>
          <w:sz w:val="22"/>
        </w:rPr>
        <w:t xml:space="preserve"> should be the canonical Library term for a real or conceptual thing with persistent identity: a company, listed security, cryptocurrency, person, team, location, event, weather station, crop, disease, policy proposal, or other forecastable object.</w:t>
      </w:r>
    </w:p>
    <w:p>
      <w:r>
        <w:rPr>
          <w:rFonts w:ascii="Arial" w:hAnsi="Arial"/>
          <w:b/>
          <w:color w:val="263244"/>
          <w:sz w:val="22"/>
        </w:rPr>
        <w:t>Entity</w:t>
      </w:r>
      <w:r>
        <w:rPr>
          <w:rFonts w:ascii="Arial" w:hAnsi="Arial"/>
          <w:color w:val="263244"/>
          <w:sz w:val="22"/>
        </w:rPr>
        <w:t xml:space="preserve"> is canonical now. The product is still prelaunch, so OFR v0.1 uses </w:t>
      </w:r>
      <w:r>
        <w:rPr>
          <w:rFonts w:ascii="Consolas" w:hAnsi="Consolas"/>
          <w:color w:val="1F4D78"/>
          <w:sz w:val="20"/>
        </w:rPr>
        <w:t>forecast.entity</w:t>
      </w:r>
      <w:r>
        <w:rPr>
          <w:rFonts w:ascii="Arial" w:hAnsi="Arial"/>
          <w:color w:val="263244"/>
          <w:sz w:val="22"/>
        </w:rPr>
        <w:t xml:space="preserve">; there is no reason to preserve a weaker </w:t>
      </w:r>
      <w:r>
        <w:rPr>
          <w:rFonts w:ascii="Consolas" w:hAnsi="Consolas"/>
          <w:color w:val="1F4D78"/>
          <w:sz w:val="20"/>
        </w:rPr>
        <w:t>forecast.subject</w:t>
      </w:r>
      <w:r>
        <w:rPr>
          <w:rFonts w:ascii="Arial" w:hAnsi="Arial"/>
          <w:color w:val="263244"/>
          <w:sz w:val="22"/>
        </w:rPr>
        <w:t xml:space="preserve"> contract. In existing iPulse AI code and tables, </w:t>
      </w:r>
      <w:r>
        <w:rPr>
          <w:rFonts w:ascii="Consolas" w:hAnsi="Consolas"/>
          <w:color w:val="1F4D78"/>
          <w:sz w:val="20"/>
        </w:rPr>
        <w:t>asset</w:t>
      </w:r>
      <w:r>
        <w:rPr>
          <w:rFonts w:ascii="Arial" w:hAnsi="Arial"/>
          <w:color w:val="263244"/>
          <w:sz w:val="22"/>
        </w:rPr>
        <w:t xml:space="preserve"> and prediction </w:t>
      </w:r>
      <w:r>
        <w:rPr>
          <w:rFonts w:ascii="Consolas" w:hAnsi="Consolas"/>
          <w:color w:val="1F4D78"/>
          <w:sz w:val="20"/>
        </w:rPr>
        <w:t>subject</w:t>
      </w:r>
      <w:r>
        <w:rPr>
          <w:rFonts w:ascii="Arial" w:hAnsi="Arial"/>
          <w:color w:val="263244"/>
          <w:sz w:val="22"/>
        </w:rPr>
        <w:t xml:space="preserve"> are application-role names for this same Entity. Their established column names do not need a global rename, but </w:t>
      </w:r>
      <w:r>
        <w:rPr>
          <w:rFonts w:ascii="Consolas" w:hAnsi="Consolas"/>
          <w:color w:val="1F4D78"/>
          <w:sz w:val="20"/>
        </w:rPr>
        <w:t>asset_id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subject_id</w:t>
      </w:r>
      <w:r>
        <w:rPr>
          <w:rFonts w:ascii="Arial" w:hAnsi="Arial"/>
          <w:color w:val="263244"/>
          <w:sz w:val="22"/>
        </w:rPr>
        <w:t xml:space="preserve">, and OFL </w:t>
      </w:r>
      <w:r>
        <w:rPr>
          <w:rFonts w:ascii="Consolas" w:hAnsi="Consolas"/>
          <w:color w:val="1F4D78"/>
          <w:sz w:val="20"/>
        </w:rPr>
        <w:t>entityId</w:t>
      </w:r>
      <w:r>
        <w:rPr>
          <w:rFonts w:ascii="Arial" w:hAnsi="Arial"/>
          <w:color w:val="263244"/>
          <w:sz w:val="22"/>
        </w:rPr>
        <w:t xml:space="preserve"> must resolve to the same immutable identity.</w:t>
      </w:r>
    </w:p>
    <w:p>
      <w:r>
        <w:rPr>
          <w:rFonts w:ascii="Arial" w:hAnsi="Arial"/>
          <w:b/>
          <w:color w:val="263244"/>
          <w:sz w:val="22"/>
        </w:rPr>
        <w:t>Target</w:t>
      </w:r>
      <w:r>
        <w:rPr>
          <w:rFonts w:ascii="Arial" w:hAnsi="Arial"/>
          <w:color w:val="263244"/>
          <w:sz w:val="22"/>
        </w:rPr>
        <w:t xml:space="preserve"> is not the entity. It is the precisely resolvable variable, question, event, or outcome being forecast. A target may reference multiple entities in named roles.</w:t>
      </w:r>
    </w:p>
    <w:p>
      <w:r>
        <w:rPr>
          <w:rFonts w:ascii="Arial" w:hAnsi="Arial"/>
          <w:color w:val="263244"/>
          <w:sz w:val="22"/>
        </w:rPr>
        <w:t>Examples:</w:t>
      </w:r>
    </w:p>
    <w:p>
      <w:pPr>
        <w:numPr>
          <w:ilvl w:val="0"/>
          <w:numId w:val="13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Entity: PepsiCo, Inc.</w:t>
      </w:r>
      <w:r>
        <w:br/>
      </w:r>
    </w:p>
    <w:p>
      <w:pPr>
        <w:numPr>
          <w:ilvl w:val="0"/>
          <w:numId w:val="13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Entity: PepsiCo common stock listed on Nasdaq</w:t>
      </w:r>
      <w:r>
        <w:br/>
      </w:r>
    </w:p>
    <w:p>
      <w:pPr>
        <w:numPr>
          <w:ilvl w:val="0"/>
          <w:numId w:val="13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Target: percentage change in adjusted end-of-day close for that security at 20 quarterly steps</w:t>
      </w:r>
      <w:r>
        <w:br/>
      </w:r>
    </w:p>
    <w:p>
      <w:pPr>
        <w:numPr>
          <w:ilvl w:val="0"/>
          <w:numId w:val="13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Forecast: Ray Dalio AI persona's predicted sequence of 20 returns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r>
        <w:rPr>
          <w:rFonts w:ascii="Arial" w:hAnsi="Arial"/>
          <w:color w:val="263244"/>
          <w:sz w:val="22"/>
        </w:rPr>
        <w:t>For a non-market example:</w:t>
      </w:r>
    </w:p>
    <w:p>
      <w:pPr>
        <w:numPr>
          <w:ilvl w:val="0"/>
          <w:numId w:val="14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Entity: Abu Dhabi</w:t>
      </w:r>
      <w:r>
        <w:br/>
      </w:r>
    </w:p>
    <w:p>
      <w:pPr>
        <w:numPr>
          <w:ilvl w:val="0"/>
          <w:numId w:val="14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Entity: monthly mean air temperature</w:t>
      </w:r>
      <w:r>
        <w:br/>
      </w:r>
    </w:p>
    <w:p>
      <w:pPr>
        <w:numPr>
          <w:ilvl w:val="0"/>
          <w:numId w:val="14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Target: mean temperature at Abu Dhabi International Airport during August 2027</w:t>
      </w:r>
      <w:r>
        <w:br/>
      </w:r>
    </w:p>
    <w:p>
      <w:pPr>
        <w:numPr>
          <w:ilvl w:val="0"/>
          <w:numId w:val="14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Forecast: a distribution over degrees Celsius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2.3 One identity must not stand in for a related identity</w:t>
      </w:r>
    </w:p>
    <w:p>
      <w:r>
        <w:rPr>
          <w:rFonts w:ascii="Arial" w:hAnsi="Arial"/>
          <w:color w:val="263244"/>
          <w:sz w:val="22"/>
        </w:rPr>
        <w:t>The PepsiCo organization and the PEP-listed security are related but not identical. This matters for the Semantic Web and for ticker changes.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6"/>
              </w:rPr>
              <w:t>PepsiCo, Inc. (organization)</w:t>
              <w:br/>
              <w:t xml:space="preserve">  Wikidata: Q334800</w:t>
              <w:br/>
              <w:t xml:space="preserve">       ^</w:t>
              <w:br/>
              <w:t xml:space="preserve">       | issuedBy</w:t>
              <w:br/>
              <w:t xml:space="preserve">       |</w:t>
              <w:br/>
              <w:t>PepsiCo common stock (financial instrument)</w:t>
              <w:br/>
              <w:t xml:space="preserve">  ISIN: US7134481081</w:t>
              <w:br/>
              <w:t xml:space="preserve">  Composite FIGI: BBG000DH7JK6</w:t>
              <w:br/>
              <w:t xml:space="preserve">       |</w:t>
              <w:br/>
              <w:t xml:space="preserve">       | listedOn</w:t>
              <w:br/>
              <w:t xml:space="preserve">       v</w:t>
              <w:br/>
              <w:t>Nasdaq market (MIC: XNAS)</w:t>
            </w:r>
          </w:p>
        </w:tc>
      </w:tr>
    </w:tbl>
    <w:p>
      <w:pPr>
        <w:spacing w:after="0"/>
      </w:pPr>
    </w:p>
    <w:p>
      <w:r>
        <w:rPr>
          <w:rFonts w:ascii="Arial" w:hAnsi="Arial"/>
          <w:color w:val="263244"/>
          <w:sz w:val="22"/>
        </w:rPr>
        <w:t xml:space="preserve">The company entity may safely use </w:t>
      </w:r>
      <w:r>
        <w:rPr>
          <w:rFonts w:ascii="Consolas" w:hAnsi="Consolas"/>
          <w:color w:val="1F4D78"/>
          <w:sz w:val="20"/>
        </w:rPr>
        <w:t>sameAs: https://www.wikidata.org/entity/Q334800</w:t>
      </w:r>
      <w:r>
        <w:rPr>
          <w:rFonts w:ascii="Arial" w:hAnsi="Arial"/>
          <w:color w:val="263244"/>
          <w:sz w:val="22"/>
        </w:rPr>
        <w:t xml:space="preserve">. The security must </w:t>
      </w:r>
      <w:r>
        <w:rPr>
          <w:rFonts w:ascii="Arial" w:hAnsi="Arial"/>
          <w:b/>
          <w:color w:val="263244"/>
          <w:sz w:val="22"/>
        </w:rPr>
        <w:t>not</w:t>
      </w:r>
      <w:r>
        <w:rPr>
          <w:rFonts w:ascii="Arial" w:hAnsi="Arial"/>
          <w:color w:val="263244"/>
          <w:sz w:val="22"/>
        </w:rPr>
        <w:t xml:space="preserve"> use that company URL as </w:t>
      </w:r>
      <w:r>
        <w:rPr>
          <w:rFonts w:ascii="Consolas" w:hAnsi="Consolas"/>
          <w:color w:val="1F4D78"/>
          <w:sz w:val="20"/>
        </w:rPr>
        <w:t>sameAs</w:t>
      </w:r>
      <w:r>
        <w:rPr>
          <w:rFonts w:ascii="Arial" w:hAnsi="Arial"/>
          <w:color w:val="263244"/>
          <w:sz w:val="22"/>
        </w:rPr>
        <w:t xml:space="preserve">; it should carry security identifiers and an explicit </w:t>
      </w:r>
      <w:r>
        <w:rPr>
          <w:rFonts w:ascii="Consolas" w:hAnsi="Consolas"/>
          <w:color w:val="1F4D78"/>
          <w:sz w:val="20"/>
        </w:rPr>
        <w:t>issuedBy</w:t>
      </w:r>
      <w:r>
        <w:rPr>
          <w:rFonts w:ascii="Arial" w:hAnsi="Arial"/>
          <w:color w:val="263244"/>
          <w:sz w:val="22"/>
        </w:rPr>
        <w:t xml:space="preserve"> relationship. Schema.org defines </w:t>
      </w:r>
      <w:r>
        <w:rPr>
          <w:rFonts w:ascii="Consolas" w:hAnsi="Consolas"/>
          <w:color w:val="1F4D78"/>
          <w:sz w:val="20"/>
        </w:rPr>
        <w:t>sameAs</w:t>
      </w:r>
      <w:r>
        <w:rPr>
          <w:rFonts w:ascii="Arial" w:hAnsi="Arial"/>
          <w:color w:val="263244"/>
          <w:sz w:val="22"/>
        </w:rPr>
        <w:t xml:space="preserve"> as a page that unambiguously identifies the same thing. [4]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2.4 Stable internal IDs are primary</w:t>
      </w:r>
    </w:p>
    <w:p>
      <w:r>
        <w:rPr>
          <w:rFonts w:ascii="Arial" w:hAnsi="Arial"/>
          <w:color w:val="263244"/>
          <w:sz w:val="22"/>
        </w:rPr>
        <w:t xml:space="preserve">Every Library entity receives an immutable internal ID. For an entity imported from iPulse AI, OFL reuses the exact deterministic iPulse </w:t>
      </w:r>
      <w:r>
        <w:rPr>
          <w:rFonts w:ascii="Consolas" w:hAnsi="Consolas"/>
          <w:color w:val="1F4D78"/>
          <w:sz w:val="20"/>
        </w:rPr>
        <w:t>asset_id</w:t>
      </w:r>
      <w:r>
        <w:rPr>
          <w:rFonts w:ascii="Arial" w:hAnsi="Arial"/>
          <w:color w:val="263244"/>
          <w:sz w:val="22"/>
        </w:rPr>
        <w:t xml:space="preserve"> as </w:t>
      </w:r>
      <w:r>
        <w:rPr>
          <w:rFonts w:ascii="Consolas" w:hAnsi="Consolas"/>
          <w:color w:val="1F4D78"/>
          <w:sz w:val="20"/>
        </w:rPr>
        <w:t>entityId</w:t>
      </w:r>
      <w:r>
        <w:rPr>
          <w:rFonts w:ascii="Arial" w:hAnsi="Arial"/>
          <w:color w:val="263244"/>
          <w:sz w:val="22"/>
        </w:rPr>
        <w:t>; no second crosswalk ID is invented. For a Library-native entity, OFL generates a deterministic UUIDv5 from a reviewed, immutable identity seed. Environment is never part of that seed, and the same reviewed catalog artifact is promoted to staging and production.</w:t>
      </w:r>
    </w:p>
    <w:p>
      <w:r>
        <w:rPr>
          <w:rFonts w:ascii="Arial" w:hAnsi="Arial"/>
          <w:color w:val="263244"/>
          <w:sz w:val="22"/>
        </w:rPr>
        <w:t>Recommended rules:</w:t>
      </w:r>
    </w:p>
    <w:p>
      <w:pPr>
        <w:numPr>
          <w:ilvl w:val="0"/>
          <w:numId w:val="15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entityId</w:t>
      </w:r>
      <w:r>
        <w:rPr>
          <w:rFonts w:ascii="Arial" w:hAnsi="Arial"/>
          <w:color w:val="263244"/>
          <w:sz w:val="22"/>
        </w:rPr>
        <w:t xml:space="preserve"> never changes.</w:t>
      </w:r>
      <w:r>
        <w:br/>
      </w:r>
    </w:p>
    <w:p>
      <w:pPr>
        <w:numPr>
          <w:ilvl w:val="0"/>
          <w:numId w:val="15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 xml:space="preserve">an existing iPulse </w:t>
      </w:r>
      <w:r>
        <w:rPr>
          <w:rFonts w:ascii="Consolas" w:hAnsi="Consolas"/>
          <w:color w:val="1F4D78"/>
          <w:sz w:val="20"/>
        </w:rPr>
        <w:t>asset_id</w:t>
      </w:r>
      <w:r>
        <w:rPr>
          <w:rFonts w:ascii="Arial" w:hAnsi="Arial"/>
          <w:color w:val="263244"/>
          <w:sz w:val="22"/>
        </w:rPr>
        <w:t xml:space="preserve"> is copied unchanged into </w:t>
      </w:r>
      <w:r>
        <w:rPr>
          <w:rFonts w:ascii="Consolas" w:hAnsi="Consolas"/>
          <w:color w:val="1F4D78"/>
          <w:sz w:val="20"/>
        </w:rPr>
        <w:t>entityId</w:t>
      </w:r>
      <w:r>
        <w:rPr>
          <w:rFonts w:ascii="Arial" w:hAnsi="Arial"/>
          <w:color w:val="263244"/>
          <w:sz w:val="22"/>
        </w:rPr>
        <w:t>;</w:t>
      </w:r>
      <w:r>
        <w:br/>
      </w:r>
    </w:p>
    <w:p>
      <w:pPr>
        <w:numPr>
          <w:ilvl w:val="0"/>
          <w:numId w:val="15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entityVersionId</w:t>
      </w:r>
      <w:r>
        <w:rPr>
          <w:rFonts w:ascii="Arial" w:hAnsi="Arial"/>
          <w:color w:val="263244"/>
          <w:sz w:val="22"/>
        </w:rPr>
        <w:t xml:space="preserve"> identifies an immutable approved snapshot.</w:t>
      </w:r>
      <w:r>
        <w:br/>
      </w:r>
    </w:p>
    <w:p>
      <w:pPr>
        <w:numPr>
          <w:ilvl w:val="0"/>
          <w:numId w:val="15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a ticker change creates a new identifier assertion with effective dates, not a new company entity;</w:t>
      </w:r>
      <w:r>
        <w:br/>
      </w:r>
    </w:p>
    <w:p>
      <w:pPr>
        <w:numPr>
          <w:ilvl w:val="0"/>
          <w:numId w:val="15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 xml:space="preserve">a corporate reorganization may create a new entity and a </w:t>
      </w:r>
      <w:r>
        <w:rPr>
          <w:rFonts w:ascii="Consolas" w:hAnsi="Consolas"/>
          <w:color w:val="1F4D78"/>
          <w:sz w:val="20"/>
        </w:rPr>
        <w:t>successorOf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mergedInto</w:t>
      </w:r>
      <w:r>
        <w:rPr>
          <w:rFonts w:ascii="Arial" w:hAnsi="Arial"/>
          <w:color w:val="263244"/>
          <w:sz w:val="22"/>
        </w:rPr>
        <w:t xml:space="preserve">, or </w:t>
      </w:r>
      <w:r>
        <w:rPr>
          <w:rFonts w:ascii="Consolas" w:hAnsi="Consolas"/>
          <w:color w:val="1F4D78"/>
          <w:sz w:val="20"/>
        </w:rPr>
        <w:t>renamedFrom</w:t>
      </w:r>
      <w:r>
        <w:rPr>
          <w:rFonts w:ascii="Arial" w:hAnsi="Arial"/>
          <w:color w:val="263244"/>
          <w:sz w:val="22"/>
        </w:rPr>
        <w:t xml:space="preserve"> relationship depending on the actual event;</w:t>
      </w:r>
      <w:r>
        <w:br/>
      </w:r>
    </w:p>
    <w:p>
      <w:pPr>
        <w:numPr>
          <w:ilvl w:val="0"/>
          <w:numId w:val="15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slugs are routing aliases in a separate collection and may redirect;</w:t>
      </w:r>
      <w:r>
        <w:br/>
      </w:r>
    </w:p>
    <w:p>
      <w:pPr>
        <w:numPr>
          <w:ilvl w:val="0"/>
          <w:numId w:val="15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 xml:space="preserve">receipt payloads retain the point-in-time </w:t>
      </w:r>
      <w:r>
        <w:rPr>
          <w:rFonts w:ascii="Consolas" w:hAnsi="Consolas"/>
          <w:color w:val="1F4D78"/>
          <w:sz w:val="20"/>
        </w:rPr>
        <w:t>entityVersionId</w:t>
      </w:r>
      <w:r>
        <w:rPr>
          <w:rFonts w:ascii="Arial" w:hAnsi="Arial"/>
          <w:color w:val="263244"/>
          <w:sz w:val="22"/>
        </w:rPr>
        <w:t xml:space="preserve"> used at forecast creation.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1"/>
      </w:pPr>
      <w:r>
        <w:t>3. Alignment with public standards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3.1 Wikidata/Wikibase pattern</w:t>
      </w:r>
    </w:p>
    <w:p>
      <w:r>
        <w:rPr>
          <w:rFonts w:ascii="Arial" w:hAnsi="Arial"/>
          <w:color w:val="263244"/>
          <w:sz w:val="22"/>
        </w:rPr>
        <w:t>Wikidata represents a distinct thing as an item and knowledge as subject-predicate-object statements. Statements can carry qualifiers, references, and ranks. Its pattern is directly useful to OFL: stable entity, typed relationship, effective-time qualifier, source, and editorial rank/status. [5][6]</w:t>
      </w:r>
    </w:p>
    <w:p>
      <w:r>
        <w:rPr>
          <w:rFonts w:ascii="Arial" w:hAnsi="Arial"/>
          <w:color w:val="263244"/>
          <w:sz w:val="22"/>
        </w:rPr>
        <w:t>Use Wikidata as an external semantic crosswalk, not as OFL's primary key or sole authority. These mappings are examples of the distinction that editorial review must preserve: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2700"/>
        <w:gridCol w:w="4460"/>
      </w:tblGrid>
      <w:tr>
        <w:trPr>
          <w:tblHeader w:val="true"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OFL entity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Wikidata ID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PepsiCo, Inc.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Q334800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Organization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Nvidia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Q182477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Organization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Alphabet Inc.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Q20800404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Organization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Bitcoin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Q131723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Digital cash system and associated currency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SPDR S&amp;P 500 Trust ETF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Q17082716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Exchange-traded fund</w:t>
            </w:r>
          </w:p>
        </w:tc>
      </w:tr>
    </w:tbl>
    <w:p>
      <w:pPr>
        <w:spacing w:after="0"/>
      </w:pPr>
    </w:p>
    <w:p>
      <w:r>
        <w:rPr>
          <w:rFonts w:ascii="Arial" w:hAnsi="Arial"/>
          <w:color w:val="263244"/>
          <w:sz w:val="22"/>
        </w:rPr>
        <w:t xml:space="preserve">Do not put these values into free-form </w:t>
      </w:r>
      <w:r>
        <w:rPr>
          <w:rFonts w:ascii="Consolas" w:hAnsi="Consolas"/>
          <w:color w:val="1F4D78"/>
          <w:sz w:val="20"/>
        </w:rPr>
        <w:t>tags</w:t>
      </w:r>
      <w:r>
        <w:rPr>
          <w:rFonts w:ascii="Arial" w:hAnsi="Arial"/>
          <w:color w:val="263244"/>
          <w:sz w:val="22"/>
        </w:rPr>
        <w:t xml:space="preserve">. Store each mapping as an identifier assertion with its scheme, original and normalized values, canonical URI, match type, validity interval, source evidence, verification status, and reviewer. A value may appear in a public </w:t>
      </w:r>
      <w:r>
        <w:rPr>
          <w:rFonts w:ascii="Consolas" w:hAnsi="Consolas"/>
          <w:color w:val="1F4D78"/>
          <w:sz w:val="20"/>
        </w:rPr>
        <w:t>sameAs</w:t>
      </w:r>
      <w:r>
        <w:rPr>
          <w:rFonts w:ascii="Arial" w:hAnsi="Arial"/>
          <w:color w:val="263244"/>
          <w:sz w:val="22"/>
        </w:rPr>
        <w:t xml:space="preserve"> array only after an editor verifies that the Wikidata item and OFL entity are exactly the same thing.</w:t>
      </w:r>
    </w:p>
    <w:p>
      <w:r>
        <w:rPr>
          <w:rFonts w:ascii="Arial" w:hAnsi="Arial"/>
          <w:color w:val="263244"/>
          <w:sz w:val="22"/>
        </w:rPr>
        <w:t xml:space="preserve">Google Knowledge Graph machine IDs may be captured under the controlled </w:t>
      </w:r>
      <w:r>
        <w:rPr>
          <w:rFonts w:ascii="Consolas" w:hAnsi="Consolas"/>
          <w:color w:val="1F4D78"/>
          <w:sz w:val="20"/>
        </w:rPr>
        <w:t>google_knowledge_graph_mid</w:t>
      </w:r>
      <w:r>
        <w:rPr>
          <w:rFonts w:ascii="Arial" w:hAnsi="Arial"/>
          <w:color w:val="263244"/>
          <w:sz w:val="22"/>
        </w:rPr>
        <w:t xml:space="preserve"> scheme when an exact match is independently reviewed. They are optional cross-references, not primary keys and not a guarantee of Google indexing. Google's legacy Knowledge Graph Search API is read-only, is not suitable as a production-critical dependency, and directs new users toward Enterprise Knowledge Graph. [26]</w:t>
      </w:r>
    </w:p>
    <w:p>
      <w:r>
        <w:rPr>
          <w:rFonts w:ascii="Arial" w:hAnsi="Arial"/>
          <w:color w:val="263244"/>
          <w:sz w:val="22"/>
        </w:rPr>
        <w:t>For financial instruments, supplement Wikidata with security-specific identifiers. OpenFIGI maps third-party identifiers to FIGIs and returns security type, market sector, ticker, exchange code, composite FIGI, and share-class FIGI. [7] ISO 10383 MICs identify exchanges and trading venues. [8] For legal entities, GLEIF's LEI reference model includes official legal name, registry identity, legal form, formation jurisdiction, creation date, address, and active status. [9]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3.2 Schema.org public pages</w:t>
      </w:r>
    </w:p>
    <w:p>
      <w:r>
        <w:rPr>
          <w:rFonts w:ascii="Arial" w:hAnsi="Arial"/>
          <w:color w:val="263244"/>
          <w:sz w:val="22"/>
        </w:rPr>
        <w:t>Use Schema.org JSON-LD to make public pages machine-readable:</w:t>
      </w:r>
    </w:p>
    <w:p>
      <w:pPr>
        <w:numPr>
          <w:ilvl w:val="0"/>
          <w:numId w:val="16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Organization</w:t>
      </w:r>
      <w:r>
        <w:rPr>
          <w:rFonts w:ascii="Arial" w:hAnsi="Arial"/>
          <w:color w:val="263244"/>
          <w:sz w:val="22"/>
        </w:rPr>
        <w:t xml:space="preserve"> and </w:t>
      </w:r>
      <w:r>
        <w:rPr>
          <w:rFonts w:ascii="Consolas" w:hAnsi="Consolas"/>
          <w:color w:val="1F4D78"/>
          <w:sz w:val="20"/>
        </w:rPr>
        <w:t>Person</w:t>
      </w:r>
      <w:r>
        <w:rPr>
          <w:rFonts w:ascii="Arial" w:hAnsi="Arial"/>
          <w:color w:val="263244"/>
          <w:sz w:val="22"/>
        </w:rPr>
        <w:t xml:space="preserve"> for accountable publishers;</w:t>
      </w:r>
      <w:r>
        <w:br/>
      </w:r>
    </w:p>
    <w:p>
      <w:pPr>
        <w:numPr>
          <w:ilvl w:val="0"/>
          <w:numId w:val="16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Brand</w:t>
      </w:r>
      <w:r>
        <w:rPr>
          <w:rFonts w:ascii="Arial" w:hAnsi="Arial"/>
          <w:color w:val="263244"/>
          <w:sz w:val="22"/>
        </w:rPr>
        <w:t xml:space="preserve"> and </w:t>
      </w:r>
      <w:r>
        <w:rPr>
          <w:rFonts w:ascii="Consolas" w:hAnsi="Consolas"/>
          <w:color w:val="1F4D78"/>
          <w:sz w:val="20"/>
        </w:rPr>
        <w:t>SoftwareApplication</w:t>
      </w:r>
      <w:r>
        <w:rPr>
          <w:rFonts w:ascii="Arial" w:hAnsi="Arial"/>
          <w:color w:val="263244"/>
          <w:sz w:val="22"/>
        </w:rPr>
        <w:t xml:space="preserve"> for iPulse AI;</w:t>
      </w:r>
      <w:r>
        <w:br/>
      </w:r>
    </w:p>
    <w:p>
      <w:pPr>
        <w:numPr>
          <w:ilvl w:val="0"/>
          <w:numId w:val="16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Dataset</w:t>
      </w:r>
      <w:r>
        <w:rPr>
          <w:rFonts w:ascii="Arial" w:hAnsi="Arial"/>
          <w:color w:val="263244"/>
          <w:sz w:val="22"/>
        </w:rPr>
        <w:t xml:space="preserve"> or </w:t>
      </w:r>
      <w:r>
        <w:rPr>
          <w:rFonts w:ascii="Consolas" w:hAnsi="Consolas"/>
          <w:color w:val="1F4D78"/>
          <w:sz w:val="20"/>
        </w:rPr>
        <w:t>CreativeWork</w:t>
      </w:r>
      <w:r>
        <w:rPr>
          <w:rFonts w:ascii="Arial" w:hAnsi="Arial"/>
          <w:color w:val="263244"/>
          <w:sz w:val="22"/>
        </w:rPr>
        <w:t xml:space="preserve"> for a structured forecast record;</w:t>
      </w:r>
      <w:r>
        <w:br/>
      </w:r>
    </w:p>
    <w:p>
      <w:pPr>
        <w:numPr>
          <w:ilvl w:val="0"/>
          <w:numId w:val="16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PropertyValue</w:t>
      </w:r>
      <w:r>
        <w:rPr>
          <w:rFonts w:ascii="Arial" w:hAnsi="Arial"/>
          <w:color w:val="263244"/>
          <w:sz w:val="22"/>
        </w:rPr>
        <w:t xml:space="preserve"> for identifiers and measured variables;</w:t>
      </w:r>
      <w:r>
        <w:br/>
      </w:r>
    </w:p>
    <w:p>
      <w:pPr>
        <w:numPr>
          <w:ilvl w:val="0"/>
          <w:numId w:val="16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about</w:t>
      </w:r>
      <w:r>
        <w:rPr>
          <w:rFonts w:ascii="Arial" w:hAnsi="Arial"/>
          <w:color w:val="263244"/>
          <w:sz w:val="22"/>
        </w:rPr>
        <w:t xml:space="preserve"> for the primary forecast entity;</w:t>
      </w:r>
      <w:r>
        <w:br/>
      </w:r>
    </w:p>
    <w:p>
      <w:pPr>
        <w:numPr>
          <w:ilvl w:val="0"/>
          <w:numId w:val="16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identifier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sameAs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dateCreated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datePublished</w:t>
      </w:r>
      <w:r>
        <w:rPr>
          <w:rFonts w:ascii="Arial" w:hAnsi="Arial"/>
          <w:color w:val="263244"/>
          <w:sz w:val="22"/>
        </w:rPr>
        <w:t xml:space="preserve">, and </w:t>
      </w:r>
      <w:r>
        <w:rPr>
          <w:rFonts w:ascii="Consolas" w:hAnsi="Consolas"/>
          <w:color w:val="1F4D78"/>
          <w:sz w:val="20"/>
        </w:rPr>
        <w:t>temporalCoverage</w:t>
      </w:r>
      <w:r>
        <w:rPr>
          <w:rFonts w:ascii="Arial" w:hAnsi="Arial"/>
          <w:color w:val="263244"/>
          <w:sz w:val="22"/>
        </w:rPr>
        <w:t xml:space="preserve"> where appropriate;</w:t>
      </w:r>
      <w:r>
        <w:br/>
      </w:r>
    </w:p>
    <w:p>
      <w:pPr>
        <w:numPr>
          <w:ilvl w:val="0"/>
          <w:numId w:val="16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 xml:space="preserve">a small OFR vocabulary for concepts Schema.org does not define, including </w:t>
      </w:r>
      <w:r>
        <w:rPr>
          <w:rFonts w:ascii="Consolas" w:hAnsi="Consolas"/>
          <w:color w:val="1F4D78"/>
          <w:sz w:val="20"/>
        </w:rPr>
        <w:t>Forecast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Receipt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Forecaster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Target</w:t>
      </w:r>
      <w:r>
        <w:rPr>
          <w:rFonts w:ascii="Arial" w:hAnsi="Arial"/>
          <w:color w:val="263244"/>
          <w:sz w:val="22"/>
        </w:rPr>
        <w:t xml:space="preserve">, and </w:t>
      </w:r>
      <w:r>
        <w:rPr>
          <w:rFonts w:ascii="Consolas" w:hAnsi="Consolas"/>
          <w:color w:val="1F4D78"/>
          <w:sz w:val="20"/>
        </w:rPr>
        <w:t>Proof</w:t>
      </w:r>
      <w:r>
        <w:rPr>
          <w:rFonts w:ascii="Arial" w:hAnsi="Arial"/>
          <w:color w:val="263244"/>
          <w:sz w:val="22"/>
        </w:rPr>
        <w:t>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r>
        <w:rPr>
          <w:rFonts w:ascii="Arial" w:hAnsi="Arial"/>
          <w:color w:val="263244"/>
          <w:sz w:val="22"/>
        </w:rPr>
        <w:t xml:space="preserve">Schema.org has no native Forecast class. Do not force a misleading type. Use a </w:t>
      </w:r>
      <w:r>
        <w:rPr>
          <w:rFonts w:ascii="Consolas" w:hAnsi="Consolas"/>
          <w:color w:val="1F4D78"/>
          <w:sz w:val="20"/>
        </w:rPr>
        <w:t>Dataset</w:t>
      </w:r>
      <w:r>
        <w:rPr>
          <w:rFonts w:ascii="Arial" w:hAnsi="Arial"/>
          <w:color w:val="263244"/>
          <w:sz w:val="22"/>
        </w:rPr>
        <w:t xml:space="preserve"> plus </w:t>
      </w:r>
      <w:r>
        <w:rPr>
          <w:rFonts w:ascii="Consolas" w:hAnsi="Consolas"/>
          <w:color w:val="1F4D78"/>
          <w:sz w:val="20"/>
        </w:rPr>
        <w:t>additionalType</w:t>
      </w:r>
      <w:r>
        <w:rPr>
          <w:rFonts w:ascii="Arial" w:hAnsi="Arial"/>
          <w:color w:val="263244"/>
          <w:sz w:val="22"/>
        </w:rPr>
        <w:t xml:space="preserve"> pointing to the OFR vocabulary. [10][11]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3.3 SKOS and provenance</w:t>
      </w:r>
    </w:p>
    <w:p>
      <w:r>
        <w:rPr>
          <w:rFonts w:ascii="Arial" w:hAnsi="Arial"/>
          <w:color w:val="263244"/>
          <w:sz w:val="22"/>
        </w:rPr>
        <w:t>When mappings are not identity claims, use a controlled match type:</w:t>
      </w:r>
    </w:p>
    <w:p>
      <w:pPr>
        <w:numPr>
          <w:ilvl w:val="0"/>
          <w:numId w:val="17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sameAs</w:t>
      </w:r>
      <w:r>
        <w:rPr>
          <w:rFonts w:ascii="Arial" w:hAnsi="Arial"/>
          <w:color w:val="263244"/>
          <w:sz w:val="22"/>
        </w:rPr>
        <w:t xml:space="preserve"> or </w:t>
      </w:r>
      <w:r>
        <w:rPr>
          <w:rFonts w:ascii="Consolas" w:hAnsi="Consolas"/>
          <w:color w:val="1F4D78"/>
          <w:sz w:val="20"/>
        </w:rPr>
        <w:t>skos:exactMatch</w:t>
      </w:r>
      <w:r>
        <w:rPr>
          <w:rFonts w:ascii="Arial" w:hAnsi="Arial"/>
          <w:color w:val="263244"/>
          <w:sz w:val="22"/>
        </w:rPr>
        <w:t>: exact identity only;</w:t>
      </w:r>
      <w:r>
        <w:br/>
      </w:r>
    </w:p>
    <w:p>
      <w:pPr>
        <w:numPr>
          <w:ilvl w:val="0"/>
          <w:numId w:val="17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skos:closeMatch</w:t>
      </w:r>
      <w:r>
        <w:rPr>
          <w:rFonts w:ascii="Arial" w:hAnsi="Arial"/>
          <w:color w:val="263244"/>
          <w:sz w:val="22"/>
        </w:rPr>
        <w:t>: close concept mapping but not identical;</w:t>
      </w:r>
      <w:r>
        <w:br/>
      </w:r>
    </w:p>
    <w:p>
      <w:pPr>
        <w:numPr>
          <w:ilvl w:val="0"/>
          <w:numId w:val="17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 xml:space="preserve">explicit relationships such as </w:t>
      </w:r>
      <w:r>
        <w:rPr>
          <w:rFonts w:ascii="Consolas" w:hAnsi="Consolas"/>
          <w:color w:val="1F4D78"/>
          <w:sz w:val="20"/>
        </w:rPr>
        <w:t>issuedBy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tracksIndex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locatedIn</w:t>
      </w:r>
      <w:r>
        <w:rPr>
          <w:rFonts w:ascii="Arial" w:hAnsi="Arial"/>
          <w:color w:val="263244"/>
          <w:sz w:val="22"/>
        </w:rPr>
        <w:t xml:space="preserve">, or </w:t>
      </w:r>
      <w:r>
        <w:rPr>
          <w:rFonts w:ascii="Consolas" w:hAnsi="Consolas"/>
          <w:color w:val="1F4D78"/>
          <w:sz w:val="20"/>
        </w:rPr>
        <w:t>memberOf</w:t>
      </w:r>
      <w:r>
        <w:rPr>
          <w:rFonts w:ascii="Arial" w:hAnsi="Arial"/>
          <w:color w:val="263244"/>
          <w:sz w:val="22"/>
        </w:rPr>
        <w:t xml:space="preserve"> for related entities.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r>
        <w:rPr>
          <w:rFonts w:ascii="Arial" w:hAnsi="Arial"/>
          <w:color w:val="263244"/>
          <w:sz w:val="22"/>
        </w:rPr>
        <w:t xml:space="preserve">The W3C warns that </w:t>
      </w:r>
      <w:r>
        <w:rPr>
          <w:rFonts w:ascii="Consolas" w:hAnsi="Consolas"/>
          <w:color w:val="1F4D78"/>
          <w:sz w:val="20"/>
        </w:rPr>
        <w:t>exactMatch</w:t>
      </w:r>
      <w:r>
        <w:rPr>
          <w:rFonts w:ascii="Arial" w:hAnsi="Arial"/>
          <w:color w:val="263244"/>
          <w:sz w:val="22"/>
        </w:rPr>
        <w:t xml:space="preserve"> is a strong, transitive mapping and distinguishes it from the weaker </w:t>
      </w:r>
      <w:r>
        <w:rPr>
          <w:rFonts w:ascii="Consolas" w:hAnsi="Consolas"/>
          <w:color w:val="1F4D78"/>
          <w:sz w:val="20"/>
        </w:rPr>
        <w:t>closeMatch</w:t>
      </w:r>
      <w:r>
        <w:rPr>
          <w:rFonts w:ascii="Arial" w:hAnsi="Arial"/>
          <w:color w:val="263244"/>
          <w:sz w:val="22"/>
        </w:rPr>
        <w:t>. [12] Use the lightweight W3C PROV-O concepts only where they improve interoperability: forecast receipt as an entity, generation as an activity, and forecaster/publisher/reviewer as agents. PROV-O is specifically designed for cross-domain provenance interchange. [13]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1"/>
      </w:pPr>
      <w:r>
        <w:t>4. Proposed data model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4.1 Five distinct object families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3"/>
      </w:pPr>
      <w:r>
        <w:t>A. Parties and operating structure</w:t>
      </w:r>
    </w:p>
    <w:p>
      <w:pPr>
        <w:numPr>
          <w:ilvl w:val="0"/>
          <w:numId w:val="18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organizations</w:t>
      </w:r>
      <w:r>
        <w:rPr>
          <w:rFonts w:ascii="Arial" w:hAnsi="Arial"/>
          <w:color w:val="263244"/>
          <w:sz w:val="22"/>
        </w:rPr>
        <w:t>: legal organizations and organizational publishers.</w:t>
      </w:r>
      <w:r>
        <w:br/>
      </w:r>
    </w:p>
    <w:p>
      <w:pPr>
        <w:numPr>
          <w:ilvl w:val="0"/>
          <w:numId w:val="18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people</w:t>
      </w:r>
      <w:r>
        <w:rPr>
          <w:rFonts w:ascii="Arial" w:hAnsi="Arial"/>
          <w:color w:val="263244"/>
          <w:sz w:val="22"/>
        </w:rPr>
        <w:t>: natural persons that submit, publish, forecast, or review.</w:t>
      </w:r>
      <w:r>
        <w:br/>
      </w:r>
    </w:p>
    <w:p>
      <w:pPr>
        <w:numPr>
          <w:ilvl w:val="0"/>
          <w:numId w:val="18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teams</w:t>
      </w:r>
      <w:r>
        <w:rPr>
          <w:rFonts w:ascii="Arial" w:hAnsi="Arial"/>
          <w:color w:val="263244"/>
          <w:sz w:val="22"/>
        </w:rPr>
        <w:t>: operating units linked to a parent organization.</w:t>
      </w:r>
      <w:r>
        <w:br/>
      </w:r>
    </w:p>
    <w:p>
      <w:pPr>
        <w:numPr>
          <w:ilvl w:val="0"/>
          <w:numId w:val="18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products</w:t>
      </w:r>
      <w:r>
        <w:rPr>
          <w:rFonts w:ascii="Arial" w:hAnsi="Arial"/>
          <w:color w:val="263244"/>
          <w:sz w:val="22"/>
        </w:rPr>
        <w:t>: products, brands, and software applications.</w:t>
      </w:r>
      <w:r>
        <w:br/>
      </w:r>
    </w:p>
    <w:p>
      <w:pPr>
        <w:numPr>
          <w:ilvl w:val="0"/>
          <w:numId w:val="18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memberships</w:t>
      </w:r>
      <w:r>
        <w:rPr>
          <w:rFonts w:ascii="Arial" w:hAnsi="Arial"/>
          <w:color w:val="263244"/>
          <w:sz w:val="22"/>
        </w:rPr>
        <w:t>: time-bounded person/team/organization roles.</w:t>
      </w:r>
      <w:r>
        <w:br/>
      </w:r>
    </w:p>
    <w:p>
      <w:pPr>
        <w:numPr>
          <w:ilvl w:val="0"/>
          <w:numId w:val="18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publisher_profiles</w:t>
      </w:r>
      <w:r>
        <w:rPr>
          <w:rFonts w:ascii="Arial" w:hAnsi="Arial"/>
          <w:color w:val="263244"/>
          <w:sz w:val="22"/>
        </w:rPr>
        <w:t>: public Library profiles with an accountable party and optional product/team.</w:t>
      </w:r>
      <w:r>
        <w:br/>
      </w:r>
    </w:p>
    <w:p>
      <w:pPr>
        <w:numPr>
          <w:ilvl w:val="0"/>
          <w:numId w:val="18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publisher_authorizations</w:t>
      </w:r>
      <w:r>
        <w:rPr>
          <w:rFonts w:ascii="Arial" w:hAnsi="Arial"/>
          <w:color w:val="263244"/>
          <w:sz w:val="22"/>
        </w:rPr>
        <w:t>: who or which service can submit for a publisher.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3"/>
      </w:pPr>
      <w:r>
        <w:t>B. Semantic entity master</w:t>
      </w:r>
    </w:p>
    <w:p>
      <w:pPr>
        <w:numPr>
          <w:ilvl w:val="0"/>
          <w:numId w:val="19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entities</w:t>
      </w:r>
      <w:r>
        <w:rPr>
          <w:rFonts w:ascii="Arial" w:hAnsi="Arial"/>
          <w:color w:val="263244"/>
          <w:sz w:val="22"/>
        </w:rPr>
        <w:t>: stable identity and current approved presentation.</w:t>
      </w:r>
      <w:r>
        <w:br/>
      </w:r>
    </w:p>
    <w:p>
      <w:pPr>
        <w:numPr>
          <w:ilvl w:val="0"/>
          <w:numId w:val="19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entity_versions</w:t>
      </w:r>
      <w:r>
        <w:rPr>
          <w:rFonts w:ascii="Arial" w:hAnsi="Arial"/>
          <w:color w:val="263244"/>
          <w:sz w:val="22"/>
        </w:rPr>
        <w:t>: immutable approved snapshots.</w:t>
      </w:r>
      <w:r>
        <w:br/>
      </w:r>
    </w:p>
    <w:p>
      <w:pPr>
        <w:numPr>
          <w:ilvl w:val="0"/>
          <w:numId w:val="19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entity_identifiers</w:t>
      </w:r>
      <w:r>
        <w:rPr>
          <w:rFonts w:ascii="Arial" w:hAnsi="Arial"/>
          <w:color w:val="263244"/>
          <w:sz w:val="22"/>
        </w:rPr>
        <w:t>: source-specific identifiers with effective dates and verification evidence.</w:t>
      </w:r>
      <w:r>
        <w:br/>
      </w:r>
    </w:p>
    <w:p>
      <w:pPr>
        <w:numPr>
          <w:ilvl w:val="0"/>
          <w:numId w:val="19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entity_identifier_keys</w:t>
      </w:r>
      <w:r>
        <w:rPr>
          <w:rFonts w:ascii="Arial" w:hAnsi="Arial"/>
          <w:color w:val="263244"/>
          <w:sz w:val="22"/>
        </w:rPr>
        <w:t xml:space="preserve">: unique lookup mapping from normalized external key to </w:t>
      </w:r>
      <w:r>
        <w:rPr>
          <w:rFonts w:ascii="Consolas" w:hAnsi="Consolas"/>
          <w:color w:val="1F4D78"/>
          <w:sz w:val="20"/>
        </w:rPr>
        <w:t>entityId</w:t>
      </w:r>
      <w:r>
        <w:rPr>
          <w:rFonts w:ascii="Arial" w:hAnsi="Arial"/>
          <w:color w:val="263244"/>
          <w:sz w:val="22"/>
        </w:rPr>
        <w:t>.</w:t>
      </w:r>
      <w:r>
        <w:br/>
      </w:r>
    </w:p>
    <w:p>
      <w:pPr>
        <w:numPr>
          <w:ilvl w:val="0"/>
          <w:numId w:val="19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entity_relationships</w:t>
      </w:r>
      <w:r>
        <w:rPr>
          <w:rFonts w:ascii="Arial" w:hAnsi="Arial"/>
          <w:color w:val="263244"/>
          <w:sz w:val="22"/>
        </w:rPr>
        <w:t>: typed edges between entities, with evidence and effective dates.</w:t>
      </w:r>
      <w:r>
        <w:br/>
      </w:r>
    </w:p>
    <w:p>
      <w:pPr>
        <w:numPr>
          <w:ilvl w:val="0"/>
          <w:numId w:val="19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entity_aliases</w:t>
      </w:r>
      <w:r>
        <w:rPr>
          <w:rFonts w:ascii="Arial" w:hAnsi="Arial"/>
          <w:color w:val="263244"/>
          <w:sz w:val="22"/>
        </w:rPr>
        <w:t>: current and historical names, tickers, and route slugs.</w:t>
      </w:r>
      <w:r>
        <w:br/>
      </w:r>
    </w:p>
    <w:p>
      <w:pPr>
        <w:numPr>
          <w:ilvl w:val="0"/>
          <w:numId w:val="19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entity_candidates</w:t>
      </w:r>
      <w:r>
        <w:rPr>
          <w:rFonts w:ascii="Arial" w:hAnsi="Arial"/>
          <w:color w:val="263244"/>
          <w:sz w:val="22"/>
        </w:rPr>
        <w:t>: proposed entities or proposed changes awaiting review.</w:t>
      </w:r>
      <w:r>
        <w:br/>
      </w:r>
    </w:p>
    <w:p>
      <w:pPr>
        <w:numPr>
          <w:ilvl w:val="0"/>
          <w:numId w:val="19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editorial_reviews</w:t>
      </w:r>
      <w:r>
        <w:rPr>
          <w:rFonts w:ascii="Arial" w:hAnsi="Arial"/>
          <w:color w:val="263244"/>
          <w:sz w:val="22"/>
        </w:rPr>
        <w:t>: review decisions, notes, reviewer, and timestamps.</w:t>
      </w:r>
      <w:r>
        <w:br/>
      </w:r>
    </w:p>
    <w:p>
      <w:pPr>
        <w:numPr>
          <w:ilvl w:val="0"/>
          <w:numId w:val="19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ipulse_adoption_requests</w:t>
      </w:r>
      <w:r>
        <w:rPr>
          <w:rFonts w:ascii="Arial" w:hAnsi="Arial"/>
          <w:color w:val="263244"/>
          <w:sz w:val="22"/>
        </w:rPr>
        <w:t>: approved Library entities proposed for selective iPulse onboarding; never a direct write into the iPulse asset dimension.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3"/>
      </w:pPr>
      <w:r>
        <w:t>C. Target registry</w:t>
      </w:r>
    </w:p>
    <w:p>
      <w:pPr>
        <w:numPr>
          <w:ilvl w:val="0"/>
          <w:numId w:val="20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target_definitions</w:t>
      </w:r>
      <w:r>
        <w:rPr>
          <w:rFonts w:ascii="Arial" w:hAnsi="Arial"/>
          <w:color w:val="263244"/>
          <w:sz w:val="22"/>
        </w:rPr>
        <w:t>: reusable measurement/question definitions.</w:t>
      </w:r>
      <w:r>
        <w:br/>
      </w:r>
    </w:p>
    <w:p>
      <w:pPr>
        <w:numPr>
          <w:ilvl w:val="0"/>
          <w:numId w:val="20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target_versions</w:t>
      </w:r>
      <w:r>
        <w:rPr>
          <w:rFonts w:ascii="Arial" w:hAnsi="Arial"/>
          <w:color w:val="263244"/>
          <w:sz w:val="22"/>
        </w:rPr>
        <w:t>: immutable target definitions and resolution rules.</w:t>
      </w:r>
      <w:r>
        <w:br/>
      </w:r>
    </w:p>
    <w:p>
      <w:pPr>
        <w:numPr>
          <w:ilvl w:val="0"/>
          <w:numId w:val="20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target_entity_roles</w:t>
      </w:r>
      <w:r>
        <w:rPr>
          <w:rFonts w:ascii="Arial" w:hAnsi="Arial"/>
          <w:color w:val="263244"/>
          <w:sz w:val="22"/>
        </w:rPr>
        <w:t>: bindings such as primary security, issuer, venue, location, opponent, or reference index.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3"/>
      </w:pPr>
      <w:r>
        <w:t>D. Forecast and receipt records</w:t>
      </w:r>
    </w:p>
    <w:p>
      <w:pPr>
        <w:numPr>
          <w:ilvl w:val="0"/>
          <w:numId w:val="21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submissions</w:t>
      </w:r>
      <w:r>
        <w:rPr>
          <w:rFonts w:ascii="Arial" w:hAnsi="Arial"/>
          <w:color w:val="263244"/>
          <w:sz w:val="22"/>
        </w:rPr>
        <w:t>: intake state and validation report.</w:t>
      </w:r>
      <w:r>
        <w:br/>
      </w:r>
    </w:p>
    <w:p>
      <w:pPr>
        <w:numPr>
          <w:ilvl w:val="0"/>
          <w:numId w:val="21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forecasts</w:t>
      </w:r>
      <w:r>
        <w:rPr>
          <w:rFonts w:ascii="Arial" w:hAnsi="Arial"/>
          <w:color w:val="263244"/>
          <w:sz w:val="22"/>
        </w:rPr>
        <w:t>: queryable forecast index and version references.</w:t>
      </w:r>
      <w:r>
        <w:br/>
      </w:r>
    </w:p>
    <w:p>
      <w:pPr>
        <w:numPr>
          <w:ilvl w:val="0"/>
          <w:numId w:val="21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receipts</w:t>
      </w:r>
      <w:r>
        <w:rPr>
          <w:rFonts w:ascii="Arial" w:hAnsi="Arial"/>
          <w:color w:val="263244"/>
          <w:sz w:val="22"/>
        </w:rPr>
        <w:t>: immutable OFR payload and digest.</w:t>
      </w:r>
      <w:r>
        <w:br/>
      </w:r>
    </w:p>
    <w:p>
      <w:pPr>
        <w:numPr>
          <w:ilvl w:val="0"/>
          <w:numId w:val="21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evaluations</w:t>
      </w:r>
      <w:r>
        <w:rPr>
          <w:rFonts w:ascii="Arial" w:hAnsi="Arial"/>
          <w:color w:val="263244"/>
          <w:sz w:val="22"/>
        </w:rPr>
        <w:t>: maturity-aware resolution and scoring records.</w:t>
      </w:r>
      <w:r>
        <w:br/>
      </w:r>
    </w:p>
    <w:p>
      <w:pPr>
        <w:numPr>
          <w:ilvl w:val="0"/>
          <w:numId w:val="21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corrections</w:t>
      </w:r>
      <w:r>
        <w:rPr>
          <w:rFonts w:ascii="Arial" w:hAnsi="Arial"/>
          <w:color w:val="263244"/>
          <w:sz w:val="22"/>
        </w:rPr>
        <w:t>: append-only correction lineage.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3"/>
      </w:pPr>
      <w:r>
        <w:t>E. Proof and publication operations</w:t>
      </w:r>
    </w:p>
    <w:p>
      <w:pPr>
        <w:numPr>
          <w:ilvl w:val="0"/>
          <w:numId w:val="22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proof_jobs</w:t>
      </w:r>
      <w:r>
        <w:rPr>
          <w:rFonts w:ascii="Arial" w:hAnsi="Arial"/>
          <w:color w:val="263244"/>
          <w:sz w:val="22"/>
        </w:rPr>
        <w:t>: private work queue, one job per receipt/network.</w:t>
      </w:r>
      <w:r>
        <w:br/>
      </w:r>
    </w:p>
    <w:p>
      <w:pPr>
        <w:numPr>
          <w:ilvl w:val="0"/>
          <w:numId w:val="22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proof_runs</w:t>
      </w:r>
      <w:r>
        <w:rPr>
          <w:rFonts w:ascii="Arial" w:hAnsi="Arial"/>
          <w:color w:val="263244"/>
          <w:sz w:val="22"/>
        </w:rPr>
        <w:t>: a transport run that may batch multiple independent jobs.</w:t>
      </w:r>
      <w:r>
        <w:br/>
      </w:r>
    </w:p>
    <w:p>
      <w:pPr>
        <w:numPr>
          <w:ilvl w:val="0"/>
          <w:numId w:val="22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public_proofs</w:t>
      </w:r>
      <w:r>
        <w:rPr>
          <w:rFonts w:ascii="Arial" w:hAnsi="Arial"/>
          <w:color w:val="263244"/>
          <w:sz w:val="22"/>
        </w:rPr>
        <w:t>: verified attestation UID, transaction hash, chain, schema, and decoded integrity fields.</w:t>
      </w:r>
      <w:r>
        <w:br/>
      </w:r>
    </w:p>
    <w:p>
      <w:pPr>
        <w:numPr>
          <w:ilvl w:val="0"/>
          <w:numId w:val="22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signer_profiles</w:t>
      </w:r>
      <w:r>
        <w:rPr>
          <w:rFonts w:ascii="Arial" w:hAnsi="Arial"/>
          <w:color w:val="263244"/>
          <w:sz w:val="22"/>
        </w:rPr>
        <w:t>: public address, KMS key resource reference, chain policy, and status; never private key material.</w:t>
      </w:r>
      <w:r>
        <w:br/>
      </w:r>
    </w:p>
    <w:p>
      <w:pPr>
        <w:numPr>
          <w:ilvl w:val="0"/>
          <w:numId w:val="22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gas_ledger</w:t>
      </w:r>
      <w:r>
        <w:rPr>
          <w:rFonts w:ascii="Arial" w:hAnsi="Arial"/>
          <w:color w:val="263244"/>
          <w:sz w:val="22"/>
        </w:rPr>
        <w:t>: estimate, actual gas, fee, exchange-rate reference, and cost center.</w:t>
      </w:r>
      <w:r>
        <w:br/>
      </w:r>
    </w:p>
    <w:p>
      <w:pPr>
        <w:numPr>
          <w:ilvl w:val="0"/>
          <w:numId w:val="22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publisher_runs</w:t>
      </w:r>
      <w:r>
        <w:rPr>
          <w:rFonts w:ascii="Arial" w:hAnsi="Arial"/>
          <w:color w:val="263244"/>
          <w:sz w:val="22"/>
        </w:rPr>
        <w:t>: controlled publication audit records.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4.2 Firestore collection boundary</w:t>
      </w:r>
    </w:p>
    <w:p>
      <w:r>
        <w:rPr>
          <w:rFonts w:ascii="Arial" w:hAnsi="Arial"/>
          <w:color w:val="263244"/>
          <w:sz w:val="22"/>
        </w:rPr>
        <w:t>Keep governed/admin collections private and generate denormalized public projections: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6"/>
              </w:rPr>
              <w:t>Private / Admin SDK only                 Public read-only</w:t>
              <w:br/>
              <w:t>--------------------------------------   ---------------------------------</w:t>
              <w:br/>
              <w:t>organizations                            public_publishers</w:t>
              <w:br/>
              <w:t>people                                   public_entities</w:t>
              <w:br/>
              <w:t>teams                                    public_targets</w:t>
              <w:br/>
              <w:t>products                                 public_collections</w:t>
              <w:br/>
              <w:t>publisher_profiles                       public_forecasters</w:t>
              <w:br/>
              <w:t>entities + entity_versions               public_forecasts</w:t>
              <w:br/>
              <w:t>entity_candidates + editorial_reviews    public_receipts</w:t>
              <w:br/>
              <w:t>target_definitions + target_versions      public_proofs</w:t>
              <w:br/>
              <w:t>submissions</w:t>
              <w:br/>
              <w:t>proof_jobs + proof_runs</w:t>
              <w:br/>
              <w:t>signer_profiles + gas_ledger</w:t>
            </w:r>
          </w:p>
        </w:tc>
      </w:tr>
    </w:tbl>
    <w:p>
      <w:pPr>
        <w:spacing w:after="0"/>
      </w:pPr>
    </w:p>
    <w:p>
      <w:r>
        <w:rPr>
          <w:rFonts w:ascii="Arial" w:hAnsi="Arial"/>
          <w:color w:val="263244"/>
          <w:sz w:val="22"/>
        </w:rPr>
        <w:t xml:space="preserve">The browser receives read access only to </w:t>
      </w:r>
      <w:r>
        <w:rPr>
          <w:rFonts w:ascii="Consolas" w:hAnsi="Consolas"/>
          <w:color w:val="1F4D78"/>
          <w:sz w:val="20"/>
        </w:rPr>
        <w:t>public_*</w:t>
      </w:r>
      <w:r>
        <w:rPr>
          <w:rFonts w:ascii="Arial" w:hAnsi="Arial"/>
          <w:color w:val="263244"/>
          <w:sz w:val="22"/>
        </w:rPr>
        <w:t xml:space="preserve"> collections. No browser can write or list private collections. A controlled backend publisher uses the Firebase Admin SDK and IAM to validate and write both governed records and public projections.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4.3 Why Firestore, not BigQuery or SQL, is the operational master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2700"/>
        <w:gridCol w:w="4460"/>
      </w:tblGrid>
      <w:tr>
        <w:trPr>
          <w:tblHeader w:val="true"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Option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Decision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Reason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Firestore Standard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Use now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Serverless, real-time public reads, IAM/Admin SDK, Security Rules, no idle instance, and a free quota of 1 GiB storage, 50,000 reads/day, and 20,000 writes/day. [14]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BigQuery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Analytics mirror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Excellent for joins, history, scoring, and cross-product analytics; not an editorial CRUD system, public API, or Security Rules replacement. The first 1 TiB of query processing per month is free, making a low-volume mirror inexpensive. [15]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Firebase SQL Connect / Cloud SQL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Do not use now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The service can expose typed APIs, but the underlying Cloud SQL instance starts around $9.37/month after its limited trial, already above the $5 budget before hosting or proofs. [16]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External free Postgres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Defer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Adds another vendor, auth surface, migration path, and operational dependency without solving a current scale problem.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Neo4j AuraDB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Optional read replica later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AuraDB Free is positioned for learning and exploration and lacks production controls; AuraDB Professional starts at $65.70/month for a 1 GB instance, above the OFL budget. [27]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Spanner Graph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Do not use now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Technically strong, but Spanner Graph requires Enterprise or Enterprise Plus and targets substantially larger operational graph workloads. [28]</w:t>
            </w:r>
          </w:p>
        </w:tc>
      </w:tr>
    </w:tbl>
    <w:p>
      <w:pPr>
        <w:spacing w:after="0"/>
      </w:pPr>
    </w:p>
    <w:p>
      <w:r>
        <w:rPr>
          <w:rFonts w:ascii="Arial" w:hAnsi="Arial"/>
          <w:color w:val="263244"/>
          <w:sz w:val="22"/>
        </w:rPr>
        <w:t>The recommended low-cost pattern is: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6"/>
              </w:rPr>
              <w:t>iPulse pipelines / controlled upload</w:t>
              <w:br/>
              <w:t xml:space="preserve">              |</w:t>
              <w:br/>
              <w:t xml:space="preserve">              v</w:t>
              <w:br/>
              <w:t>OFL Publisher Service -&gt; Private Firestore master -&gt; Public Firestore projections</w:t>
              <w:br/>
              <w:t xml:space="preserve">              |                    |</w:t>
              <w:br/>
              <w:t xml:space="preserve">              |                    +-&gt; Library web app</w:t>
              <w:br/>
              <w:t xml:space="preserve">              |</w:t>
              <w:br/>
              <w:t xml:space="preserve">              +-&gt; Optional batched BigQuery mirror for analytics and reconciliation</w:t>
            </w:r>
          </w:p>
        </w:tc>
      </w:tr>
    </w:tbl>
    <w:p>
      <w:pPr>
        <w:spacing w:after="0"/>
      </w:pPr>
    </w:p>
    <w:p>
      <w:r>
        <w:rPr>
          <w:rFonts w:ascii="Arial" w:hAnsi="Arial"/>
          <w:color w:val="263244"/>
          <w:sz w:val="22"/>
        </w:rPr>
        <w:t xml:space="preserve">The existing iPulse </w:t>
      </w:r>
      <w:r>
        <w:rPr>
          <w:rFonts w:ascii="Consolas" w:hAnsi="Consolas"/>
          <w:color w:val="1F4D78"/>
          <w:sz w:val="20"/>
        </w:rPr>
        <w:t>dim_fincore_market_assets</w:t>
      </w:r>
      <w:r>
        <w:rPr>
          <w:rFonts w:ascii="Arial" w:hAnsi="Arial"/>
          <w:color w:val="263244"/>
          <w:sz w:val="22"/>
        </w:rPr>
        <w:t xml:space="preserve"> table remains the operational master for assets that iPulse actively sources and forecasts. OFL is the semantic master for reviewed identity assertions, external mappings, relationships, and domain-general entities. For iPulse-origin entities there is no artificial crosswalk: </w:t>
      </w:r>
      <w:r>
        <w:rPr>
          <w:rFonts w:ascii="Consolas" w:hAnsi="Consolas"/>
          <w:color w:val="1F4D78"/>
          <w:sz w:val="20"/>
        </w:rPr>
        <w:t>asset_id = subject_id = entityId</w:t>
      </w:r>
      <w:r>
        <w:rPr>
          <w:rFonts w:ascii="Arial" w:hAnsi="Arial"/>
          <w:color w:val="263244"/>
          <w:sz w:val="22"/>
        </w:rPr>
        <w:t xml:space="preserve"> at the identity layer.</w:t>
      </w:r>
    </w:p>
    <w:p>
      <w:r>
        <w:rPr>
          <w:rFonts w:ascii="Arial" w:hAnsi="Arial"/>
          <w:color w:val="263244"/>
          <w:sz w:val="22"/>
        </w:rPr>
        <w:t xml:space="preserve">The first governed snapshot contains all 377 distinct entities with an ACTIVE, FINISHED forecast in iPulse AI scoring batch 6, plus 19 supporting market-venue entities. It is stored as </w:t>
      </w:r>
      <w:r>
        <w:rPr>
          <w:rFonts w:ascii="Consolas" w:hAnsi="Consolas"/>
          <w:color w:val="1F4D78"/>
          <w:sz w:val="20"/>
        </w:rPr>
        <w:t>data/ipulse/scoring-batch-6-entity-catalog.json</w:t>
      </w:r>
      <w:r>
        <w:rPr>
          <w:rFonts w:ascii="Arial" w:hAnsi="Arial"/>
          <w:color w:val="263244"/>
          <w:sz w:val="22"/>
        </w:rPr>
        <w:t xml:space="preserve">, sealed with SHA-256 digest </w:t>
      </w:r>
      <w:r>
        <w:rPr>
          <w:rFonts w:ascii="Consolas" w:hAnsi="Consolas"/>
          <w:color w:val="1F4D78"/>
          <w:sz w:val="20"/>
        </w:rPr>
        <w:t>443f9cb315b4432d9a6be460e7cc82184a847ebba3e818ae0058f1cac92006e7</w:t>
      </w:r>
      <w:r>
        <w:rPr>
          <w:rFonts w:ascii="Arial" w:hAnsi="Arial"/>
          <w:color w:val="263244"/>
          <w:sz w:val="22"/>
        </w:rPr>
        <w:t xml:space="preserve">, and published to </w:t>
      </w:r>
      <w:r>
        <w:rPr>
          <w:rFonts w:ascii="Consolas" w:hAnsi="Consolas"/>
          <w:color w:val="1F4D78"/>
          <w:sz w:val="20"/>
        </w:rPr>
        <w:t>oflapp-staging</w:t>
      </w:r>
      <w:r>
        <w:rPr>
          <w:rFonts w:ascii="Arial" w:hAnsi="Arial"/>
          <w:color w:val="263244"/>
          <w:sz w:val="22"/>
        </w:rPr>
        <w:t xml:space="preserve"> as 5,726 Firestore documents. The forecast entities span listed securities, exchange-traded funds, cryptoassets, currency pairs, and commodity spot assets.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4.4 Why a graph-shaped model does not require a graph database yet</w:t>
      </w:r>
    </w:p>
    <w:p>
      <w:r>
        <w:rPr>
          <w:rFonts w:ascii="Arial" w:hAnsi="Arial"/>
          <w:color w:val="263244"/>
          <w:sz w:val="22"/>
        </w:rPr>
        <w:t xml:space="preserve">Firestore stores the operational knowledge graph as explicit node and edge collections: </w:t>
      </w:r>
      <w:r>
        <w:rPr>
          <w:rFonts w:ascii="Consolas" w:hAnsi="Consolas"/>
          <w:color w:val="1F4D78"/>
          <w:sz w:val="20"/>
        </w:rPr>
        <w:t>entities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entity_versions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entity_identifiers</w:t>
      </w:r>
      <w:r>
        <w:rPr>
          <w:rFonts w:ascii="Arial" w:hAnsi="Arial"/>
          <w:color w:val="263244"/>
          <w:sz w:val="22"/>
        </w:rPr>
        <w:t xml:space="preserve">, and </w:t>
      </w:r>
      <w:r>
        <w:rPr>
          <w:rFonts w:ascii="Consolas" w:hAnsi="Consolas"/>
          <w:color w:val="1F4D78"/>
          <w:sz w:val="20"/>
        </w:rPr>
        <w:t>entity_relationships</w:t>
      </w:r>
      <w:r>
        <w:rPr>
          <w:rFonts w:ascii="Arial" w:hAnsi="Arial"/>
          <w:color w:val="263244"/>
          <w:sz w:val="22"/>
        </w:rPr>
        <w:t>. This preserves graph semantics without paying for a second always-on database. The controlled publisher validates referential integrity and emits JSON-LD plus exportable JSONL or Parquet snapshots.</w:t>
      </w:r>
    </w:p>
    <w:p>
      <w:r>
        <w:rPr>
          <w:rFonts w:ascii="Arial" w:hAnsi="Arial"/>
          <w:color w:val="263244"/>
          <w:sz w:val="22"/>
        </w:rPr>
        <w:t>Add a graph database only when measured use cases require repeated multi-hop traversal, path finding, community detection, graph-based entity resolution, recommendations, or GraphRAG at a scale where bounded Firestore lookups and BigQuery joins are no longer adequate. At that point, feed Neo4j or another graph engine as a disposable read model; do not make it the identity authority. Spanner Graph becomes reasonable only if OFL grows into a mission-critical, high-scale graph workload that can justify Enterprise Spanner.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4.5 When to reconsider Postgres or another operational store</w:t>
      </w:r>
    </w:p>
    <w:p>
      <w:r>
        <w:rPr>
          <w:rFonts w:ascii="Arial" w:hAnsi="Arial"/>
          <w:color w:val="263244"/>
          <w:sz w:val="22"/>
        </w:rPr>
        <w:t>Revisit a relational operational store only when at least one real threshold appears:</w:t>
      </w:r>
    </w:p>
    <w:p>
      <w:pPr>
        <w:numPr>
          <w:ilvl w:val="0"/>
          <w:numId w:val="23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complex multi-entity editorial queries cannot be served by bounded Firestore indexes;</w:t>
      </w:r>
      <w:r>
        <w:br/>
      </w:r>
    </w:p>
    <w:p>
      <w:pPr>
        <w:numPr>
          <w:ilvl w:val="0"/>
          <w:numId w:val="23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transactional constraints span many documents and become error-prone;</w:t>
      </w:r>
      <w:r>
        <w:br/>
      </w:r>
    </w:p>
    <w:p>
      <w:pPr>
        <w:numPr>
          <w:ilvl w:val="0"/>
          <w:numId w:val="23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third-party publishers require sophisticated row-level tenancy and reporting;</w:t>
      </w:r>
      <w:r>
        <w:br/>
      </w:r>
    </w:p>
    <w:p>
      <w:pPr>
        <w:numPr>
          <w:ilvl w:val="0"/>
          <w:numId w:val="23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entity relationships become graph-heavy enough that a search/index layer is justified;</w:t>
      </w:r>
      <w:r>
        <w:br/>
      </w:r>
    </w:p>
    <w:p>
      <w:pPr>
        <w:numPr>
          <w:ilvl w:val="0"/>
          <w:numId w:val="23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monthly Firestore read amplification is materially more expensive than a small SQL instance.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r>
        <w:rPr>
          <w:rFonts w:ascii="Arial" w:hAnsi="Arial"/>
          <w:color w:val="263244"/>
          <w:sz w:val="22"/>
        </w:rPr>
        <w:t>Do not migrate because a relational diagram looks cleaner at today's scale.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4.6 Identifier storage and two-way catalog synchronization</w:t>
      </w:r>
    </w:p>
    <w:p>
      <w:r>
        <w:rPr>
          <w:rFonts w:ascii="Arial" w:hAnsi="Arial"/>
          <w:color w:val="263244"/>
          <w:sz w:val="22"/>
        </w:rPr>
        <w:t xml:space="preserve">Wikidata, Google Knowledge Graph, ISIN, FIGI, MIC, LEI, and future schemes do not belong in the iPulse asset </w:t>
      </w:r>
      <w:r>
        <w:rPr>
          <w:rFonts w:ascii="Consolas" w:hAnsi="Consolas"/>
          <w:color w:val="1F4D78"/>
          <w:sz w:val="20"/>
        </w:rPr>
        <w:t>tags</w:t>
      </w:r>
      <w:r>
        <w:rPr>
          <w:rFonts w:ascii="Arial" w:hAnsi="Arial"/>
          <w:color w:val="263244"/>
          <w:sz w:val="22"/>
        </w:rPr>
        <w:t xml:space="preserve"> JSON. Tags are useful for loose filtering; identifiers require uniqueness rules, provenance, temporal validity, and review. Adding one nullable dimension column per external scheme would also create continual Liquibase churn.</w:t>
      </w:r>
    </w:p>
    <w:p>
      <w:r>
        <w:rPr>
          <w:rFonts w:ascii="Arial" w:hAnsi="Arial"/>
          <w:color w:val="263244"/>
          <w:sz w:val="22"/>
        </w:rPr>
        <w:t xml:space="preserve">Use a normalized iPulse BigQuery table, </w:t>
      </w:r>
      <w:r>
        <w:rPr>
          <w:rFonts w:ascii="Consolas" w:hAnsi="Consolas"/>
          <w:color w:val="1F4D78"/>
          <w:sz w:val="20"/>
        </w:rPr>
        <w:t>xref_fincore_entity_identifiers</w:t>
      </w:r>
      <w:r>
        <w:rPr>
          <w:rFonts w:ascii="Arial" w:hAnsi="Arial"/>
          <w:color w:val="263244"/>
          <w:sz w:val="22"/>
        </w:rPr>
        <w:t xml:space="preserve">, managed by Liquibase. Keep high-value operational columns already present on </w:t>
      </w:r>
      <w:r>
        <w:rPr>
          <w:rFonts w:ascii="Consolas" w:hAnsi="Consolas"/>
          <w:color w:val="1F4D78"/>
          <w:sz w:val="20"/>
        </w:rPr>
        <w:t>dim_fincore_market_assets</w:t>
      </w:r>
      <w:r>
        <w:rPr>
          <w:rFonts w:ascii="Arial" w:hAnsi="Arial"/>
          <w:color w:val="263244"/>
          <w:sz w:val="22"/>
        </w:rPr>
        <w:t>, such as ISIN and FIGI, for fast joins, and mirror them into the identifier registry. OFL keeps the richer semantic assertion and review history.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6"/>
              </w:rPr>
              <w:t>iPulse -&gt; OFL</w:t>
              <w:br/>
              <w:t xml:space="preserve">  approved dim asset + identifiers</w:t>
              <w:br/>
              <w:t xml:space="preserve">    -&gt; deterministic catalog snapshot</w:t>
              <w:br/>
              <w:t xml:space="preserve">    -&gt; create or verify entity/version/identifier/edge documents</w:t>
              <w:br/>
              <w:t xml:space="preserve">    -&gt; public entity projection</w:t>
              <w:br/>
              <w:br/>
              <w:t>OFL -&gt; iPulse (selective)</w:t>
              <w:br/>
              <w:t xml:space="preserve">  approved Library entity classified as forecastable_entity + asset</w:t>
              <w:br/>
              <w:t xml:space="preserve">    -&gt; ipulse_adoption_request</w:t>
              <w:br/>
              <w:t xml:space="preserve">    -&gt; editorial and data-availability review</w:t>
              <w:br/>
              <w:t xml:space="preserve">    -&gt; PENDING iPulse onboarding definition</w:t>
              <w:br/>
              <w:t xml:space="preserve">    -&gt; normal market-data, fundamental, prediction, and publication gates</w:t>
              <w:br/>
              <w:t xml:space="preserve">    -&gt; ACTIVE only after existing iPulse acceptance checks pass</w:t>
            </w:r>
          </w:p>
        </w:tc>
      </w:tr>
    </w:tbl>
    <w:p>
      <w:pPr>
        <w:spacing w:after="0"/>
      </w:pPr>
    </w:p>
    <w:p>
      <w:r>
        <w:rPr>
          <w:rFonts w:ascii="Arial" w:hAnsi="Arial"/>
          <w:color w:val="263244"/>
          <w:sz w:val="22"/>
        </w:rPr>
        <w:t xml:space="preserve">No Library process may insert directly into an ACTIVE iPulse dimension row. The current Python seed files should become bootstrap or migration fixtures rather than the permanent per-asset intake interface. A controlled catalog importer should eventually create governed </w:t>
      </w:r>
      <w:r>
        <w:rPr>
          <w:rFonts w:ascii="Consolas" w:hAnsi="Consolas"/>
          <w:color w:val="1F4D78"/>
          <w:sz w:val="20"/>
        </w:rPr>
        <w:t>PENDING</w:t>
      </w:r>
      <w:r>
        <w:rPr>
          <w:rFonts w:ascii="Arial" w:hAnsi="Arial"/>
          <w:color w:val="263244"/>
          <w:sz w:val="22"/>
        </w:rPr>
        <w:t xml:space="preserve"> onboarding definitions so approved Library entities can be adopted without editing source code for each asset.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1"/>
      </w:pPr>
      <w:r>
        <w:t>5. Entity master contract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5.1 Example entity document: PepsiCo organization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6"/>
              </w:rPr>
              <w:t>{</w:t>
              <w:br/>
              <w:t xml:space="preserve">  "entityId": "ent_org_7f6d2e17b1b64d899b44b1787d437e0f",</w:t>
              <w:br/>
              <w:t xml:space="preserve">  "entityType": "organization",</w:t>
              <w:br/>
              <w:t xml:space="preserve">  "status": "approved",</w:t>
              <w:br/>
              <w:t xml:space="preserve">  "currentVersionId": "entv_01J5PEPSICO000000000000001",</w:t>
              <w:br/>
              <w:t xml:space="preserve">  "canonicalName": "PepsiCo, Inc.",</w:t>
              <w:br/>
              <w:t xml:space="preserve">  "description": "American food and beverage company.",</w:t>
              <w:br/>
              <w:t xml:space="preserve">  "schemaOrgTypes": ["Organization", "Corporation"],</w:t>
              <w:br/>
              <w:t xml:space="preserve">  "sameAs": [</w:t>
              <w:br/>
              <w:t xml:space="preserve">    "https://www.wikidata.org/entity/Q334800"</w:t>
              <w:br/>
              <w:t xml:space="preserve">  ],</w:t>
              <w:br/>
              <w:t xml:space="preserve">  "identifiers": [</w:t>
              <w:br/>
              <w:t xml:space="preserve">    {</w:t>
              <w:br/>
              <w:t xml:space="preserve">      "scheme": "wikidata",</w:t>
              <w:br/>
              <w:t xml:space="preserve">      "value": "Q334800",</w:t>
              <w:br/>
              <w:t xml:space="preserve">      "canonicalUri": "https://www.wikidata.org/entity/Q334800",</w:t>
              <w:br/>
              <w:t xml:space="preserve">      "matchType": "same_as",</w:t>
              <w:br/>
              <w:t xml:space="preserve">      "status": "verified"</w:t>
              <w:br/>
              <w:t xml:space="preserve">    }</w:t>
              <w:br/>
              <w:t xml:space="preserve">  ],</w:t>
              <w:br/>
              <w:t xml:space="preserve">  "editorial": {</w:t>
              <w:br/>
              <w:t xml:space="preserve">    "approvedByPartyId": "party_future_edge_editorial",</w:t>
              <w:br/>
              <w:t xml:space="preserve">    "approvedAt": "2026-08-12T00:00:00Z",</w:t>
              <w:br/>
              <w:t xml:space="preserve">    "policyVersion": "ofl-entity-policy-0.1"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5.2 Example entity document: PEP security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6"/>
              </w:rPr>
              <w:t>{</w:t>
              <w:br/>
              <w:t xml:space="preserve">  "entityId": "equity_ea8243e7-75bd-549b-9ba6-48e03cf982c1",</w:t>
              <w:br/>
              <w:t xml:space="preserve">  "entityType": "listed_security",</w:t>
              <w:br/>
              <w:t xml:space="preserve">  "status": "approved",</w:t>
              <w:br/>
              <w:t xml:space="preserve">  "canonicalName": "PepsiCo common stock",</w:t>
              <w:br/>
              <w:t xml:space="preserve">  "schemaOrgTypes": ["Product"],</w:t>
              <w:br/>
              <w:t xml:space="preserve">  "additionalTypes": [</w:t>
              <w:br/>
              <w:t xml:space="preserve">    "https://ipulseai.com/tools/open-forecast-receipt/v0.2/vocab#ListedSecurity"</w:t>
              <w:br/>
              <w:t xml:space="preserve">  ],</w:t>
              <w:br/>
              <w:t xml:space="preserve">  "identifiers": [</w:t>
              <w:br/>
              <w:t xml:space="preserve">    { "scheme": "isin", "value": "US7134481081", "status": "verified" },</w:t>
              <w:br/>
              <w:t xml:space="preserve">    { "scheme": "figi_composite", "value": "BBG000DH7JK6", "status": "verified" },</w:t>
              <w:br/>
              <w:t xml:space="preserve">    { "scheme": "figi_share_class", "value": "BBG001S695T1", "status": "verified" },</w:t>
              <w:br/>
              <w:t xml:space="preserve">    {</w:t>
              <w:br/>
              <w:t xml:space="preserve">      "scheme": "ticker_mic",</w:t>
              <w:br/>
              <w:t xml:space="preserve">      "value": "PEP:XNAS",</w:t>
              <w:br/>
              <w:t xml:space="preserve">      "validFrom": null,</w:t>
              <w:br/>
              <w:t xml:space="preserve">      "validTo": null,</w:t>
              <w:br/>
              <w:t xml:space="preserve">      "status": "verified"</w:t>
              <w:br/>
              <w:t xml:space="preserve">    },</w:t>
              <w:br/>
              <w:t xml:space="preserve">    { "scheme": "ipulse_symbol", "value": "PEP.NASDAQ", "status": "internal" }</w:t>
              <w:br/>
              <w:t xml:space="preserve">  ],</w:t>
              <w:br/>
              <w:t xml:space="preserve">  "sameAs": [],</w:t>
              <w:br/>
              <w:t xml:space="preserve">  "relationships": [</w:t>
              <w:br/>
              <w:t xml:space="preserve">    {</w:t>
              <w:br/>
              <w:t xml:space="preserve">      "predicate": "issued_by",</w:t>
              <w:br/>
              <w:t xml:space="preserve">      "objectEntityId": "ent_org_7f6d2e17b1b64d899b44b1787d437e0f"</w:t>
              <w:br/>
              <w:t xml:space="preserve">    },</w:t>
              <w:br/>
              <w:t xml:space="preserve">    {</w:t>
              <w:br/>
              <w:t xml:space="preserve">      "predicate": "listed_on",</w:t>
              <w:br/>
              <w:t xml:space="preserve">      "objectEntityId": "ent_market_xnas"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0"/>
      </w:pPr>
    </w:p>
    <w:p>
      <w:r>
        <w:rPr>
          <w:rFonts w:ascii="Arial" w:hAnsi="Arial"/>
          <w:color w:val="263244"/>
          <w:sz w:val="22"/>
        </w:rPr>
        <w:t xml:space="preserve">This intentionally does not claim that the PEP security is </w:t>
      </w:r>
      <w:r>
        <w:rPr>
          <w:rFonts w:ascii="Consolas" w:hAnsi="Consolas"/>
          <w:color w:val="1F4D78"/>
          <w:sz w:val="20"/>
        </w:rPr>
        <w:t>sameAs</w:t>
      </w:r>
      <w:r>
        <w:rPr>
          <w:rFonts w:ascii="Arial" w:hAnsi="Arial"/>
          <w:color w:val="263244"/>
          <w:sz w:val="22"/>
        </w:rPr>
        <w:t xml:space="preserve"> the PepsiCo company.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5.3 Example target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6"/>
              </w:rPr>
              <w:t>{</w:t>
              <w:br/>
              <w:t xml:space="preserve">  "targetId": "tgt_market_adjusted_close_step_return_3m_v1",</w:t>
              <w:br/>
              <w:t xml:space="preserve">  "targetVersionId": "tgtv_01J5PEP3M0000000000000001",</w:t>
              <w:br/>
              <w:t xml:space="preserve">  "status": "approved",</w:t>
              <w:br/>
              <w:t xml:space="preserve">  "name": "Adjusted end-of-day close step return",</w:t>
              <w:br/>
              <w:t xml:space="preserve">  "targetKind": "numeric_path",</w:t>
              <w:br/>
              <w:t xml:space="preserve">  "domain": "markets",</w:t>
              <w:br/>
              <w:t xml:space="preserve">  "entityRoles": [</w:t>
              <w:br/>
              <w:t xml:space="preserve">    {</w:t>
              <w:br/>
              <w:t xml:space="preserve">      "role": "primary_instrument",</w:t>
              <w:br/>
              <w:t xml:space="preserve">      "entityId": "equity_ea8243e7-75bd-549b-9ba6-48e03cf982c1",</w:t>
              <w:br/>
              <w:t xml:space="preserve">      "entityVersionId": "entv_01J5PEPSEC000000000000001"</w:t>
              <w:br/>
              <w:t xml:space="preserve">    },</w:t>
              <w:br/>
              <w:t xml:space="preserve">    {</w:t>
              <w:br/>
              <w:t xml:space="preserve">      "role": "issuer",</w:t>
              <w:br/>
              <w:t xml:space="preserve">      "entityId": "ent_org_7f6d2e17b1b64d899b44b1787d437e0f",</w:t>
              <w:br/>
              <w:t xml:space="preserve">      "entityVersionId": "entv_01J5PEPSICO000000000000001"</w:t>
              <w:br/>
              <w:t xml:space="preserve">    }</w:t>
              <w:br/>
              <w:t xml:space="preserve">  ],</w:t>
              <w:br/>
              <w:t xml:space="preserve">  "observable": "adjusted_end_of_day_close",</w:t>
              <w:br/>
              <w:t xml:space="preserve">  "transformation": "percentage_change_from_previous_point",</w:t>
              <w:br/>
              <w:t xml:space="preserve">  "outputUnit": "percent",</w:t>
              <w:br/>
              <w:t xml:space="preserve">  "cadence": "P3M",</w:t>
              <w:br/>
              <w:t xml:space="preserve">  "pointCount": 20,</w:t>
              <w:br/>
              <w:t xml:space="preserve">  "resolutionPolicyId": "res_market_adjusted_close_v1"</w:t>
              <w:br/>
              <w:t>}</w:t>
            </w:r>
          </w:p>
        </w:tc>
      </w:tr>
    </w:tbl>
    <w:p>
      <w:pPr>
        <w:spacing w:after="0"/>
      </w:pPr>
    </w:p>
    <w:p>
      <w:r>
        <w:rPr>
          <w:rFonts w:ascii="Arial" w:hAnsi="Arial"/>
          <w:color w:val="263244"/>
          <w:sz w:val="22"/>
        </w:rPr>
        <w:t xml:space="preserve">The human interface should display </w:t>
      </w:r>
      <w:r>
        <w:rPr>
          <w:rFonts w:ascii="Consolas" w:hAnsi="Consolas"/>
          <w:color w:val="1F4D78"/>
          <w:sz w:val="20"/>
        </w:rPr>
        <w:t>-0.40%</w:t>
      </w:r>
      <w:r>
        <w:rPr>
          <w:rFonts w:ascii="Arial" w:hAnsi="Arial"/>
          <w:color w:val="263244"/>
          <w:sz w:val="22"/>
        </w:rPr>
        <w:t xml:space="preserve"> or the underlying decimal </w:t>
      </w:r>
      <w:r>
        <w:rPr>
          <w:rFonts w:ascii="Consolas" w:hAnsi="Consolas"/>
          <w:color w:val="1F4D78"/>
          <w:sz w:val="20"/>
        </w:rPr>
        <w:t>-0.004</w:t>
      </w:r>
      <w:r>
        <w:rPr>
          <w:rFonts w:ascii="Arial" w:hAnsi="Arial"/>
          <w:color w:val="263244"/>
          <w:sz w:val="22"/>
        </w:rPr>
        <w:t xml:space="preserve">, never the internal integer </w:t>
      </w:r>
      <w:r>
        <w:rPr>
          <w:rFonts w:ascii="Consolas" w:hAnsi="Consolas"/>
          <w:color w:val="1F4D78"/>
          <w:sz w:val="20"/>
        </w:rPr>
        <w:t>-40 bps</w:t>
      </w:r>
      <w:r>
        <w:rPr>
          <w:rFonts w:ascii="Arial" w:hAnsi="Arial"/>
          <w:color w:val="263244"/>
          <w:sz w:val="22"/>
        </w:rPr>
        <w:t xml:space="preserve"> without a unit label. Storage may use integer basis points for deterministic encoding, but presentation must convert explicitly.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1"/>
      </w:pPr>
      <w:r>
        <w:t>6. Publisher and forecaster contract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6.1 Publisher profile example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6"/>
              </w:rPr>
              <w:t>{</w:t>
              <w:br/>
              <w:t xml:space="preserve">  "publisherProfileId": "pub_ipulse_ai",</w:t>
              <w:br/>
              <w:t xml:space="preserve">  "displayName": "iPulse AI",</w:t>
              <w:br/>
              <w:t xml:space="preserve">  "profileType": "product_brand",</w:t>
              <w:br/>
              <w:t xml:space="preserve">  "accountablePartyId": "org_future_edge_group_fze",</w:t>
              <w:br/>
              <w:t xml:space="preserve">  "productId": "product_ipulse_ai",</w:t>
              <w:br/>
              <w:t xml:space="preserve">  "operatingTeamId": "team_ipulse_ai_research",</w:t>
              <w:br/>
              <w:t xml:space="preserve">  "status": "active",</w:t>
              <w:br/>
              <w:t xml:space="preserve">  "publicDescription": "Open Agentic Investment Research Platform",</w:t>
              <w:br/>
              <w:t xml:space="preserve">  "submissionPolicy": "controlled_internal",</w:t>
              <w:br/>
              <w:t xml:space="preserve">  "editorialPolicyVersion": "ofl-editorial-0.1"</w:t>
              <w:br/>
              <w:t>}</w:t>
            </w:r>
          </w:p>
        </w:tc>
      </w:tr>
    </w:tbl>
    <w:p>
      <w:pPr>
        <w:spacing w:after="0"/>
      </w:pP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6.2 Forecast roles</w:t>
      </w:r>
    </w:p>
    <w:p>
      <w:r>
        <w:rPr>
          <w:rFonts w:ascii="Arial" w:hAnsi="Arial"/>
          <w:color w:val="263244"/>
          <w:sz w:val="22"/>
        </w:rPr>
        <w:t>A forecast record should independently reference:</w:t>
      </w:r>
    </w:p>
    <w:p>
      <w:pPr>
        <w:numPr>
          <w:ilvl w:val="0"/>
          <w:numId w:val="24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publisherProfileId</w:t>
      </w:r>
      <w:r>
        <w:rPr>
          <w:rFonts w:ascii="Arial" w:hAnsi="Arial"/>
          <w:color w:val="263244"/>
          <w:sz w:val="22"/>
        </w:rPr>
        <w:t>: public publishing identity;</w:t>
      </w:r>
      <w:r>
        <w:br/>
      </w:r>
    </w:p>
    <w:p>
      <w:pPr>
        <w:numPr>
          <w:ilvl w:val="0"/>
          <w:numId w:val="24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accountablePublisherPartyId</w:t>
      </w:r>
      <w:r>
        <w:rPr>
          <w:rFonts w:ascii="Arial" w:hAnsi="Arial"/>
          <w:color w:val="263244"/>
          <w:sz w:val="22"/>
        </w:rPr>
        <w:t>: organization/person responsible for publication;</w:t>
      </w:r>
      <w:r>
        <w:br/>
      </w:r>
    </w:p>
    <w:p>
      <w:pPr>
        <w:numPr>
          <w:ilvl w:val="0"/>
          <w:numId w:val="24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submittedByPartyId</w:t>
      </w:r>
      <w:r>
        <w:rPr>
          <w:rFonts w:ascii="Arial" w:hAnsi="Arial"/>
          <w:color w:val="263244"/>
          <w:sz w:val="22"/>
        </w:rPr>
        <w:t>: authenticated uploader or service;</w:t>
      </w:r>
      <w:r>
        <w:br/>
      </w:r>
    </w:p>
    <w:p>
      <w:pPr>
        <w:numPr>
          <w:ilvl w:val="0"/>
          <w:numId w:val="24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forecasterId</w:t>
      </w:r>
      <w:r>
        <w:rPr>
          <w:rFonts w:ascii="Arial" w:hAnsi="Arial"/>
          <w:color w:val="263244"/>
          <w:sz w:val="22"/>
        </w:rPr>
        <w:t xml:space="preserve"> and immutable </w:t>
      </w:r>
      <w:r>
        <w:rPr>
          <w:rFonts w:ascii="Consolas" w:hAnsi="Consolas"/>
          <w:color w:val="1F4D78"/>
          <w:sz w:val="20"/>
        </w:rPr>
        <w:t>forecasterVersionId</w:t>
      </w:r>
      <w:r>
        <w:rPr>
          <w:rFonts w:ascii="Arial" w:hAnsi="Arial"/>
          <w:color w:val="263244"/>
          <w:sz w:val="22"/>
        </w:rPr>
        <w:t>;</w:t>
      </w:r>
      <w:r>
        <w:br/>
      </w:r>
    </w:p>
    <w:p>
      <w:pPr>
        <w:numPr>
          <w:ilvl w:val="0"/>
          <w:numId w:val="24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zero to ten forecast-specific reviewers;</w:t>
      </w:r>
      <w:r>
        <w:br/>
      </w:r>
    </w:p>
    <w:p>
      <w:pPr>
        <w:numPr>
          <w:ilvl w:val="0"/>
          <w:numId w:val="24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model, algorithm, architecture authors, and knowledge-boundary records where relevant.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r>
        <w:rPr>
          <w:rFonts w:ascii="Arial" w:hAnsi="Arial"/>
          <w:color w:val="263244"/>
          <w:sz w:val="22"/>
        </w:rPr>
        <w:t>The Library must not infer that the submitter made the forecast or that the named publisher reviewed it.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1"/>
      </w:pPr>
      <w:r>
        <w:t>7. Entity request and editorial workflow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7.1 Submission against an existing entity</w:t>
      </w:r>
    </w:p>
    <w:p>
      <w:pPr>
        <w:numPr>
          <w:ilvl w:val="0"/>
          <w:numId w:val="25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Submitter searches the approved entity catalog.</w:t>
      </w:r>
      <w:r>
        <w:br/>
      </w:r>
    </w:p>
    <w:p>
      <w:pPr>
        <w:numPr>
          <w:ilvl w:val="0"/>
          <w:numId w:val="25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Submitter selects the exact entity and target.</w:t>
      </w:r>
      <w:r>
        <w:br/>
      </w:r>
    </w:p>
    <w:p>
      <w:pPr>
        <w:numPr>
          <w:ilvl w:val="0"/>
          <w:numId w:val="25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 xml:space="preserve">Publisher service validates that referenced </w:t>
      </w:r>
      <w:r>
        <w:rPr>
          <w:rFonts w:ascii="Consolas" w:hAnsi="Consolas"/>
          <w:color w:val="1F4D78"/>
          <w:sz w:val="20"/>
        </w:rPr>
        <w:t>entityVersionId</w:t>
      </w:r>
      <w:r>
        <w:rPr>
          <w:rFonts w:ascii="Arial" w:hAnsi="Arial"/>
          <w:color w:val="263244"/>
          <w:sz w:val="22"/>
        </w:rPr>
        <w:t xml:space="preserve"> and </w:t>
      </w:r>
      <w:r>
        <w:rPr>
          <w:rFonts w:ascii="Consolas" w:hAnsi="Consolas"/>
          <w:color w:val="1F4D78"/>
          <w:sz w:val="20"/>
        </w:rPr>
        <w:t>targetVersionId</w:t>
      </w:r>
      <w:r>
        <w:rPr>
          <w:rFonts w:ascii="Arial" w:hAnsi="Arial"/>
          <w:color w:val="263244"/>
          <w:sz w:val="22"/>
        </w:rPr>
        <w:t xml:space="preserve"> are approved.</w:t>
      </w:r>
      <w:r>
        <w:br/>
      </w:r>
    </w:p>
    <w:p>
      <w:pPr>
        <w:numPr>
          <w:ilvl w:val="0"/>
          <w:numId w:val="25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Receipt is generated and sealed.</w:t>
      </w:r>
      <w:r>
        <w:br/>
      </w:r>
    </w:p>
    <w:p>
      <w:pPr>
        <w:numPr>
          <w:ilvl w:val="0"/>
          <w:numId w:val="25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Public index and receipt projection are published.</w:t>
      </w:r>
      <w:r>
        <w:br/>
      </w:r>
    </w:p>
    <w:p>
      <w:pPr>
        <w:numPr>
          <w:ilvl w:val="0"/>
          <w:numId w:val="25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Optional proof job is queued.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7.2 Requesting a new entity</w:t>
      </w:r>
    </w:p>
    <w:p>
      <w:pPr>
        <w:numPr>
          <w:ilvl w:val="0"/>
          <w:numId w:val="26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 xml:space="preserve">Submitter sends an </w:t>
      </w:r>
      <w:r>
        <w:rPr>
          <w:rFonts w:ascii="Consolas" w:hAnsi="Consolas"/>
          <w:color w:val="1F4D78"/>
          <w:sz w:val="20"/>
        </w:rPr>
        <w:t>entity_candidate</w:t>
      </w:r>
      <w:r>
        <w:rPr>
          <w:rFonts w:ascii="Arial" w:hAnsi="Arial"/>
          <w:color w:val="263244"/>
          <w:sz w:val="22"/>
        </w:rPr>
        <w:t xml:space="preserve"> with proposed type, name, description, identifiers, relationships, and evidence URLs.</w:t>
      </w:r>
      <w:r>
        <w:br/>
      </w:r>
    </w:p>
    <w:p>
      <w:pPr>
        <w:numPr>
          <w:ilvl w:val="0"/>
          <w:numId w:val="26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 xml:space="preserve">The system normalizes candidate keys and searches </w:t>
      </w:r>
      <w:r>
        <w:rPr>
          <w:rFonts w:ascii="Consolas" w:hAnsi="Consolas"/>
          <w:color w:val="1F4D78"/>
          <w:sz w:val="20"/>
        </w:rPr>
        <w:t>entity_identifier_keys</w:t>
      </w:r>
      <w:r>
        <w:rPr>
          <w:rFonts w:ascii="Arial" w:hAnsi="Arial"/>
          <w:color w:val="263244"/>
          <w:sz w:val="22"/>
        </w:rPr>
        <w:t xml:space="preserve"> for duplicates.</w:t>
      </w:r>
      <w:r>
        <w:br/>
      </w:r>
    </w:p>
    <w:p>
      <w:pPr>
        <w:numPr>
          <w:ilvl w:val="0"/>
          <w:numId w:val="26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Automated enrichment may propose Wikidata, GLEIF, OpenFIGI, MIC, or other mappings; proposals never auto-approve.</w:t>
      </w:r>
      <w:r>
        <w:br/>
      </w:r>
    </w:p>
    <w:p>
      <w:pPr>
        <w:numPr>
          <w:ilvl w:val="0"/>
          <w:numId w:val="26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 xml:space="preserve">Future Edge editorial review chooses </w:t>
      </w:r>
      <w:r>
        <w:rPr>
          <w:rFonts w:ascii="Arial" w:hAnsi="Arial"/>
          <w:b/>
          <w:color w:val="263244"/>
          <w:sz w:val="22"/>
        </w:rPr>
        <w:t>approve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Arial" w:hAnsi="Arial"/>
          <w:b/>
          <w:color w:val="263244"/>
          <w:sz w:val="22"/>
        </w:rPr>
        <w:t>merge with existing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Arial" w:hAnsi="Arial"/>
          <w:b/>
          <w:color w:val="263244"/>
          <w:sz w:val="22"/>
        </w:rPr>
        <w:t>request changes</w:t>
      </w:r>
      <w:r>
        <w:rPr>
          <w:rFonts w:ascii="Arial" w:hAnsi="Arial"/>
          <w:color w:val="263244"/>
          <w:sz w:val="22"/>
        </w:rPr>
        <w:t xml:space="preserve">, or </w:t>
      </w:r>
      <w:r>
        <w:rPr>
          <w:rFonts w:ascii="Arial" w:hAnsi="Arial"/>
          <w:b/>
          <w:color w:val="263244"/>
          <w:sz w:val="22"/>
        </w:rPr>
        <w:t>reject</w:t>
      </w:r>
      <w:r>
        <w:rPr>
          <w:rFonts w:ascii="Arial" w:hAnsi="Arial"/>
          <w:color w:val="263244"/>
          <w:sz w:val="22"/>
        </w:rPr>
        <w:t>.</w:t>
      </w:r>
      <w:r>
        <w:br/>
      </w:r>
    </w:p>
    <w:p>
      <w:pPr>
        <w:numPr>
          <w:ilvl w:val="0"/>
          <w:numId w:val="26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Approval creates an immutable entity version, unique identifier mappings, and a public entity projection.</w:t>
      </w:r>
      <w:r>
        <w:br/>
      </w:r>
    </w:p>
    <w:p>
      <w:pPr>
        <w:numPr>
          <w:ilvl w:val="0"/>
          <w:numId w:val="26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The original forecast submission can then resume against the approved version.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r>
        <w:rPr>
          <w:rFonts w:ascii="Arial" w:hAnsi="Arial"/>
          <w:color w:val="263244"/>
          <w:sz w:val="22"/>
        </w:rPr>
        <w:t>No forecast is publicly released while any required entity or target is unapproved.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7.3 Editorial integrity controls</w:t>
      </w:r>
    </w:p>
    <w:p>
      <w:pPr>
        <w:numPr>
          <w:ilvl w:val="0"/>
          <w:numId w:val="27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two candidate records cannot own the same normalized authoritative identifier;</w:t>
      </w:r>
      <w:r>
        <w:br/>
      </w:r>
    </w:p>
    <w:p>
      <w:pPr>
        <w:numPr>
          <w:ilvl w:val="0"/>
          <w:numId w:val="27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mappings carry source, retrieval time, evidence URL/digest, confidence, reviewer, and decision;</w:t>
      </w:r>
      <w:r>
        <w:br/>
      </w:r>
    </w:p>
    <w:p>
      <w:pPr>
        <w:numPr>
          <w:ilvl w:val="0"/>
          <w:numId w:val="27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sameAs</w:t>
      </w:r>
      <w:r>
        <w:rPr>
          <w:rFonts w:ascii="Arial" w:hAnsi="Arial"/>
          <w:color w:val="263244"/>
          <w:sz w:val="22"/>
        </w:rPr>
        <w:t xml:space="preserve"> requires exact-identity review;</w:t>
      </w:r>
      <w:r>
        <w:br/>
      </w:r>
    </w:p>
    <w:p>
      <w:pPr>
        <w:numPr>
          <w:ilvl w:val="0"/>
          <w:numId w:val="27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entity merges create redirects and lineage; they do not silently replace old receipt references;</w:t>
      </w:r>
      <w:r>
        <w:br/>
      </w:r>
    </w:p>
    <w:p>
      <w:pPr>
        <w:numPr>
          <w:ilvl w:val="0"/>
          <w:numId w:val="27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every public entity version is immutable;</w:t>
      </w:r>
      <w:r>
        <w:br/>
      </w:r>
    </w:p>
    <w:p>
      <w:pPr>
        <w:numPr>
          <w:ilvl w:val="0"/>
          <w:numId w:val="27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corrections append a new version and retain the original.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r>
        <w:rPr>
          <w:rFonts w:ascii="Arial" w:hAnsi="Arial"/>
          <w:color w:val="263244"/>
          <w:sz w:val="22"/>
        </w:rPr>
        <w:t xml:space="preserve">This resembles established enterprise master-data patterns. Microsoft's Common Data Model defines extensible semantic entities and stable metadata; its Account model contains a unique object identity and explicit </w:t>
      </w:r>
      <w:r>
        <w:rPr>
          <w:rFonts w:ascii="Consolas" w:hAnsi="Consolas"/>
          <w:color w:val="1F4D78"/>
          <w:sz w:val="20"/>
        </w:rPr>
        <w:t>parentAccountId</w:t>
      </w:r>
      <w:r>
        <w:rPr>
          <w:rFonts w:ascii="Arial" w:hAnsi="Arial"/>
          <w:color w:val="263244"/>
          <w:sz w:val="22"/>
        </w:rPr>
        <w:t>. Salesforce account hierarchies similarly require existing parent records and stable Salesforce/external IDs. [17][18]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1"/>
      </w:pPr>
      <w:r>
        <w:t>8. JSON-LD output example</w:t>
      </w:r>
    </w:p>
    <w:p>
      <w:r>
        <w:rPr>
          <w:rFonts w:ascii="Arial" w:hAnsi="Arial"/>
          <w:color w:val="263244"/>
          <w:sz w:val="22"/>
        </w:rPr>
        <w:t>The public PepsiCo forecast page can emit a graph like this: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6"/>
              </w:rPr>
              <w:t>{</w:t>
              <w:br/>
              <w:t xml:space="preserve">  "@context": {</w:t>
              <w:br/>
              <w:t xml:space="preserve">    "@vocab": "https://schema.org/",</w:t>
              <w:br/>
              <w:t xml:space="preserve">    "ofr": "https://ipulseai.com/tools/open-forecast-receipt/v0.2/vocab#",</w:t>
              <w:br/>
              <w:t xml:space="preserve">    "wd": "https://www.wikidata.org/entity/"</w:t>
              <w:br/>
              <w:t xml:space="preserve">  },</w:t>
              <w:br/>
              <w:t xml:space="preserve">  "@graph": [</w:t>
              <w:br/>
              <w:t xml:space="preserve">    {</w:t>
              <w:br/>
              <w:t xml:space="preserve">      "@id": "https://openforecastreceipt.com/entities/ent_org_7f6d2e17b1b64d899b44b1787d437e0f",</w:t>
              <w:br/>
              <w:t xml:space="preserve">      "@type": "Organization",</w:t>
              <w:br/>
              <w:t xml:space="preserve">      "name": "PepsiCo, Inc.",</w:t>
              <w:br/>
              <w:t xml:space="preserve">      "sameAs": "https://www.wikidata.org/entity/Q334800"</w:t>
              <w:br/>
              <w:t xml:space="preserve">    },</w:t>
              <w:br/>
              <w:t xml:space="preserve">    {</w:t>
              <w:br/>
              <w:t xml:space="preserve">      "@id": "https://openforecastreceipt.com/entities/equity_ea8243e7-75bd-549b-9ba6-48e03cf982c1",</w:t>
              <w:br/>
              <w:t xml:space="preserve">      "@type": "Product",</w:t>
              <w:br/>
              <w:t xml:space="preserve">      "additionalType": "ofr:ListedSecurity",</w:t>
              <w:br/>
              <w:t xml:space="preserve">      "name": "PepsiCo common stock",</w:t>
              <w:br/>
              <w:t xml:space="preserve">      "identifier": [</w:t>
              <w:br/>
              <w:t xml:space="preserve">        { "@type": "PropertyValue", "propertyID": "ISIN", "value": "US7134481081" },</w:t>
              <w:br/>
              <w:t xml:space="preserve">        { "@type": "PropertyValue", "propertyID": "FIGI", "value": "BBG000DH7JK6" },</w:t>
              <w:br/>
              <w:t xml:space="preserve">        { "@type": "PropertyValue", "propertyID": "Ticker+MIC", "value": "PEP:XNAS" }</w:t>
              <w:br/>
              <w:t xml:space="preserve">      ],</w:t>
              <w:br/>
              <w:t xml:space="preserve">      "ofr:issuedBy": {</w:t>
              <w:br/>
              <w:t xml:space="preserve">        "@id": "https://openforecastreceipt.com/entities/ent_org_7f6d2e17b1b64d899b44b1787d437e0f"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"@id": "https://openforecastreceipt.com/receipts/85e82d474841f0497fb7f6fcb0a7fec7ce808de9779ff69eff32a6b6560ea4a5",</w:t>
              <w:br/>
              <w:t xml:space="preserve">      "@type": "Dataset",</w:t>
              <w:br/>
              <w:t xml:space="preserve">      "additionalType": "ofr:Forecast",</w:t>
              <w:br/>
              <w:t xml:space="preserve">      "name": "PepsiCo adjusted close return forecast",</w:t>
              <w:br/>
              <w:t xml:space="preserve">      "about": {</w:t>
              <w:br/>
              <w:t xml:space="preserve">        "@id": "https://openforecastreceipt.com/entities/equity_ea8243e7-75bd-549b-9ba6-48e03cf982c1"</w:t>
              <w:br/>
              <w:t xml:space="preserve">      },</w:t>
              <w:br/>
              <w:t xml:space="preserve">      "identifier": "sha256:85e82d474841f0497fb7f6fcb0a7fec7ce808de9779ff69eff32a6b6560ea4a5",</w:t>
              <w:br/>
              <w:t xml:space="preserve">      "publisher": {</w:t>
              <w:br/>
              <w:t xml:space="preserve">        "@type": "Organization",</w:t>
              <w:br/>
              <w:t xml:space="preserve">        "name": "Future Edge Group FZE",</w:t>
              <w:br/>
              <w:t xml:space="preserve">        "brand": {</w:t>
              <w:br/>
              <w:t xml:space="preserve">          "@type": "Brand",</w:t>
              <w:br/>
              <w:t xml:space="preserve">          "name": "iPulse AI"</w:t>
              <w:br/>
              <w:t xml:space="preserve">        }</w:t>
              <w:br/>
              <w:t xml:space="preserve">      },</w:t>
              <w:br/>
              <w:t xml:space="preserve">      "dateCreated": "2026-07-05T14:50:00Z",</w:t>
              <w:br/>
              <w:t xml:space="preserve">      "temporalCoverage": "2026-07-05/2031-07-05",</w:t>
              <w:br/>
              <w:t xml:space="preserve">      "variableMeasured": {</w:t>
              <w:br/>
              <w:t xml:space="preserve">        "@type": "PropertyValue",</w:t>
              <w:br/>
              <w:t xml:space="preserve">        "name": "Adjusted end-of-day close step return",</w:t>
              <w:br/>
              <w:t xml:space="preserve">        "unitText": "percent"</w:t>
              <w:br/>
              <w:t xml:space="preserve">      },</w:t>
              <w:br/>
              <w:t xml:space="preserve">      "ofr:forecaster": {</w:t>
              <w:br/>
              <w:t xml:space="preserve">        "@id": "https://openforecastreceipt.com/forecasters/ray-dalio-thinker"</w:t>
              <w:br/>
              <w:t xml:space="preserve">      },</w:t>
              <w:br/>
              <w:t xml:space="preserve">      "ofr:receiptDigest": "85e82d474841f0497fb7f6fcb0a7fec7ce808de9779ff69eff32a6b6560ea4a5"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0"/>
      </w:pPr>
    </w:p>
    <w:p>
      <w:r>
        <w:rPr>
          <w:rFonts w:ascii="Arial" w:hAnsi="Arial"/>
          <w:color w:val="263244"/>
          <w:sz w:val="22"/>
        </w:rPr>
        <w:t>The example uses an application URL placeholder. Final canonical URLs must use the chosen production domain.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1"/>
      </w:pPr>
      <w:r>
        <w:t>9. Wallet, gas, and proof architecture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9.1 What exists and what does not</w:t>
      </w:r>
    </w:p>
    <w:p>
      <w:r>
        <w:rPr>
          <w:rFonts w:ascii="Arial" w:hAnsi="Arial"/>
          <w:color w:val="263244"/>
          <w:sz w:val="22"/>
        </w:rPr>
        <w:t>The current application has proof-job records, EAS encoding/decoding, verification logic, and Base network integration code. That is not the same as a production wallet service. A secure signer, funding process, transaction policy, and proof-run worker still need to be deployed.</w:t>
      </w:r>
    </w:p>
    <w:p>
      <w:r>
        <w:rPr>
          <w:rFonts w:ascii="Arial" w:hAnsi="Arial"/>
          <w:color w:val="263244"/>
          <w:sz w:val="22"/>
        </w:rPr>
        <w:t>EAS uses a schema registry and attestation contract. An onchain attestation returns its own UID and includes the schema UID, attestor, optional recipient, reference UID, and ABI-encoded data. [19][20]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9.2 Recommended wallet design</w:t>
      </w:r>
    </w:p>
    <w:p>
      <w:r>
        <w:rPr>
          <w:rFonts w:ascii="Arial" w:hAnsi="Arial"/>
          <w:color w:val="263244"/>
          <w:sz w:val="22"/>
        </w:rPr>
        <w:t>Use a dedicated wallet per environment:</w:t>
      </w:r>
    </w:p>
    <w:p>
      <w:pPr>
        <w:numPr>
          <w:ilvl w:val="0"/>
          <w:numId w:val="28"/>
        </w:numPr>
        <w:spacing w:before="0" w:after="60" w:line="264" w:lineRule="auto"/>
      </w:pPr>
      <w:r>
        <w:rPr>
          <w:rFonts w:ascii="Arial" w:hAnsi="Arial"/>
          <w:b/>
          <w:color w:val="263244"/>
          <w:sz w:val="22"/>
        </w:rPr>
        <w:t>Staging:</w:t>
      </w:r>
      <w:r>
        <w:rPr>
          <w:rFonts w:ascii="Arial" w:hAnsi="Arial"/>
          <w:color w:val="263244"/>
          <w:sz w:val="22"/>
        </w:rPr>
        <w:t xml:space="preserve"> Base Sepolia address, no mainnet assets, funded only with free test ETH from an official faucet.</w:t>
      </w:r>
      <w:r>
        <w:br/>
      </w:r>
    </w:p>
    <w:p>
      <w:pPr>
        <w:numPr>
          <w:ilvl w:val="0"/>
          <w:numId w:val="28"/>
        </w:numPr>
        <w:spacing w:before="0" w:after="60" w:line="264" w:lineRule="auto"/>
      </w:pPr>
      <w:r>
        <w:rPr>
          <w:rFonts w:ascii="Arial" w:hAnsi="Arial"/>
          <w:b/>
          <w:color w:val="263244"/>
          <w:sz w:val="22"/>
        </w:rPr>
        <w:t>Production:</w:t>
      </w:r>
      <w:r>
        <w:rPr>
          <w:rFonts w:ascii="Arial" w:hAnsi="Arial"/>
          <w:color w:val="263244"/>
          <w:sz w:val="22"/>
        </w:rPr>
        <w:t xml:space="preserve"> Base mainnet address controlled by a non-exportable Google Cloud KMS </w:t>
      </w:r>
      <w:r>
        <w:rPr>
          <w:rFonts w:ascii="Consolas" w:hAnsi="Consolas"/>
          <w:color w:val="1F4D78"/>
          <w:sz w:val="20"/>
        </w:rPr>
        <w:t>secp256k1</w:t>
      </w:r>
      <w:r>
        <w:rPr>
          <w:rFonts w:ascii="Arial" w:hAnsi="Arial"/>
          <w:color w:val="263244"/>
          <w:sz w:val="22"/>
        </w:rPr>
        <w:t xml:space="preserve"> signing key.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r>
        <w:rPr>
          <w:rFonts w:ascii="Arial" w:hAnsi="Arial"/>
          <w:color w:val="263244"/>
          <w:sz w:val="22"/>
        </w:rPr>
        <w:t xml:space="preserve">Google Cloud KMS supports </w:t>
      </w:r>
      <w:r>
        <w:rPr>
          <w:rFonts w:ascii="Consolas" w:hAnsi="Consolas"/>
          <w:color w:val="1F4D78"/>
          <w:sz w:val="20"/>
        </w:rPr>
        <w:t>EC_SIGN_SECP256K1_SHA256</w:t>
      </w:r>
      <w:r>
        <w:rPr>
          <w:rFonts w:ascii="Arial" w:hAnsi="Arial"/>
          <w:color w:val="263244"/>
          <w:sz w:val="22"/>
        </w:rPr>
        <w:t xml:space="preserve">; KMS can also sign a 32-byte Keccak digest through the same-size digest interface. Only the proof-run service account receives </w:t>
      </w:r>
      <w:r>
        <w:rPr>
          <w:rFonts w:ascii="Consolas" w:hAnsi="Consolas"/>
          <w:color w:val="1F4D78"/>
          <w:sz w:val="20"/>
        </w:rPr>
        <w:t>cloudkms.cryptoKeyVersions.useToSign</w:t>
      </w:r>
      <w:r>
        <w:rPr>
          <w:rFonts w:ascii="Arial" w:hAnsi="Arial"/>
          <w:color w:val="263244"/>
          <w:sz w:val="22"/>
        </w:rPr>
        <w:t>. [21][22]</w:t>
      </w:r>
    </w:p>
    <w:p>
      <w:r>
        <w:rPr>
          <w:rFonts w:ascii="Arial" w:hAnsi="Arial"/>
          <w:color w:val="263244"/>
          <w:sz w:val="22"/>
        </w:rPr>
        <w:t>Firestore stores only:</w:t>
      </w:r>
    </w:p>
    <w:p>
      <w:pPr>
        <w:numPr>
          <w:ilvl w:val="0"/>
          <w:numId w:val="29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wallet address;</w:t>
      </w:r>
      <w:r>
        <w:br/>
      </w:r>
    </w:p>
    <w:p>
      <w:pPr>
        <w:numPr>
          <w:ilvl w:val="0"/>
          <w:numId w:val="29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chain ID;</w:t>
      </w:r>
      <w:r>
        <w:br/>
      </w:r>
    </w:p>
    <w:p>
      <w:pPr>
        <w:numPr>
          <w:ilvl w:val="0"/>
          <w:numId w:val="29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KMS key resource name;</w:t>
      </w:r>
      <w:r>
        <w:br/>
      </w:r>
    </w:p>
    <w:p>
      <w:pPr>
        <w:numPr>
          <w:ilvl w:val="0"/>
          <w:numId w:val="29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allowed EAS contract and schema UIDs;</w:t>
      </w:r>
      <w:r>
        <w:br/>
      </w:r>
    </w:p>
    <w:p>
      <w:pPr>
        <w:numPr>
          <w:ilvl w:val="0"/>
          <w:numId w:val="29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funding floor and ceiling;</w:t>
      </w:r>
      <w:r>
        <w:br/>
      </w:r>
    </w:p>
    <w:p>
      <w:pPr>
        <w:numPr>
          <w:ilvl w:val="0"/>
          <w:numId w:val="29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per-transaction and per-run cost limits;</w:t>
      </w:r>
      <w:r>
        <w:br/>
      </w:r>
    </w:p>
    <w:p>
      <w:pPr>
        <w:numPr>
          <w:ilvl w:val="0"/>
          <w:numId w:val="29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active/suspended status.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r>
        <w:rPr>
          <w:rFonts w:ascii="Arial" w:hAnsi="Arial"/>
          <w:color w:val="263244"/>
          <w:sz w:val="22"/>
        </w:rPr>
        <w:t>It never stores a private key, seed phrase, browser-wallet export, or card/payment credential.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9.3 End-to-end proof run</w:t>
      </w:r>
    </w:p>
    <w:p>
      <w:pPr>
        <w:numPr>
          <w:ilvl w:val="0"/>
          <w:numId w:val="30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 xml:space="preserve">Publisher creates one immutable </w:t>
      </w:r>
      <w:r>
        <w:rPr>
          <w:rFonts w:ascii="Consolas" w:hAnsi="Consolas"/>
          <w:color w:val="1F4D78"/>
          <w:sz w:val="20"/>
        </w:rPr>
        <w:t>proof_job</w:t>
      </w:r>
      <w:r>
        <w:rPr>
          <w:rFonts w:ascii="Arial" w:hAnsi="Arial"/>
          <w:color w:val="263244"/>
          <w:sz w:val="22"/>
        </w:rPr>
        <w:t xml:space="preserve"> per receipt and chain.</w:t>
      </w:r>
      <w:r>
        <w:br/>
      </w:r>
    </w:p>
    <w:p>
      <w:pPr>
        <w:numPr>
          <w:ilvl w:val="0"/>
          <w:numId w:val="30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Planner selects compatible jobs by chain, EAS contract, schema UID, and publisher.</w:t>
      </w:r>
      <w:r>
        <w:br/>
      </w:r>
    </w:p>
    <w:p>
      <w:pPr>
        <w:numPr>
          <w:ilvl w:val="0"/>
          <w:numId w:val="30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 xml:space="preserve">Planner encodes one EAS attestation per receipt. It may use </w:t>
      </w:r>
      <w:r>
        <w:rPr>
          <w:rFonts w:ascii="Consolas" w:hAnsi="Consolas"/>
          <w:color w:val="1F4D78"/>
          <w:sz w:val="20"/>
        </w:rPr>
        <w:t>multiAttest</w:t>
      </w:r>
      <w:r>
        <w:rPr>
          <w:rFonts w:ascii="Arial" w:hAnsi="Arial"/>
          <w:color w:val="263244"/>
          <w:sz w:val="22"/>
        </w:rPr>
        <w:t xml:space="preserve"> for transport efficiency.</w:t>
      </w:r>
      <w:r>
        <w:br/>
      </w:r>
    </w:p>
    <w:p>
      <w:pPr>
        <w:numPr>
          <w:ilvl w:val="0"/>
          <w:numId w:val="30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Preflight estimates both Base fee components, checks signer balance, and converts the estimate to USD using a recorded price source.</w:t>
      </w:r>
      <w:r>
        <w:br/>
      </w:r>
    </w:p>
    <w:p>
      <w:pPr>
        <w:numPr>
          <w:ilvl w:val="0"/>
          <w:numId w:val="30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Policy engine rejects unknown contract calls, unknown schemas, replayed digests, excessive gas, or a run above its USD cap.</w:t>
      </w:r>
      <w:r>
        <w:br/>
      </w:r>
    </w:p>
    <w:p>
      <w:pPr>
        <w:numPr>
          <w:ilvl w:val="0"/>
          <w:numId w:val="30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Cloud Run Job builds an unsigned EIP-1559 transaction and submits its Keccak digest to Cloud KMS.</w:t>
      </w:r>
      <w:r>
        <w:br/>
      </w:r>
    </w:p>
    <w:p>
      <w:pPr>
        <w:numPr>
          <w:ilvl w:val="0"/>
          <w:numId w:val="30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 xml:space="preserve">Signer converts the KMS DER signature to Ethereum </w:t>
      </w:r>
      <w:r>
        <w:rPr>
          <w:rFonts w:ascii="Consolas" w:hAnsi="Consolas"/>
          <w:color w:val="1F4D78"/>
          <w:sz w:val="20"/>
        </w:rPr>
        <w:t>r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s</w:t>
      </w:r>
      <w:r>
        <w:rPr>
          <w:rFonts w:ascii="Arial" w:hAnsi="Arial"/>
          <w:color w:val="263244"/>
          <w:sz w:val="22"/>
        </w:rPr>
        <w:t>, and recovery parity, serializes the transaction, and broadcasts it.</w:t>
      </w:r>
      <w:r>
        <w:br/>
      </w:r>
    </w:p>
    <w:p>
      <w:pPr>
        <w:numPr>
          <w:ilvl w:val="0"/>
          <w:numId w:val="30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Worker waits for confirmation, decodes every emitted EAS UID, and verifies each attestation against the expected receipt digest.</w:t>
      </w:r>
      <w:r>
        <w:br/>
      </w:r>
    </w:p>
    <w:p>
      <w:pPr>
        <w:numPr>
          <w:ilvl w:val="0"/>
          <w:numId w:val="30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 xml:space="preserve">Verified </w:t>
      </w:r>
      <w:r>
        <w:rPr>
          <w:rFonts w:ascii="Consolas" w:hAnsi="Consolas"/>
          <w:color w:val="1F4D78"/>
          <w:sz w:val="20"/>
        </w:rPr>
        <w:t>public_proofs</w:t>
      </w:r>
      <w:r>
        <w:rPr>
          <w:rFonts w:ascii="Arial" w:hAnsi="Arial"/>
          <w:color w:val="263244"/>
          <w:sz w:val="22"/>
        </w:rPr>
        <w:t xml:space="preserve"> and actual </w:t>
      </w:r>
      <w:r>
        <w:rPr>
          <w:rFonts w:ascii="Consolas" w:hAnsi="Consolas"/>
          <w:color w:val="1F4D78"/>
          <w:sz w:val="20"/>
        </w:rPr>
        <w:t>gas_ledger</w:t>
      </w:r>
      <w:r>
        <w:rPr>
          <w:rFonts w:ascii="Arial" w:hAnsi="Arial"/>
          <w:color w:val="263244"/>
          <w:sz w:val="22"/>
        </w:rPr>
        <w:t xml:space="preserve"> rows are written.</w:t>
      </w:r>
      <w:r>
        <w:br/>
      </w:r>
    </w:p>
    <w:p>
      <w:pPr>
        <w:numPr>
          <w:ilvl w:val="0"/>
          <w:numId w:val="30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The iPulse AI batch ledger reads the public proof record and shows "View blockchain proof" for that specific forecast receipt.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r>
        <w:rPr>
          <w:rFonts w:ascii="Arial" w:hAnsi="Arial"/>
          <w:color w:val="263244"/>
          <w:sz w:val="22"/>
        </w:rPr>
        <w:t>Base charges an L2 execution fee and an L1 security/data-publication fee; the L1 component is usually larger and varies with Ethereum conditions. Exact preflight is therefore mandatory. [23]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9.4 Funding policy</w:t>
      </w:r>
    </w:p>
    <w:p>
      <w:r>
        <w:rPr>
          <w:rFonts w:ascii="Arial" w:hAnsi="Arial"/>
          <w:color w:val="263244"/>
          <w:sz w:val="22"/>
        </w:rPr>
        <w:t xml:space="preserve">Do not send 10 ETH to an application wallet. Fund the production signer with only a small operational float after measuring a complete Base Sepolia run and a mainnet </w:t>
      </w:r>
      <w:r>
        <w:rPr>
          <w:rFonts w:ascii="Consolas" w:hAnsi="Consolas"/>
          <w:color w:val="1F4D78"/>
          <w:sz w:val="20"/>
        </w:rPr>
        <w:t>eth_estimateGas</w:t>
      </w:r>
      <w:r>
        <w:rPr>
          <w:rFonts w:ascii="Arial" w:hAnsi="Arial"/>
          <w:color w:val="263244"/>
          <w:sz w:val="22"/>
        </w:rPr>
        <w:t>/L1 fee estimate.</w:t>
      </w:r>
    </w:p>
    <w:p>
      <w:r>
        <w:rPr>
          <w:rFonts w:ascii="Arial" w:hAnsi="Arial"/>
          <w:color w:val="263244"/>
          <w:sz w:val="22"/>
        </w:rPr>
        <w:t>Recommended policy:</w:t>
      </w:r>
    </w:p>
    <w:p>
      <w:pPr>
        <w:numPr>
          <w:ilvl w:val="0"/>
          <w:numId w:val="31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initial float: enough for two approved runs plus a safety buffer, often materially below 0.01 ETH at current Base costs, but determined at execution time;</w:t>
      </w:r>
      <w:r>
        <w:br/>
      </w:r>
    </w:p>
    <w:p>
      <w:pPr>
        <w:numPr>
          <w:ilvl w:val="0"/>
          <w:numId w:val="31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balance ceiling: reject top-ups that would put more than the approved float at risk;</w:t>
      </w:r>
      <w:r>
        <w:br/>
      </w:r>
    </w:p>
    <w:p>
      <w:pPr>
        <w:numPr>
          <w:ilvl w:val="0"/>
          <w:numId w:val="31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low-balance alert: one future run plus buffer;</w:t>
      </w:r>
      <w:r>
        <w:br/>
      </w:r>
    </w:p>
    <w:p>
      <w:pPr>
        <w:numPr>
          <w:ilvl w:val="0"/>
          <w:numId w:val="31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maximum cost: explicit USD cap per transaction and per publisher run;</w:t>
      </w:r>
      <w:r>
        <w:br/>
      </w:r>
    </w:p>
    <w:p>
      <w:pPr>
        <w:numPr>
          <w:ilvl w:val="0"/>
          <w:numId w:val="31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manual approval for the first production run and any run above the normal threshold;</w:t>
      </w:r>
      <w:r>
        <w:br/>
      </w:r>
    </w:p>
    <w:p>
      <w:pPr>
        <w:numPr>
          <w:ilvl w:val="0"/>
          <w:numId w:val="31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no arbitrary transfers or contract calls from the signer.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r>
        <w:rPr>
          <w:rFonts w:ascii="Arial" w:hAnsi="Arial"/>
          <w:color w:val="263244"/>
          <w:sz w:val="22"/>
        </w:rPr>
        <w:t>Each receipt gets its own attestation UID even when 12 receipts share one transaction. Transaction batching is not receipt aggregation.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9.5 Cost estimate under the $5 monthly infrastructure budget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2700"/>
        <w:gridCol w:w="4460"/>
      </w:tblGrid>
      <w:tr>
        <w:trPr>
          <w:tblHeader w:val="true"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Component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Low-volume expectation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Control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Firebase Hosting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Usually $0 at current traffic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Static build, cache assets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Firestore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Usually $0 within free quota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Bounded public queries; denormalized projections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Cloud Run Job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Usually $0 within free tier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Scale to zero; run only for publishing/proofs [24]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Cloud KMS software key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About $0.06 per active key version/month plus negligible operations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One active key per environment; pricing currently $0.000082192/hour and $0.03/10,000 cryptographic operations [25]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BigQuery mirror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Usually $0 at low volume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Batched load jobs; partitioned queries; max bytes billed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Base Sepolia gas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$0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Faucet test ETH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Base mainnet gas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Variable, usage-based, outside fixed infrastructure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0F172A"/>
                <w:sz w:val="18"/>
              </w:rPr>
              <w:t>Preflight and hard USD caps</w:t>
            </w:r>
          </w:p>
        </w:tc>
      </w:tr>
    </w:tbl>
    <w:p>
      <w:pPr>
        <w:spacing w:after="0"/>
      </w:pPr>
    </w:p>
    <w:p>
      <w:r>
        <w:rPr>
          <w:rFonts w:ascii="Arial" w:hAnsi="Arial"/>
          <w:color w:val="263244"/>
          <w:sz w:val="22"/>
        </w:rPr>
        <w:t>The fixed architecture can remain below $5/month at current volume. Mainnet gas cannot honestly be guaranteed as a fixed monthly price because it varies by activity and L1 conditions; it must be recorded and capped as a publication cost.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1"/>
      </w:pPr>
      <w:r>
        <w:t>10. Controlled publisher service</w:t>
      </w:r>
    </w:p>
    <w:p>
      <w:r>
        <w:rPr>
          <w:rFonts w:ascii="Arial" w:hAnsi="Arial"/>
          <w:color w:val="263244"/>
          <w:sz w:val="22"/>
        </w:rPr>
        <w:t>Build the existing publisher script into a small shared library plus two entry points:</w:t>
      </w:r>
    </w:p>
    <w:p>
      <w:pPr>
        <w:numPr>
          <w:ilvl w:val="0"/>
          <w:numId w:val="32"/>
        </w:numPr>
        <w:spacing w:before="0" w:after="60" w:line="264" w:lineRule="auto"/>
      </w:pPr>
      <w:r>
        <w:rPr>
          <w:rFonts w:ascii="Arial" w:hAnsi="Arial"/>
          <w:b/>
          <w:color w:val="263244"/>
          <w:sz w:val="22"/>
        </w:rPr>
        <w:t>CLI:</w:t>
      </w:r>
      <w:r>
        <w:rPr>
          <w:rFonts w:ascii="Arial" w:hAnsi="Arial"/>
          <w:color w:val="263244"/>
          <w:sz w:val="22"/>
        </w:rPr>
        <w:t xml:space="preserve"> for Future Edge/iPulse batch publishing and recovery.</w:t>
      </w:r>
      <w:r>
        <w:br/>
      </w:r>
    </w:p>
    <w:p>
      <w:pPr>
        <w:numPr>
          <w:ilvl w:val="0"/>
          <w:numId w:val="32"/>
        </w:numPr>
        <w:spacing w:before="0" w:after="60" w:line="264" w:lineRule="auto"/>
      </w:pPr>
      <w:r>
        <w:rPr>
          <w:rFonts w:ascii="Arial" w:hAnsi="Arial"/>
          <w:b/>
          <w:color w:val="263244"/>
          <w:sz w:val="22"/>
        </w:rPr>
        <w:t>Cloud Run Job:</w:t>
      </w:r>
      <w:r>
        <w:rPr>
          <w:rFonts w:ascii="Arial" w:hAnsi="Arial"/>
          <w:color w:val="263244"/>
          <w:sz w:val="22"/>
        </w:rPr>
        <w:t xml:space="preserve"> for automated controlled publication and proof processing.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r>
        <w:rPr>
          <w:rFonts w:ascii="Arial" w:hAnsi="Arial"/>
          <w:color w:val="263244"/>
          <w:sz w:val="22"/>
        </w:rPr>
        <w:t>Both use the same validation and idempotency code.</w:t>
      </w:r>
    </w:p>
    <w:p>
      <w:r>
        <w:rPr>
          <w:rFonts w:ascii="Arial" w:hAnsi="Arial"/>
          <w:color w:val="263244"/>
          <w:sz w:val="22"/>
        </w:rPr>
        <w:t>Recommended submission bundle: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6"/>
              </w:rPr>
              <w:t>{</w:t>
              <w:br/>
              <w:t xml:space="preserve">  "bundleVersion": "ofl-publication-bundle/0.2",</w:t>
              <w:br/>
              <w:t xml:space="preserve">  "publisherProfileId": "pub_ipulse_ai",</w:t>
              <w:br/>
              <w:t xml:space="preserve">  "collection": {</w:t>
              <w:br/>
              <w:t xml:space="preserve">    "collectionId": "ipulse-market-batch-6",</w:t>
              <w:br/>
              <w:t xml:space="preserve">    "name": "iPulse AI Market Forecasts - Batch 6"</w:t>
              <w:br/>
              <w:t xml:space="preserve">  },</w:t>
              <w:br/>
              <w:t xml:space="preserve">  "entityBindings": [</w:t>
              <w:br/>
              <w:t xml:space="preserve">    {</w:t>
              <w:br/>
              <w:t xml:space="preserve">      "sourceSubjectId": "equity_ea8243e7-75bd-549b-9ba6-48e03cf982c1",</w:t>
              <w:br/>
              <w:t xml:space="preserve">      "entityId": "equity_ea8243e7-75bd-549b-9ba6-48e03cf982c1",</w:t>
              <w:br/>
              <w:t xml:space="preserve">      "entityVersionId": "entv_01J5PEPSEC000000000000001"</w:t>
              <w:br/>
              <w:t xml:space="preserve">    }</w:t>
              <w:br/>
              <w:t xml:space="preserve">  ],</w:t>
              <w:br/>
              <w:t xml:space="preserve">  "targetVersionId": "tgtv_01J5PEP3M0000000000000001",</w:t>
              <w:br/>
              <w:t xml:space="preserve">  "receipts": [</w:t>
              <w:br/>
              <w:t xml:space="preserve">    {</w:t>
              <w:br/>
              <w:t xml:space="preserve">      "receiptPath": "receipts/pepsi-ray.json",</w:t>
              <w:br/>
              <w:t xml:space="preserve">      "proofPolicy": "base_mainnet_selected"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0"/>
      </w:pPr>
    </w:p>
    <w:p>
      <w:r>
        <w:rPr>
          <w:rFonts w:ascii="Arial" w:hAnsi="Arial"/>
          <w:color w:val="263244"/>
          <w:sz w:val="22"/>
        </w:rPr>
        <w:t>Publisher validation must fail closed when:</w:t>
      </w:r>
    </w:p>
    <w:p>
      <w:pPr>
        <w:numPr>
          <w:ilvl w:val="0"/>
          <w:numId w:val="33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a publisher is inactive or unauthorized;</w:t>
      </w:r>
      <w:r>
        <w:br/>
      </w:r>
    </w:p>
    <w:p>
      <w:pPr>
        <w:numPr>
          <w:ilvl w:val="0"/>
          <w:numId w:val="33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an entity/target version is missing or unapproved;</w:t>
      </w:r>
      <w:r>
        <w:br/>
      </w:r>
    </w:p>
    <w:p>
      <w:pPr>
        <w:numPr>
          <w:ilvl w:val="0"/>
          <w:numId w:val="33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a receipt digest does not recompute;</w:t>
      </w:r>
      <w:r>
        <w:br/>
      </w:r>
    </w:p>
    <w:p>
      <w:pPr>
        <w:numPr>
          <w:ilvl w:val="0"/>
          <w:numId w:val="33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a duplicate external identifier points to another entity;</w:t>
      </w:r>
      <w:r>
        <w:br/>
      </w:r>
    </w:p>
    <w:p>
      <w:pPr>
        <w:numPr>
          <w:ilvl w:val="0"/>
          <w:numId w:val="33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a public projection would overwrite different immutable data;</w:t>
      </w:r>
      <w:r>
        <w:br/>
      </w:r>
    </w:p>
    <w:p>
      <w:pPr>
        <w:numPr>
          <w:ilvl w:val="0"/>
          <w:numId w:val="33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a proof job requests a non-allowlisted chain, contract, schema, or signer.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1"/>
      </w:pPr>
      <w:r>
        <w:t>11. No-regret fields to capture now</w:t>
      </w:r>
    </w:p>
    <w:p>
      <w:r>
        <w:rPr>
          <w:rFonts w:ascii="Arial" w:hAnsi="Arial"/>
          <w:color w:val="263244"/>
          <w:sz w:val="22"/>
        </w:rPr>
        <w:t xml:space="preserve">These additions are useful immediately and do not force a database migration later. Because the product is prelaunch, the canonical OFR v0.1 schema already uses </w:t>
      </w:r>
      <w:r>
        <w:rPr>
          <w:rFonts w:ascii="Consolas" w:hAnsi="Consolas"/>
          <w:color w:val="1F4D78"/>
          <w:sz w:val="20"/>
        </w:rPr>
        <w:t>forecast.entity</w:t>
      </w:r>
      <w:r>
        <w:rPr>
          <w:rFonts w:ascii="Arial" w:hAnsi="Arial"/>
          <w:color w:val="263244"/>
          <w:sz w:val="22"/>
        </w:rPr>
        <w:t>; later semantic additions should still be versioned deliberately rather than silently changing issued receipts.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Publication identity</w:t>
      </w:r>
    </w:p>
    <w:p>
      <w:pPr>
        <w:numPr>
          <w:ilvl w:val="0"/>
          <w:numId w:val="34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publisherProfileId</w:t>
      </w:r>
      <w:r>
        <w:br/>
      </w:r>
    </w:p>
    <w:p>
      <w:pPr>
        <w:numPr>
          <w:ilvl w:val="0"/>
          <w:numId w:val="34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publisherDisplayName</w:t>
      </w:r>
      <w:r>
        <w:br/>
      </w:r>
    </w:p>
    <w:p>
      <w:pPr>
        <w:numPr>
          <w:ilvl w:val="0"/>
          <w:numId w:val="34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accountablePublisherPartyId</w:t>
      </w:r>
      <w:r>
        <w:br/>
      </w:r>
    </w:p>
    <w:p>
      <w:pPr>
        <w:numPr>
          <w:ilvl w:val="0"/>
          <w:numId w:val="34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productId</w:t>
      </w:r>
      <w:r>
        <w:br/>
      </w:r>
    </w:p>
    <w:p>
      <w:pPr>
        <w:numPr>
          <w:ilvl w:val="0"/>
          <w:numId w:val="34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operatingTeamId</w:t>
      </w:r>
      <w:r>
        <w:rPr>
          <w:rFonts w:ascii="Arial" w:hAnsi="Arial"/>
          <w:color w:val="263244"/>
          <w:sz w:val="22"/>
        </w:rPr>
        <w:t xml:space="preserve"> (optional)</w:t>
      </w:r>
      <w:r>
        <w:br/>
      </w:r>
    </w:p>
    <w:p>
      <w:pPr>
        <w:numPr>
          <w:ilvl w:val="0"/>
          <w:numId w:val="34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submittedByPartyId</w:t>
      </w:r>
      <w:r>
        <w:br/>
      </w:r>
    </w:p>
    <w:p>
      <w:pPr>
        <w:numPr>
          <w:ilvl w:val="0"/>
          <w:numId w:val="34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publishedByPartyId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Entity and target identity</w:t>
      </w:r>
    </w:p>
    <w:p>
      <w:pPr>
        <w:numPr>
          <w:ilvl w:val="0"/>
          <w:numId w:val="35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entityId</w:t>
      </w:r>
      <w:r>
        <w:br/>
      </w:r>
    </w:p>
    <w:p>
      <w:pPr>
        <w:numPr>
          <w:ilvl w:val="0"/>
          <w:numId w:val="35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entityVersionId</w:t>
      </w:r>
      <w:r>
        <w:br/>
      </w:r>
    </w:p>
    <w:p>
      <w:pPr>
        <w:numPr>
          <w:ilvl w:val="0"/>
          <w:numId w:val="35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entityType</w:t>
      </w:r>
      <w:r>
        <w:br/>
      </w:r>
    </w:p>
    <w:p>
      <w:pPr>
        <w:numPr>
          <w:ilvl w:val="0"/>
          <w:numId w:val="35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targetId</w:t>
      </w:r>
      <w:r>
        <w:br/>
      </w:r>
    </w:p>
    <w:p>
      <w:pPr>
        <w:numPr>
          <w:ilvl w:val="0"/>
          <w:numId w:val="35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targetVersionId</w:t>
      </w:r>
      <w:r>
        <w:br/>
      </w:r>
    </w:p>
    <w:p>
      <w:pPr>
        <w:numPr>
          <w:ilvl w:val="0"/>
          <w:numId w:val="35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entityRoles[]</w:t>
      </w:r>
      <w:r>
        <w:rPr>
          <w:rFonts w:ascii="Arial" w:hAnsi="Arial"/>
          <w:color w:val="263244"/>
          <w:sz w:val="22"/>
        </w:rPr>
        <w:t xml:space="preserve"> with </w:t>
      </w:r>
      <w:r>
        <w:rPr>
          <w:rFonts w:ascii="Consolas" w:hAnsi="Consolas"/>
          <w:color w:val="1F4D78"/>
          <w:sz w:val="20"/>
        </w:rPr>
        <w:t>role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entityId</w:t>
      </w:r>
      <w:r>
        <w:rPr>
          <w:rFonts w:ascii="Arial" w:hAnsi="Arial"/>
          <w:color w:val="263244"/>
          <w:sz w:val="22"/>
        </w:rPr>
        <w:t xml:space="preserve">, and </w:t>
      </w:r>
      <w:r>
        <w:rPr>
          <w:rFonts w:ascii="Consolas" w:hAnsi="Consolas"/>
          <w:color w:val="1F4D78"/>
          <w:sz w:val="20"/>
        </w:rPr>
        <w:t>entityVersionId</w:t>
      </w:r>
      <w:r>
        <w:br/>
      </w:r>
    </w:p>
    <w:p>
      <w:pPr>
        <w:numPr>
          <w:ilvl w:val="0"/>
          <w:numId w:val="35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externalIdentifiers[]</w:t>
      </w:r>
      <w:r>
        <w:rPr>
          <w:rFonts w:ascii="Arial" w:hAnsi="Arial"/>
          <w:color w:val="263244"/>
          <w:sz w:val="22"/>
        </w:rPr>
        <w:t xml:space="preserve"> with </w:t>
      </w:r>
      <w:r>
        <w:rPr>
          <w:rFonts w:ascii="Consolas" w:hAnsi="Consolas"/>
          <w:color w:val="1F4D78"/>
          <w:sz w:val="20"/>
        </w:rPr>
        <w:t>scheme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value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canonicalUri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matchType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validFrom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validTo</w:t>
      </w:r>
      <w:r>
        <w:rPr>
          <w:rFonts w:ascii="Arial" w:hAnsi="Arial"/>
          <w:color w:val="263244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source</w:t>
      </w:r>
      <w:r>
        <w:rPr>
          <w:rFonts w:ascii="Arial" w:hAnsi="Arial"/>
          <w:color w:val="263244"/>
          <w:sz w:val="22"/>
        </w:rPr>
        <w:t xml:space="preserve">, and </w:t>
      </w:r>
      <w:r>
        <w:rPr>
          <w:rFonts w:ascii="Consolas" w:hAnsi="Consolas"/>
          <w:color w:val="1F4D78"/>
          <w:sz w:val="20"/>
        </w:rPr>
        <w:t>verifiedAt</w:t>
      </w:r>
      <w:r>
        <w:br/>
      </w:r>
    </w:p>
    <w:p>
      <w:pPr>
        <w:numPr>
          <w:ilvl w:val="0"/>
          <w:numId w:val="35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sameAs[]</w:t>
      </w:r>
      <w:r>
        <w:rPr>
          <w:rFonts w:ascii="Arial" w:hAnsi="Arial"/>
          <w:color w:val="263244"/>
          <w:sz w:val="22"/>
        </w:rPr>
        <w:t xml:space="preserve"> only for reviewed exact identity</w:t>
      </w:r>
      <w:r>
        <w:br/>
      </w:r>
    </w:p>
    <w:p>
      <w:pPr>
        <w:numPr>
          <w:ilvl w:val="0"/>
          <w:numId w:val="35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schemaOrgTypes[]</w:t>
      </w:r>
      <w:r>
        <w:br/>
      </w:r>
    </w:p>
    <w:p>
      <w:pPr>
        <w:numPr>
          <w:ilvl w:val="0"/>
          <w:numId w:val="35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wikidata</w:t>
      </w:r>
      <w:r>
        <w:rPr>
          <w:rFonts w:ascii="Arial" w:hAnsi="Arial"/>
          <w:color w:val="263244"/>
          <w:sz w:val="22"/>
        </w:rPr>
        <w:t xml:space="preserve"> and </w:t>
      </w:r>
      <w:r>
        <w:rPr>
          <w:rFonts w:ascii="Consolas" w:hAnsi="Consolas"/>
          <w:color w:val="1F4D78"/>
          <w:sz w:val="20"/>
        </w:rPr>
        <w:t>google_knowledge_graph_mid</w:t>
      </w:r>
      <w:r>
        <w:rPr>
          <w:rFonts w:ascii="Arial" w:hAnsi="Arial"/>
          <w:color w:val="263244"/>
          <w:sz w:val="22"/>
        </w:rPr>
        <w:t xml:space="preserve"> as controlled external identifier schemes, never primary keys or free-form tags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Governance</w:t>
      </w:r>
    </w:p>
    <w:p>
      <w:pPr>
        <w:numPr>
          <w:ilvl w:val="0"/>
          <w:numId w:val="36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editorialStatus</w:t>
      </w:r>
      <w:r>
        <w:br/>
      </w:r>
    </w:p>
    <w:p>
      <w:pPr>
        <w:numPr>
          <w:ilvl w:val="0"/>
          <w:numId w:val="36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editorialPolicyVersion</w:t>
      </w:r>
      <w:r>
        <w:br/>
      </w:r>
    </w:p>
    <w:p>
      <w:pPr>
        <w:numPr>
          <w:ilvl w:val="0"/>
          <w:numId w:val="36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approvedByPartyId</w:t>
      </w:r>
      <w:r>
        <w:br/>
      </w:r>
    </w:p>
    <w:p>
      <w:pPr>
        <w:numPr>
          <w:ilvl w:val="0"/>
          <w:numId w:val="36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approvedAt</w:t>
      </w:r>
      <w:r>
        <w:br/>
      </w:r>
    </w:p>
    <w:p>
      <w:pPr>
        <w:numPr>
          <w:ilvl w:val="0"/>
          <w:numId w:val="36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supersedesVersionId</w:t>
      </w:r>
      <w:r>
        <w:br/>
      </w:r>
    </w:p>
    <w:p>
      <w:pPr>
        <w:numPr>
          <w:ilvl w:val="0"/>
          <w:numId w:val="36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correctionOfReceiptId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Semantic export</w:t>
      </w:r>
    </w:p>
    <w:p>
      <w:pPr>
        <w:numPr>
          <w:ilvl w:val="0"/>
          <w:numId w:val="37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jsonLdContextVersion</w:t>
      </w:r>
      <w:r>
        <w:br/>
      </w:r>
    </w:p>
    <w:p>
      <w:pPr>
        <w:numPr>
          <w:ilvl w:val="0"/>
          <w:numId w:val="37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publicCanonicalUrl</w:t>
      </w:r>
      <w:r>
        <w:br/>
      </w:r>
    </w:p>
    <w:p>
      <w:pPr>
        <w:numPr>
          <w:ilvl w:val="0"/>
          <w:numId w:val="37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publicSlugAliases[]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Proof operations</w:t>
      </w:r>
    </w:p>
    <w:p>
      <w:pPr>
        <w:numPr>
          <w:ilvl w:val="0"/>
          <w:numId w:val="38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proofPolicy</w:t>
      </w:r>
      <w:r>
        <w:br/>
      </w:r>
    </w:p>
    <w:p>
      <w:pPr>
        <w:numPr>
          <w:ilvl w:val="0"/>
          <w:numId w:val="38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proofNetwork</w:t>
      </w:r>
      <w:r>
        <w:br/>
      </w:r>
    </w:p>
    <w:p>
      <w:pPr>
        <w:numPr>
          <w:ilvl w:val="0"/>
          <w:numId w:val="38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proofSchemaUid</w:t>
      </w:r>
      <w:r>
        <w:br/>
      </w:r>
    </w:p>
    <w:p>
      <w:pPr>
        <w:numPr>
          <w:ilvl w:val="0"/>
          <w:numId w:val="38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proofJobId</w:t>
      </w:r>
      <w:r>
        <w:br/>
      </w:r>
    </w:p>
    <w:p>
      <w:pPr>
        <w:numPr>
          <w:ilvl w:val="0"/>
          <w:numId w:val="38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gasCostCenter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1"/>
      </w:pPr>
      <w:r>
        <w:t>12. Immediate implementation sequence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Phase A - low-risk base changes</w:t>
      </w:r>
    </w:p>
    <w:p>
      <w:pPr>
        <w:numPr>
          <w:ilvl w:val="0"/>
          <w:numId w:val="39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Rename public navigation from "iPulse AI Showcase" to "Forecast Library" or "Browse forecasts."</w:t>
      </w:r>
      <w:r>
        <w:br/>
      </w:r>
    </w:p>
    <w:p>
      <w:pPr>
        <w:numPr>
          <w:ilvl w:val="0"/>
          <w:numId w:val="39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 xml:space="preserve">Add publisher/collection filters; label the current material as </w:t>
      </w:r>
      <w:r>
        <w:rPr>
          <w:rFonts w:ascii="Consolas" w:hAnsi="Consolas"/>
          <w:color w:val="1F4D78"/>
          <w:sz w:val="20"/>
        </w:rPr>
        <w:t>Publisher: iPulse AI</w:t>
      </w:r>
      <w:r>
        <w:rPr>
          <w:rFonts w:ascii="Arial" w:hAnsi="Arial"/>
          <w:color w:val="263244"/>
          <w:sz w:val="22"/>
        </w:rPr>
        <w:t xml:space="preserve"> and </w:t>
      </w:r>
      <w:r>
        <w:rPr>
          <w:rFonts w:ascii="Consolas" w:hAnsi="Consolas"/>
          <w:color w:val="1F4D78"/>
          <w:sz w:val="20"/>
        </w:rPr>
        <w:t>Published by Future Edge Group FZE</w:t>
      </w:r>
      <w:r>
        <w:rPr>
          <w:rFonts w:ascii="Arial" w:hAnsi="Arial"/>
          <w:color w:val="263244"/>
          <w:sz w:val="22"/>
        </w:rPr>
        <w:t>.</w:t>
      </w:r>
      <w:r>
        <w:br/>
      </w:r>
    </w:p>
    <w:p>
      <w:pPr>
        <w:numPr>
          <w:ilvl w:val="0"/>
          <w:numId w:val="39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Add stable publisher, entity, entity-version, target, and target-version references to public projections.</w:t>
      </w:r>
      <w:r>
        <w:br/>
      </w:r>
    </w:p>
    <w:p>
      <w:pPr>
        <w:numPr>
          <w:ilvl w:val="0"/>
          <w:numId w:val="39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Add JSON-LD for the Library landing page, entity pages, and receipt pages.</w:t>
      </w:r>
      <w:r>
        <w:br/>
      </w:r>
    </w:p>
    <w:p>
      <w:pPr>
        <w:numPr>
          <w:ilvl w:val="0"/>
          <w:numId w:val="39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 xml:space="preserve">Add private </w:t>
      </w:r>
      <w:r>
        <w:rPr>
          <w:rFonts w:ascii="Consolas" w:hAnsi="Consolas"/>
          <w:color w:val="1F4D78"/>
          <w:sz w:val="20"/>
        </w:rPr>
        <w:t>entity_candidates</w:t>
      </w:r>
      <w:r>
        <w:rPr>
          <w:rFonts w:ascii="Arial" w:hAnsi="Arial"/>
          <w:color w:val="263244"/>
          <w:sz w:val="22"/>
        </w:rPr>
        <w:t xml:space="preserve"> and </w:t>
      </w:r>
      <w:r>
        <w:rPr>
          <w:rFonts w:ascii="Consolas" w:hAnsi="Consolas"/>
          <w:color w:val="1F4D78"/>
          <w:sz w:val="20"/>
        </w:rPr>
        <w:t>editorial_reviews</w:t>
      </w:r>
      <w:r>
        <w:rPr>
          <w:rFonts w:ascii="Arial" w:hAnsi="Arial"/>
          <w:color w:val="263244"/>
          <w:sz w:val="22"/>
        </w:rPr>
        <w:t>; keep public submission requests directed to support until an admin UI is justified.</w:t>
      </w:r>
      <w:r>
        <w:br/>
      </w:r>
    </w:p>
    <w:p>
      <w:pPr>
        <w:numPr>
          <w:ilvl w:val="0"/>
          <w:numId w:val="39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Extend the controlled publisher to require approved entity/target bindings.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Phase B - governed catalog</w:t>
      </w:r>
    </w:p>
    <w:p>
      <w:pPr>
        <w:numPr>
          <w:ilvl w:val="0"/>
          <w:numId w:val="40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Maintain the governed snapshot of all 377 current iPulse forecast entities and 19 supporting venues; do not reduce the catalog to the five public showcase assets.</w:t>
      </w:r>
      <w:r>
        <w:br/>
      </w:r>
    </w:p>
    <w:p>
      <w:pPr>
        <w:numPr>
          <w:ilvl w:val="0"/>
          <w:numId w:val="40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Add reviewed organization/instrument relationships and Wikidata, Google Knowledge Graph, ISIN, FIGI, MIC, and iPulse identifier assertions with sources.</w:t>
      </w:r>
      <w:r>
        <w:br/>
      </w:r>
    </w:p>
    <w:p>
      <w:pPr>
        <w:numPr>
          <w:ilvl w:val="0"/>
          <w:numId w:val="40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Generate public entity pages and historical slug redirects.</w:t>
      </w:r>
      <w:r>
        <w:br/>
      </w:r>
    </w:p>
    <w:p>
      <w:pPr>
        <w:numPr>
          <w:ilvl w:val="0"/>
          <w:numId w:val="40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Add optional BigQuery mirror tables for analytics and reconciliation.</w:t>
      </w:r>
      <w:r>
        <w:br/>
      </w:r>
    </w:p>
    <w:p>
      <w:pPr>
        <w:numPr>
          <w:ilvl w:val="0"/>
          <w:numId w:val="40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 xml:space="preserve">Add the selective OFL-to-iPulse adoption queue and controlled </w:t>
      </w:r>
      <w:r>
        <w:rPr>
          <w:rFonts w:ascii="Consolas" w:hAnsi="Consolas"/>
          <w:color w:val="1F4D78"/>
          <w:sz w:val="20"/>
        </w:rPr>
        <w:t>PENDING</w:t>
      </w:r>
      <w:r>
        <w:rPr>
          <w:rFonts w:ascii="Arial" w:hAnsi="Arial"/>
          <w:color w:val="263244"/>
          <w:sz w:val="22"/>
        </w:rPr>
        <w:t xml:space="preserve"> onboarding importer so new assets do not require per-asset Python seed edits.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2"/>
      </w:pPr>
      <w:r>
        <w:t>Phase C - proof service</w:t>
      </w:r>
    </w:p>
    <w:p>
      <w:pPr>
        <w:numPr>
          <w:ilvl w:val="0"/>
          <w:numId w:val="41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 xml:space="preserve">Deploy staging Cloud Run proof job in </w:t>
      </w:r>
      <w:r>
        <w:rPr>
          <w:rFonts w:ascii="Consolas" w:hAnsi="Consolas"/>
          <w:color w:val="1F4D78"/>
          <w:sz w:val="20"/>
        </w:rPr>
        <w:t>us-central1</w:t>
      </w:r>
      <w:r>
        <w:rPr>
          <w:rFonts w:ascii="Arial" w:hAnsi="Arial"/>
          <w:color w:val="263244"/>
          <w:sz w:val="22"/>
        </w:rPr>
        <w:t>.</w:t>
      </w:r>
      <w:r>
        <w:br/>
      </w:r>
    </w:p>
    <w:p>
      <w:pPr>
        <w:numPr>
          <w:ilvl w:val="0"/>
          <w:numId w:val="41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Create dedicated Base Sepolia KMS signer and obtain test ETH.</w:t>
      </w:r>
      <w:r>
        <w:br/>
      </w:r>
    </w:p>
    <w:p>
      <w:pPr>
        <w:numPr>
          <w:ilvl w:val="0"/>
          <w:numId w:val="41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Complete one end-to-end receipt proof, including EAS UID decoding and public verification.</w:t>
      </w:r>
      <w:r>
        <w:br/>
      </w:r>
    </w:p>
    <w:p>
      <w:pPr>
        <w:numPr>
          <w:ilvl w:val="0"/>
          <w:numId w:val="41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Measure gas and define production funding/cap policy.</w:t>
      </w:r>
      <w:r>
        <w:br/>
      </w:r>
    </w:p>
    <w:p>
      <w:pPr>
        <w:numPr>
          <w:ilvl w:val="0"/>
          <w:numId w:val="41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Create separate production KMS signer only after explicit approval.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1"/>
      </w:pPr>
      <w:r>
        <w:t>13. Acceptance criteria</w:t>
      </w:r>
    </w:p>
    <w:p>
      <w:r>
        <w:rPr>
          <w:rFonts w:ascii="Arial" w:hAnsi="Arial"/>
          <w:color w:val="263244"/>
          <w:sz w:val="22"/>
        </w:rPr>
        <w:t>The semantic/entity foundation is ready when:</w:t>
      </w:r>
    </w:p>
    <w:p>
      <w:pPr>
        <w:numPr>
          <w:ilvl w:val="0"/>
          <w:numId w:val="42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iPulse AI appears as a publisher profile, not as the Library itself;</w:t>
      </w:r>
      <w:r>
        <w:br/>
      </w:r>
    </w:p>
    <w:p>
      <w:pPr>
        <w:numPr>
          <w:ilvl w:val="0"/>
          <w:numId w:val="42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Future Edge Group is recorded as the accountable organization;</w:t>
      </w:r>
      <w:r>
        <w:br/>
      </w:r>
    </w:p>
    <w:p>
      <w:pPr>
        <w:numPr>
          <w:ilvl w:val="0"/>
          <w:numId w:val="42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team, product, publisher, submitter, forecaster, and reviewer are distinct;</w:t>
      </w:r>
      <w:r>
        <w:br/>
      </w:r>
    </w:p>
    <w:p>
      <w:pPr>
        <w:numPr>
          <w:ilvl w:val="0"/>
          <w:numId w:val="42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every forecast references approved immutable entity and target versions;</w:t>
      </w:r>
      <w:r>
        <w:br/>
      </w:r>
    </w:p>
    <w:p>
      <w:pPr>
        <w:numPr>
          <w:ilvl w:val="0"/>
          <w:numId w:val="42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PepsiCo company, PEP security, Nasdaq venue, Bitcoin, and SPY fund are not conflated;</w:t>
      </w:r>
      <w:r>
        <w:br/>
      </w:r>
    </w:p>
    <w:p>
      <w:pPr>
        <w:numPr>
          <w:ilvl w:val="0"/>
          <w:numId w:val="42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ticker/name changes do not break old receipt URLs or identity;</w:t>
      </w:r>
      <w:r>
        <w:br/>
      </w:r>
    </w:p>
    <w:p>
      <w:pPr>
        <w:numPr>
          <w:ilvl w:val="0"/>
          <w:numId w:val="42"/>
        </w:numPr>
        <w:spacing w:before="0" w:after="60" w:line="264" w:lineRule="auto"/>
      </w:pPr>
      <w:r>
        <w:rPr>
          <w:rFonts w:ascii="Consolas" w:hAnsi="Consolas"/>
          <w:color w:val="1F4D78"/>
          <w:sz w:val="20"/>
        </w:rPr>
        <w:t>sameAs</w:t>
      </w:r>
      <w:r>
        <w:rPr>
          <w:rFonts w:ascii="Arial" w:hAnsi="Arial"/>
          <w:color w:val="263244"/>
          <w:sz w:val="22"/>
        </w:rPr>
        <w:t xml:space="preserve"> is used only for exact identity;</w:t>
      </w:r>
      <w:r>
        <w:br/>
      </w:r>
    </w:p>
    <w:p>
      <w:pPr>
        <w:numPr>
          <w:ilvl w:val="0"/>
          <w:numId w:val="42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external identifiers are governed assertions rather than free-form tags;</w:t>
      </w:r>
      <w:r>
        <w:br/>
      </w:r>
    </w:p>
    <w:p>
      <w:pPr>
        <w:numPr>
          <w:ilvl w:val="0"/>
          <w:numId w:val="42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staging and production use identical entity IDs;</w:t>
      </w:r>
      <w:r>
        <w:br/>
      </w:r>
    </w:p>
    <w:p>
      <w:pPr>
        <w:numPr>
          <w:ilvl w:val="0"/>
          <w:numId w:val="42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 xml:space="preserve">approved Library-native assets enter iPulse only through a selective </w:t>
      </w:r>
      <w:r>
        <w:rPr>
          <w:rFonts w:ascii="Consolas" w:hAnsi="Consolas"/>
          <w:color w:val="1F4D78"/>
          <w:sz w:val="20"/>
        </w:rPr>
        <w:t>PENDING</w:t>
      </w:r>
      <w:r>
        <w:rPr>
          <w:rFonts w:ascii="Arial" w:hAnsi="Arial"/>
          <w:color w:val="263244"/>
          <w:sz w:val="22"/>
        </w:rPr>
        <w:t xml:space="preserve"> adoption gate;</w:t>
      </w:r>
      <w:r>
        <w:br/>
      </w:r>
    </w:p>
    <w:p>
      <w:pPr>
        <w:numPr>
          <w:ilvl w:val="0"/>
          <w:numId w:val="42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public pages emit valid JSON-LD;</w:t>
      </w:r>
      <w:r>
        <w:br/>
      </w:r>
    </w:p>
    <w:p>
      <w:pPr>
        <w:numPr>
          <w:ilvl w:val="0"/>
          <w:numId w:val="42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no browser can create or modify governed records;</w:t>
      </w:r>
      <w:r>
        <w:br/>
      </w:r>
    </w:p>
    <w:p>
      <w:pPr>
        <w:numPr>
          <w:ilvl w:val="0"/>
          <w:numId w:val="42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a controlled publisher can validate and idempotently publish a bundle;</w:t>
      </w:r>
      <w:r>
        <w:br/>
      </w:r>
    </w:p>
    <w:p>
      <w:pPr>
        <w:numPr>
          <w:ilvl w:val="0"/>
          <w:numId w:val="42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every onchain receipt has its own EAS UID;</w:t>
      </w:r>
      <w:r>
        <w:br/>
      </w:r>
    </w:p>
    <w:p>
      <w:pPr>
        <w:numPr>
          <w:ilvl w:val="0"/>
          <w:numId w:val="42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 xml:space="preserve">no private key enters Firestore, source control, the browser, or a local </w:t>
      </w:r>
      <w:r>
        <w:rPr>
          <w:rFonts w:ascii="Consolas" w:hAnsi="Consolas"/>
          <w:color w:val="1F4D78"/>
          <w:sz w:val="20"/>
        </w:rPr>
        <w:t>.env</w:t>
      </w:r>
      <w:r>
        <w:rPr>
          <w:rFonts w:ascii="Arial" w:hAnsi="Arial"/>
          <w:color w:val="263244"/>
          <w:sz w:val="22"/>
        </w:rPr>
        <w:t>;</w:t>
      </w:r>
      <w:r>
        <w:br/>
      </w:r>
    </w:p>
    <w:p>
      <w:pPr>
        <w:numPr>
          <w:ilvl w:val="0"/>
          <w:numId w:val="42"/>
        </w:numPr>
        <w:spacing w:before="0" w:after="60" w:line="264" w:lineRule="auto"/>
      </w:pPr>
      <w:r>
        <w:rPr>
          <w:rFonts w:ascii="Arial" w:hAnsi="Arial"/>
          <w:color w:val="263244"/>
          <w:sz w:val="22"/>
        </w:rPr>
        <w:t>fixed monthly infrastructure remains below $5 at current usage, with gas separately measured and capped.</w:t>
      </w:r>
      <w:r>
        <w:br/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spacing w:before="0" w:after="20" w:line="160" w:lineRule="exact"/>
      </w:pPr>
      <w:r>
        <w:rPr>
          <w:rFonts w:ascii="Arial" w:hAnsi="Arial"/>
          <w:color w:val="FFFFFF"/>
          <w:sz w:val="2"/>
        </w:rPr>
        <w:t xml:space="preserve"> </w:t>
      </w:r>
    </w:p>
    <w:p>
      <w:pPr>
        <w:pStyle w:val="Heading1"/>
      </w:pPr>
      <w:r>
        <w:t>14. Sources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Schema.org, Brand: </w:t>
      </w:r>
      <w:r>
        <w:rPr>
          <w:rFonts w:ascii="Arial" w:hAnsi="Arial"/>
          <w:color w:val="2E74B5"/>
          <w:sz w:val="17"/>
        </w:rPr>
        <w:t>https://schema.org/Brand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Schema.org, Organization and publisher relationships: </w:t>
      </w:r>
      <w:r>
        <w:rPr>
          <w:rFonts w:ascii="Arial" w:hAnsi="Arial"/>
          <w:color w:val="2E74B5"/>
          <w:sz w:val="17"/>
        </w:rPr>
        <w:t>https://schema.org/Organization</w:t>
      </w:r>
      <w:r>
        <w:rPr>
          <w:rFonts w:ascii="Arial" w:hAnsi="Arial"/>
          <w:color w:val="263244"/>
          <w:sz w:val="18"/>
        </w:rPr>
        <w:t xml:space="preserve"> and </w:t>
      </w:r>
      <w:r>
        <w:rPr>
          <w:rFonts w:ascii="Arial" w:hAnsi="Arial"/>
          <w:color w:val="2E74B5"/>
          <w:sz w:val="17"/>
        </w:rPr>
        <w:t>https://schema.org/publisher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Schema.org, OrganizationRole and parentOrganization: </w:t>
      </w:r>
      <w:r>
        <w:rPr>
          <w:rFonts w:ascii="Arial" w:hAnsi="Arial"/>
          <w:color w:val="2E74B5"/>
          <w:sz w:val="17"/>
        </w:rPr>
        <w:t>https://schema.org/OrganizationRole</w:t>
      </w:r>
      <w:r>
        <w:rPr>
          <w:rFonts w:ascii="Arial" w:hAnsi="Arial"/>
          <w:color w:val="263244"/>
          <w:sz w:val="18"/>
        </w:rPr>
        <w:t xml:space="preserve"> and </w:t>
      </w:r>
      <w:r>
        <w:rPr>
          <w:rFonts w:ascii="Arial" w:hAnsi="Arial"/>
          <w:color w:val="2E74B5"/>
          <w:sz w:val="17"/>
        </w:rPr>
        <w:t>https://schema.org/parentOrganization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Schema.org, </w:t>
      </w:r>
      <w:r>
        <w:rPr>
          <w:rFonts w:ascii="Consolas" w:hAnsi="Consolas"/>
          <w:color w:val="1F4D78"/>
          <w:sz w:val="17"/>
        </w:rPr>
        <w:t>sameAs</w:t>
      </w:r>
      <w:r>
        <w:rPr>
          <w:rFonts w:ascii="Arial" w:hAnsi="Arial"/>
          <w:color w:val="263244"/>
          <w:sz w:val="18"/>
        </w:rPr>
        <w:t xml:space="preserve"> and PropertyValue: </w:t>
      </w:r>
      <w:r>
        <w:rPr>
          <w:rFonts w:ascii="Arial" w:hAnsi="Arial"/>
          <w:color w:val="2E74B5"/>
          <w:sz w:val="17"/>
        </w:rPr>
        <w:t>https://schema.org/PropertyValue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Wikidata data model: </w:t>
      </w:r>
      <w:r>
        <w:rPr>
          <w:rFonts w:ascii="Arial" w:hAnsi="Arial"/>
          <w:color w:val="2E74B5"/>
          <w:sz w:val="17"/>
        </w:rPr>
        <w:t>https://www.wikidata.org/wiki/Wikidata:Data_model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Wikidata statements and qualifiers: </w:t>
      </w:r>
      <w:r>
        <w:rPr>
          <w:rFonts w:ascii="Arial" w:hAnsi="Arial"/>
          <w:color w:val="2E74B5"/>
          <w:sz w:val="17"/>
        </w:rPr>
        <w:t>https://www.wikidata.org/wiki/Help:Statements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OpenFIGI API documentation: </w:t>
      </w:r>
      <w:r>
        <w:rPr>
          <w:rFonts w:ascii="Arial" w:hAnsi="Arial"/>
          <w:color w:val="2E74B5"/>
          <w:sz w:val="17"/>
        </w:rPr>
        <w:t>https://www.openfigi.com/api/documentation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ISO 10383 Market Identifier Codes: </w:t>
      </w:r>
      <w:r>
        <w:rPr>
          <w:rFonts w:ascii="Arial" w:hAnsi="Arial"/>
          <w:color w:val="2E74B5"/>
          <w:sz w:val="17"/>
        </w:rPr>
        <w:t>https://www.iso20022.org/market-identifier-codes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GLEIF LEI Common Data File reference: </w:t>
      </w:r>
      <w:r>
        <w:rPr>
          <w:rFonts w:ascii="Arial" w:hAnsi="Arial"/>
          <w:color w:val="2E74B5"/>
          <w:sz w:val="17"/>
        </w:rPr>
        <w:t>https://www.gleif.org/en/lei-data/access-and-use-lei-data/level-1-data-lei-cdf-3-1-format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Schema.org Dataset: </w:t>
      </w:r>
      <w:r>
        <w:rPr>
          <w:rFonts w:ascii="Arial" w:hAnsi="Arial"/>
          <w:color w:val="2E74B5"/>
          <w:sz w:val="17"/>
        </w:rPr>
        <w:t>https://schema.org/Dataset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Schema.org CreativeWork: </w:t>
      </w:r>
      <w:r>
        <w:rPr>
          <w:rFonts w:ascii="Arial" w:hAnsi="Arial"/>
          <w:color w:val="2E74B5"/>
          <w:sz w:val="17"/>
        </w:rPr>
        <w:t>https://schema.org/CreativeWork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W3C SKOS reference: </w:t>
      </w:r>
      <w:r>
        <w:rPr>
          <w:rFonts w:ascii="Arial" w:hAnsi="Arial"/>
          <w:color w:val="2E74B5"/>
          <w:sz w:val="17"/>
        </w:rPr>
        <w:t>https://www.w3.org/TR/skos-reference/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W3C PROV-O: </w:t>
      </w:r>
      <w:r>
        <w:rPr>
          <w:rFonts w:ascii="Arial" w:hAnsi="Arial"/>
          <w:color w:val="2E74B5"/>
          <w:sz w:val="17"/>
        </w:rPr>
        <w:t>https://www.w3.org/TR/prov-o/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Google Cloud Firestore pricing: </w:t>
      </w:r>
      <w:r>
        <w:rPr>
          <w:rFonts w:ascii="Arial" w:hAnsi="Arial"/>
          <w:color w:val="2E74B5"/>
          <w:sz w:val="17"/>
        </w:rPr>
        <w:t>https://cloud.google.com/firestore/pricing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Google Cloud BigQuery pricing: </w:t>
      </w:r>
      <w:r>
        <w:rPr>
          <w:rFonts w:ascii="Arial" w:hAnsi="Arial"/>
          <w:color w:val="2E74B5"/>
          <w:sz w:val="17"/>
        </w:rPr>
        <w:t>https://cloud.google.com/bigquery/pricing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Firebase SQL Connect pricing: </w:t>
      </w:r>
      <w:r>
        <w:rPr>
          <w:rFonts w:ascii="Arial" w:hAnsi="Arial"/>
          <w:color w:val="2E74B5"/>
          <w:sz w:val="17"/>
        </w:rPr>
        <w:t>https://firebase.google.com/docs/sql-connect/pricing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Microsoft Common Data Model overview and Account entity: </w:t>
      </w:r>
      <w:r>
        <w:rPr>
          <w:rFonts w:ascii="Arial" w:hAnsi="Arial"/>
          <w:color w:val="2E74B5"/>
          <w:sz w:val="17"/>
        </w:rPr>
        <w:t>https://learn.microsoft.com/en-us/common-data-model/use</w:t>
      </w:r>
      <w:r>
        <w:rPr>
          <w:rFonts w:ascii="Arial" w:hAnsi="Arial"/>
          <w:color w:val="263244"/>
          <w:sz w:val="18"/>
        </w:rPr>
        <w:t xml:space="preserve"> and </w:t>
      </w:r>
      <w:r>
        <w:rPr>
          <w:rFonts w:ascii="Arial" w:hAnsi="Arial"/>
          <w:color w:val="2E74B5"/>
          <w:sz w:val="17"/>
        </w:rPr>
        <w:t>https://learn.microsoft.com/en-us/common-data-model/schema/core/applicationcommon/account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Salesforce Account Hierarchy: </w:t>
      </w:r>
      <w:r>
        <w:rPr>
          <w:rFonts w:ascii="Arial" w:hAnsi="Arial"/>
          <w:color w:val="2E74B5"/>
          <w:sz w:val="17"/>
        </w:rPr>
        <w:t>https://help.salesforce.com/s/articleView?id=000384446&amp;language=en_US&amp;type=1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Ethereum Attestation Service, how EAS works: </w:t>
      </w:r>
      <w:r>
        <w:rPr>
          <w:rFonts w:ascii="Arial" w:hAnsi="Arial"/>
          <w:color w:val="2E74B5"/>
          <w:sz w:val="17"/>
        </w:rPr>
        <w:t>https://docs.attest.org/docs/core--concepts/how-eas-works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Ethereum Attestation Service SDK: </w:t>
      </w:r>
      <w:r>
        <w:rPr>
          <w:rFonts w:ascii="Arial" w:hAnsi="Arial"/>
          <w:color w:val="2E74B5"/>
          <w:sz w:val="17"/>
        </w:rPr>
        <w:t>https://docs.attest.org/docs/developer-tools/eas-sdk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Google Cloud KMS algorithms: </w:t>
      </w:r>
      <w:r>
        <w:rPr>
          <w:rFonts w:ascii="Arial" w:hAnsi="Arial"/>
          <w:color w:val="2E74B5"/>
          <w:sz w:val="17"/>
        </w:rPr>
        <w:t>https://cloud.google.com/kms/docs/algorithms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Google Cloud KMS signature creation: </w:t>
      </w:r>
      <w:r>
        <w:rPr>
          <w:rFonts w:ascii="Arial" w:hAnsi="Arial"/>
          <w:color w:val="2E74B5"/>
          <w:sz w:val="17"/>
        </w:rPr>
        <w:t>https://cloud.google.com/kms/docs/create-validate-signatures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Base network fees: </w:t>
      </w:r>
      <w:r>
        <w:rPr>
          <w:rFonts w:ascii="Arial" w:hAnsi="Arial"/>
          <w:color w:val="2E74B5"/>
          <w:sz w:val="17"/>
        </w:rPr>
        <w:t>https://docs.base.org/base-chain/network-information/network-fees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Google Cloud Run pricing: </w:t>
      </w:r>
      <w:r>
        <w:rPr>
          <w:rFonts w:ascii="Arial" w:hAnsi="Arial"/>
          <w:color w:val="2E74B5"/>
          <w:sz w:val="17"/>
        </w:rPr>
        <w:t>https://cloud.google.com/run/pricing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Google Cloud KMS pricing: </w:t>
      </w:r>
      <w:r>
        <w:rPr>
          <w:rFonts w:ascii="Arial" w:hAnsi="Arial"/>
          <w:color w:val="2E74B5"/>
          <w:sz w:val="17"/>
        </w:rPr>
        <w:t>https://cloud.google.com/kms/pricing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Google Knowledge Graph Search API: </w:t>
      </w:r>
      <w:r>
        <w:rPr>
          <w:rFonts w:ascii="Arial" w:hAnsi="Arial"/>
          <w:color w:val="2E74B5"/>
          <w:sz w:val="17"/>
        </w:rPr>
        <w:t>https://developers.google.com/knowledge-graph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Neo4j AuraDB pricing: </w:t>
      </w:r>
      <w:r>
        <w:rPr>
          <w:rFonts w:ascii="Arial" w:hAnsi="Arial"/>
          <w:color w:val="2E74B5"/>
          <w:sz w:val="17"/>
        </w:rPr>
        <w:t>https://neo4j.com/pricing/</w:t>
      </w:r>
    </w:p>
    <w:p>
      <w:pPr>
        <w:numPr>
          <w:ilvl w:val="0"/>
          <w:numId w:val="43"/>
        </w:numPr>
        <w:spacing w:before="0" w:after="40" w:line="240" w:lineRule="auto"/>
      </w:pPr>
      <w:r>
        <w:rPr>
          <w:rFonts w:ascii="Arial" w:hAnsi="Arial"/>
          <w:color w:val="263244"/>
          <w:sz w:val="18"/>
        </w:rPr>
        <w:t xml:space="preserve">Spanner Graph overview and editions: </w:t>
      </w:r>
      <w:r>
        <w:rPr>
          <w:rFonts w:ascii="Arial" w:hAnsi="Arial"/>
          <w:color w:val="2E74B5"/>
          <w:sz w:val="17"/>
        </w:rPr>
        <w:t>https://cloud.google.com/spanner/docs/graph/overview</w:t>
      </w:r>
      <w:r>
        <w:rPr>
          <w:rFonts w:ascii="Arial" w:hAnsi="Arial"/>
          <w:color w:val="263244"/>
          <w:sz w:val="18"/>
        </w:rPr>
        <w:t xml:space="preserve"> and </w:t>
      </w:r>
      <w:r>
        <w:rPr>
          <w:rFonts w:ascii="Arial" w:hAnsi="Arial"/>
          <w:color w:val="2E74B5"/>
          <w:sz w:val="17"/>
        </w:rPr>
        <w:t>https://cloud.google.com/spanner/docs/editions-overview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4748B"/>
        <w:sz w:val="17"/>
      </w:rPr>
      <w:t xml:space="preserve">Future Edge Group FZE  | 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64748B"/>
        <w:sz w:val="17"/>
      </w:rPr>
      <w:t>OPEN FORECAST LIBRARY  |  ARCHITECTURE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0">
    <w:abstractNumId w:val="10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9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9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9"/>
    <w:lvlOverride w:ilvl="0">
      <w:startOverride w:val="1"/>
    </w:lvlOverride>
  </w:num>
  <w:num w:numId="4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color w:val="2632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 w:line="252" w:lineRule="auto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Forecast Library Semantic Entity Architecture</dc:title>
  <dc:subject>Entity, publisher, Firestore, BigQuery, and Base/EAS architecture proposal</dc:subject>
  <dc:creator>Future Edge Group FZE</dc:creator>
  <cp:keywords>Open Forecast Library, Open Forecast Receipt, iPulse AI, semantic web, Firestore, Wikidata, EAS, Base</cp:keywords>
  <dc:description>Reviewed architecture and implemented staging semantic-entity foundation.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