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14257"/>
      <w:r>
        <w:rPr>
          <w:rFonts w:hint="eastAsia"/>
          <w:b/>
          <w:bCs/>
          <w:sz w:val="44"/>
          <w:szCs w:val="44"/>
          <w:lang w:val="en-US" w:eastAsia="zh-CN"/>
        </w:rPr>
        <w:t>使用说明</w:t>
      </w:r>
      <w:bookmarkEnd w:id="0"/>
    </w:p>
    <w:p>
      <w:pPr>
        <w:jc w:val="right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>——微信小程序德州扑克概率计算器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目录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_Toc27703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查看德克萨斯扑克的规则功能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_Toc27703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_Toc18468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选牌功能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_Toc18468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_Toc5008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为未指定的玩家指定牌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_Toc5008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_Toc28836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指定空白公共牌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_Toc28836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8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_Toc17549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更改已指定的牌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_Toc17549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9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_Toc19408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置空已经指定的牌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_Toc19408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11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_Toc8130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随机发牌功能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_Toc8130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_Toc20143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随机发牌的初始条件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_Toc20143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_Toc18891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随机发牌的使用说明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_Toc18891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17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_Toc26686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计算参与游戏的玩家的胜率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_Toc26686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20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_Toc10050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计算功能的使用条件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_Toc10050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20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_Toc32273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使用计算功能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_Toc32273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24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instrText xml:space="preserve"> HYPERLINK \l _Toc21824 </w:instrText>
      </w: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4"/>
          <w:lang w:val="en-US" w:eastAsia="zh-CN" w:bidi="ar-SA"/>
        </w:rPr>
        <w:t>清空功能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instrText xml:space="preserve"> PAGEREF _Toc21824 </w:instrTex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t>27</w:t>
      </w:r>
      <w:r>
        <w:rPr>
          <w:rFonts w:ascii="微软雅黑" w:hAnsi="微软雅黑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44"/>
          <w:szCs w:val="22"/>
          <w:lang w:val="en-US" w:eastAsia="zh-CN" w:bidi="ar-SA"/>
        </w:rPr>
        <w:fldChar w:fldCharType="end"/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Cs w:val="30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bookmarkStart w:id="14" w:name="_GoBack"/>
      <w:bookmarkEnd w:id="14"/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7703"/>
      <w:r>
        <w:rPr>
          <w:rFonts w:hint="eastAsia"/>
          <w:lang w:val="en-US" w:eastAsia="zh-CN"/>
        </w:rPr>
        <w:t>查看德克萨斯扑克的规则功能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打开小程序，用户将会进入到主界面：</w:t>
      </w:r>
    </w:p>
    <w:p>
      <w:r>
        <w:drawing>
          <wp:inline distT="0" distB="0" distL="114300" distR="114300">
            <wp:extent cx="3002280" cy="5403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点击屏幕右下角规则按钮，即可跳转至规则页面：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040380" cy="541083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8468"/>
      <w:r>
        <w:rPr>
          <w:rFonts w:hint="eastAsia"/>
          <w:lang w:val="en-US" w:eastAsia="zh-CN"/>
        </w:rPr>
        <w:t>选牌功能</w:t>
      </w:r>
      <w:bookmarkEnd w:id="2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5008"/>
      <w:r>
        <w:rPr>
          <w:rFonts w:hint="eastAsia"/>
          <w:lang w:val="en-US" w:eastAsia="zh-CN"/>
        </w:rPr>
        <w:t>为未指定的玩家指定牌</w:t>
      </w:r>
      <w:bookmarkEnd w:id="3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点击屏幕左下角模拟器按钮，返回模拟器界面：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点击九个玩家的空白的牌面：</w:t>
      </w:r>
    </w:p>
    <w:p>
      <w:pPr>
        <w:numPr>
          <w:numId w:val="0"/>
        </w:numPr>
      </w:pPr>
      <w:r>
        <w:drawing>
          <wp:inline distT="0" distB="0" distL="114300" distR="114300">
            <wp:extent cx="3040380" cy="541083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即可弹出选择器界面，然后点击想要的牌：</w:t>
      </w:r>
    </w:p>
    <w:p>
      <w:pPr>
        <w:numPr>
          <w:numId w:val="0"/>
        </w:numPr>
      </w:pPr>
      <w:r>
        <w:drawing>
          <wp:inline distT="0" distB="0" distL="114300" distR="114300">
            <wp:extent cx="3078480" cy="541845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即可为玩家指定牌：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048000" cy="543369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3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注意:若在选择器界面点击已经被选择的牌，选择器将不会给出响应，所以这时使用者可以点击返回按钮查看自己已经选择过的牌。</w:t>
      </w:r>
    </w:p>
    <w:p>
      <w:pPr>
        <w:numPr>
          <w:numId w:val="0"/>
        </w:numPr>
      </w:pPr>
      <w:r>
        <w:drawing>
          <wp:inline distT="0" distB="0" distL="114300" distR="114300">
            <wp:extent cx="2009775" cy="3575050"/>
            <wp:effectExtent l="0" t="0" r="1905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920" cy="364172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28836"/>
      <w:r>
        <w:rPr>
          <w:rFonts w:hint="eastAsia"/>
          <w:lang w:val="en-US" w:eastAsia="zh-CN"/>
        </w:rPr>
        <w:t>指定空白公共牌</w:t>
      </w:r>
      <w:bookmarkEnd w:id="4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指定公共牌的流程与指定玩家手牌操作类似。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43405" cy="3277870"/>
            <wp:effectExtent l="0" t="0" r="635" b="139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838960" cy="324739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唯一不同点在于，公共牌须按顺序指定，即从左到右从翻牌圈到河牌进行指定。若左边的牌未指定完成之前，点击右边空白的牌，将不会有任何反应：</w:t>
      </w:r>
    </w:p>
    <w:p>
      <w:pPr>
        <w:numPr>
          <w:numId w:val="0"/>
        </w:numPr>
      </w:pPr>
      <w:r>
        <w:drawing>
          <wp:inline distT="0" distB="0" distL="114300" distR="114300">
            <wp:extent cx="3055620" cy="5380355"/>
            <wp:effectExtent l="0" t="0" r="7620" b="146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38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17549"/>
      <w:r>
        <w:rPr>
          <w:rFonts w:hint="eastAsia"/>
          <w:lang w:val="en-US" w:eastAsia="zh-CN"/>
        </w:rPr>
        <w:t>更改已指定的牌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用户点击已经被指定的牌，将会弹出选择器，用户即可点击想要改变之后的牌即可更改：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301240" cy="4108450"/>
            <wp:effectExtent l="0" t="0" r="0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59660" cy="4131310"/>
            <wp:effectExtent l="0" t="0" r="2540" b="139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51075" cy="4005580"/>
            <wp:effectExtent l="0" t="0" r="4445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61870" cy="4013835"/>
            <wp:effectExtent l="0" t="0" r="8890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106295" cy="3764915"/>
            <wp:effectExtent l="0" t="0" r="12065" b="1460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19408"/>
      <w:r>
        <w:rPr>
          <w:rFonts w:hint="eastAsia"/>
          <w:lang w:val="en-US" w:eastAsia="zh-CN"/>
        </w:rPr>
        <w:t>置空已经指定的牌</w:t>
      </w:r>
      <w:bookmarkEnd w:id="6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用户点击想要置空的牌，会弹出选择器。</w:t>
      </w:r>
    </w:p>
    <w:p>
      <w:pPr>
        <w:numPr>
          <w:numId w:val="0"/>
        </w:numPr>
      </w:pPr>
      <w:r>
        <w:drawing>
          <wp:inline distT="0" distB="0" distL="114300" distR="114300">
            <wp:extent cx="2018665" cy="3606165"/>
            <wp:effectExtent l="0" t="0" r="8255" b="571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此时点击置空按钮，即可置空此扑克牌。</w:t>
      </w:r>
    </w:p>
    <w:p>
      <w:pPr>
        <w:numPr>
          <w:numId w:val="0"/>
        </w:numPr>
      </w:pPr>
      <w:r>
        <w:drawing>
          <wp:inline distT="0" distB="0" distL="114300" distR="114300">
            <wp:extent cx="2585720" cy="4580890"/>
            <wp:effectExtent l="0" t="0" r="5080" b="635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14600" cy="4450715"/>
            <wp:effectExtent l="0" t="0" r="0" b="1460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5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br w:type="page"/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7" w:name="_Toc8130"/>
      <w:r>
        <w:rPr>
          <w:rFonts w:hint="eastAsia"/>
          <w:lang w:val="en-US" w:eastAsia="zh-CN"/>
        </w:rPr>
        <w:t>随机发牌功能</w:t>
      </w:r>
      <w:bookmarkEnd w:id="7"/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20143"/>
      <w:r>
        <w:rPr>
          <w:rFonts w:hint="eastAsia"/>
          <w:lang w:val="en-US" w:eastAsia="zh-CN"/>
        </w:rPr>
        <w:t>随机发牌的初始条件</w:t>
      </w:r>
      <w:bookmarkEnd w:id="8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在以下几种条件下，不能使用随机发牌功能(页面上不会有随机发牌的按钮):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有玩家只指定了一张牌：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86100" cy="5403215"/>
            <wp:effectExtent l="0" t="0" r="7620" b="698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br w:type="page"/>
      </w:r>
    </w:p>
    <w:p>
      <w:pPr>
        <w:numPr>
          <w:numId w:val="0"/>
        </w:numPr>
        <w:jc w:val="center"/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公共牌中指定了翻牌(前三张)却为指定完。(按照德州扑克的规矩，前三张是一起发的)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48000" cy="5403215"/>
            <wp:effectExtent l="0" t="0" r="0" b="698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br w:type="page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公共牌已指定的最后一张牌之前有牌被置空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63240" cy="5426075"/>
            <wp:effectExtent l="0" t="0" r="0" b="1460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br w:type="page"/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五张牌已经发完(此时已经不需要随机发牌)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48000" cy="5410835"/>
            <wp:effectExtent l="0" t="0" r="0" b="1460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br w:type="page"/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9" w:name="_Toc18891"/>
      <w:r>
        <w:rPr>
          <w:rFonts w:hint="eastAsia"/>
          <w:lang w:val="en-US" w:eastAsia="zh-CN"/>
        </w:rPr>
        <w:t>随机发牌的使用说明</w:t>
      </w:r>
      <w:bookmarkEnd w:id="9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进入主界面，当没有违反上述规则时随机发牌按钮将会显现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93720" cy="5410835"/>
            <wp:effectExtent l="0" t="0" r="0" b="1460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点击随机发牌按钮，翻牌(前三张公共牌)是一并发出的：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55620" cy="5387975"/>
            <wp:effectExtent l="0" t="0" r="7620" b="698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38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继续点击随机发牌按钮，将会发出转牌(第四张公共牌)，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48000" cy="5418455"/>
            <wp:effectExtent l="0" t="0" r="0" b="698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继续点击，就会发出河牌(第五张公共牌)，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55620" cy="5395595"/>
            <wp:effectExtent l="0" t="0" r="7620" b="1460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39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6686"/>
      <w:r>
        <w:rPr>
          <w:rFonts w:hint="eastAsia"/>
          <w:lang w:val="en-US" w:eastAsia="zh-CN"/>
        </w:rPr>
        <w:t>计算参与游戏的玩家的胜率</w:t>
      </w:r>
      <w:bookmarkEnd w:id="10"/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11" w:name="_Toc10050"/>
      <w:r>
        <w:rPr>
          <w:rFonts w:hint="eastAsia"/>
          <w:lang w:val="en-US" w:eastAsia="zh-CN"/>
        </w:rPr>
        <w:t>计算功能的使用条件</w:t>
      </w:r>
      <w:bookmarkEnd w:id="1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在以下情况下，计算功能不能使用，页面上不会有计算按钮：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1.有玩家只指定了一张牌：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70860" cy="5387975"/>
            <wp:effectExtent l="0" t="0" r="7620" b="6985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38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br w:type="page"/>
      </w:r>
    </w:p>
    <w:p>
      <w:pPr>
        <w:numPr>
          <w:ilvl w:val="0"/>
          <w:numId w:val="0"/>
        </w:numPr>
        <w:jc w:val="center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2.未发完翻牌(前三张)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55620" cy="5410835"/>
            <wp:effectExtent l="0" t="0" r="7620" b="14605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br w:type="page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3.公共牌已指定的最后一张牌之前有牌被置空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8000" cy="5372735"/>
            <wp:effectExtent l="0" t="0" r="0" b="6985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7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br w:type="page"/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少于两个玩家参与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32760" cy="5426075"/>
            <wp:effectExtent l="0" t="0" r="0" b="14605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bookmarkStart w:id="12" w:name="_Toc32273"/>
      <w:r>
        <w:rPr>
          <w:rFonts w:hint="eastAsia"/>
          <w:lang w:val="en-US" w:eastAsia="zh-CN"/>
        </w:rPr>
        <w:t>使用计算功能</w:t>
      </w:r>
      <w:bookmarkEnd w:id="12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在没有上述情况的时候，系统将会弹出计算按钮：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55620" cy="5426075"/>
            <wp:effectExtent l="0" t="0" r="7620" b="14605"/>
            <wp:docPr id="4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点击计算按钮，在参与的玩家下面将会出线他们的胜率。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63240" cy="5410835"/>
            <wp:effectExtent l="0" t="0" r="0" b="1460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值得注意的是，在有些时候，多名玩家的胜率加起来不等于100%，这是因为存在有玩家共同获胜的情况：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40380" cy="5426075"/>
            <wp:effectExtent l="0" t="0" r="7620" b="14605"/>
            <wp:docPr id="4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13" w:name="_Toc21824"/>
      <w:r>
        <w:rPr>
          <w:rFonts w:hint="eastAsia"/>
          <w:lang w:val="en-US" w:eastAsia="zh-CN"/>
        </w:rPr>
        <w:t>清空功能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在刚计算完之后，用户想重新开局重来，这是便需要用到清空功能：</w:t>
      </w:r>
    </w:p>
    <w:p>
      <w:pPr>
        <w:jc w:val="center"/>
      </w:pPr>
      <w:r>
        <w:drawing>
          <wp:inline distT="0" distB="0" distL="114300" distR="114300">
            <wp:extent cx="3070860" cy="5387975"/>
            <wp:effectExtent l="0" t="0" r="7620" b="6985"/>
            <wp:docPr id="4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38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点击清空功能即可清空之前的所有操作。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63240" cy="5403215"/>
            <wp:effectExtent l="0" t="0" r="0" b="6985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1DB2C"/>
    <w:multiLevelType w:val="singleLevel"/>
    <w:tmpl w:val="5B41DB2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41DF82"/>
    <w:multiLevelType w:val="singleLevel"/>
    <w:tmpl w:val="5B41DF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41F2F1"/>
    <w:multiLevelType w:val="singleLevel"/>
    <w:tmpl w:val="5B41F2F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B41F319"/>
    <w:multiLevelType w:val="singleLevel"/>
    <w:tmpl w:val="5B41F31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B41F3E4"/>
    <w:multiLevelType w:val="singleLevel"/>
    <w:tmpl w:val="5B41F3E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B41F709"/>
    <w:multiLevelType w:val="singleLevel"/>
    <w:tmpl w:val="5B41F709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B41F9E7"/>
    <w:multiLevelType w:val="singleLevel"/>
    <w:tmpl w:val="5B41F9E7"/>
    <w:lvl w:ilvl="0" w:tentative="0">
      <w:start w:val="4"/>
      <w:numFmt w:val="decimal"/>
      <w:suff w:val="nothing"/>
      <w:lvlText w:val="%1."/>
      <w:lvlJc w:val="left"/>
    </w:lvl>
  </w:abstractNum>
  <w:abstractNum w:abstractNumId="7">
    <w:nsid w:val="5B41FA21"/>
    <w:multiLevelType w:val="singleLevel"/>
    <w:tmpl w:val="5B41FA21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B42092C"/>
    <w:multiLevelType w:val="singleLevel"/>
    <w:tmpl w:val="5B42092C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B4209AF"/>
    <w:multiLevelType w:val="singleLevel"/>
    <w:tmpl w:val="5B4209AF"/>
    <w:lvl w:ilvl="0" w:tentative="0">
      <w:start w:val="2"/>
      <w:numFmt w:val="decimal"/>
      <w:suff w:val="nothing"/>
      <w:lvlText w:val="%1."/>
      <w:lvlJc w:val="left"/>
    </w:lvl>
  </w:abstractNum>
  <w:abstractNum w:abstractNumId="10">
    <w:nsid w:val="5B420D3C"/>
    <w:multiLevelType w:val="singleLevel"/>
    <w:tmpl w:val="5B420D3C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04F26"/>
    <w:rsid w:val="1BAD20A5"/>
    <w:rsid w:val="33A57AEF"/>
    <w:rsid w:val="44A676D5"/>
    <w:rsid w:val="54672BB8"/>
    <w:rsid w:val="721C06EB"/>
    <w:rsid w:val="7E391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微软雅黑" w:hAnsi="微软雅黑"/>
      <w:sz w:val="28"/>
      <w:szCs w:val="2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character" w:customStyle="1" w:styleId="15">
    <w:name w:val="标题 1 Char"/>
    <w:link w:val="2"/>
    <w:uiPriority w:val="0"/>
    <w:rPr>
      <w:rFonts w:ascii="微软雅黑" w:hAnsi="微软雅黑" w:eastAsia="微软雅黑"/>
      <w:b/>
      <w:kern w:val="44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yuan</cp:lastModifiedBy>
  <dcterms:modified xsi:type="dcterms:W3CDTF">2018-07-08T13:10:18Z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