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Tara Chand was of a weak and timid disposition. As a result, in-roads were made into the country and much territory was lost to neighbouring states. The tributary states also ceased to give attendance and present their nazars. Tara Chand invaded Handur and Mehlog and won over these areas. He built Taragarh Fort on the peak of a hill and also the Taradevi temple, Kangra both in Handur. Raja Handur joined hands with the Rajas of and Suket. Forces of all the three states attacked Kehloor and Chand captured many forts. Due to repeated attacks from the Kangra, Raja Tara shifted his capital from Sunhani to Panjgain but after sometime again shifted back to Sunhani. Tara Chand died in the year 1653.</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