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Ajmer Chand reigned for over forty years. He had six Ranis. His sons Tikka Devi Chand, Shakti Chand, Chimna, lijatu and Jugatu were born out of Sirmaur Rani, Pugatu from Dhami Rani and Zorawar from Kumarsain  Rani. They were all brave princes and assisted their father in numerous campaigns. Mian Abhai Ram of Dhaulra (the ancestor of Bhadrog Chandel family) had already served as minister with both Raja Dip Chand and Raja Bhim Chand. The other principal ministers were Gaje Singh of Talwar, Hira of Darol, Nanglu and Pamma Nadda. Sukdev, an eminent author of Braj language, was the writer. Raja Ajmer Chand passed the later period of his reign peacefully. He was a great worshipper of Lord Krishna. He handed over the rein of the state to his son, Devi Chand, in 1741, and himself retired to Kashi, where he died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