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Raja Kahal Chand, the sixth ruler of the line, built Fort Kot-Kehloor. According to one version, the state subsequently derived its name Kehloor from this ancient citadel named after Raja Kahal Chand. The following successors to the throne were, in order of reference, Salar Chand (902), Men Chand (905), Sen Chand (1033), Sulakshan Chand (1056) and Kahn Chand (1057-1099). Ajit Chand (1099), who succeeded Kahn Chand, had three sons: Ajit Chand, Sujit Chand and Taig Chand. On their father's death, on his own volition, Raja Ajit Chand carved out the state of Handur for his younger brother Sujit Chand and made him an independent ruler of Nalagarh (Handur) state. The youngest brother, BILASPUR: THROUGH THE CENTURIES 50 Taig Chand, settled at Malyaru. Raja Ajit Chand ruled for fourteen years and eleven months. Thereafter, the succeeding rulers were Kokil Chand (1133), Uday Chand (1143), Gen Chand (1162), Prithvi Chand (1197) and Shringar Chand (1197-1220). Shringar Chand went to war with the ruler of Kangra in which the former was victorious. He annexed with his state the Kangra territories of Mahal Mori and Tatwal. The Raja had ten sons, seven of whom were the ancestors of many Chandela Rajput families who also held jagirs. Shringar Chand's second son, Kailke, who had settled in village Darhol near Anandpur, belongs to the Chandela family of Ramgarh near Panchkula in Haryana. Later, the succeeding families shifted to Beri on the west bank of the Sutlej, opposite Bilaspur town and named it Beri Darol.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