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Progres: Klasifikasi Sampah dengan SigLIP</w:t>
      </w:r>
    </w:p>
    <w:p>
      <w:pPr>
        <w:jc w:val="center"/>
      </w:pPr>
      <w:r>
        <w:rPr>
          <w:i/>
        </w:rPr>
        <w:t>Ringkasan temuan dan tindakan: perbaikan metodologi, evaluasi model, dan siklus pembersihan data berbasis ruang embedding (v2 -&gt; v3).</w:t>
      </w:r>
    </w:p>
    <w:p>
      <w:pPr>
        <w:pStyle w:val="Heading1"/>
      </w:pPr>
      <w:r>
        <w:t>1. Ringkasan Eksekutif</w:t>
      </w:r>
    </w:p>
    <w:p>
      <w:r>
        <w:t>Model final yang dipilih adalah ensemble lintas keluarga (ens_lintas_model: MLP multi-seed + kNN + SVM), dipilih dari metrik validasi. Setelah satu siklus pembersihan data terarah pada pasangan kelas Recylable-Organik, macro F1 validasi naik dari 0.9913 (v2) menjadi 0.9956 (v3), dengan Recall B3 0.9958 dan Precision B3 0.9979. Peningkatan datang dari perbaikan data, bukan arsitektur head yang lebih besar atau kalibrasi ambang.</w:t>
      </w:r>
    </w:p>
    <w:p>
      <w:r>
        <w:t>Prinsip metodologi dijaga: pemilihan model memakai metrik validasi; test hanya dievaluasi satu kali untuk model final; augmentasi hanya pada train; cross-validation mengelompokkan view augmentasi per gambar (orig_idx) agar tidak bocor antar fold.</w:t>
      </w:r>
    </w:p>
    <w:p>
      <w:pPr>
        <w:pStyle w:val="Heading1"/>
      </w:pPr>
      <w:r>
        <w:t>2. Perbaikan Metodologi (v2)</w:t>
      </w:r>
    </w:p>
    <w:p>
      <w:pPr>
        <w:pStyle w:val="ListBullet"/>
      </w:pPr>
      <w:r>
        <w:rPr>
          <w:b/>
        </w:rPr>
        <w:t>Bobot kelas efektif</w:t>
      </w:r>
      <w:r>
        <w:t>: class_weight dihitung dari jumlah baris train setelah augmentasi (bukan jumlah gambar), sehingga oversampling B3 lewat N_AUG tidak terhitung ganda.</w:t>
      </w:r>
    </w:p>
    <w:p>
      <w:pPr>
        <w:pStyle w:val="ListBullet"/>
      </w:pPr>
      <w:r>
        <w:rPr>
          <w:b/>
        </w:rPr>
        <w:t>Loss</w:t>
      </w:r>
      <w:r>
        <w:t>: CrossEntropy + label smoothing 0.05 sebagai default (Focal opsional, bug modulasi pt pada kasus berbobot diperbaiki).</w:t>
      </w:r>
    </w:p>
    <w:p>
      <w:pPr>
        <w:pStyle w:val="ListBullet"/>
      </w:pPr>
      <w:r>
        <w:rPr>
          <w:b/>
        </w:rPr>
        <w:t>Regularisasi</w:t>
      </w:r>
      <w:r>
        <w:t>: Mixup di ruang embedding (alpha 0.2) untuk generalisasi.</w:t>
      </w:r>
    </w:p>
    <w:p>
      <w:pPr>
        <w:pStyle w:val="ListBullet"/>
      </w:pPr>
      <w:r>
        <w:rPr>
          <w:b/>
        </w:rPr>
        <w:t>Evaluasi jujur</w:t>
      </w:r>
      <w:r>
        <w:t>: Kolom macro_F1_nodup (validasi tanpa near-duplicate train) + estimasi out-of-fold sebagai pembanding kedua selain validasi.</w:t>
      </w:r>
    </w:p>
    <w:p>
      <w:pPr>
        <w:pStyle w:val="ListBullet"/>
      </w:pPr>
      <w:r>
        <w:rPr>
          <w:b/>
        </w:rPr>
        <w:t>Disiplin test</w:t>
      </w:r>
      <w:r>
        <w:t>: Penjaga mark_test_use memperingatkan bila test dilihat untuk lebih dari satu model; error analysis dipindah ke validasi.</w:t>
      </w:r>
    </w:p>
    <w:p>
      <w:pPr>
        <w:pStyle w:val="Heading1"/>
      </w:pPr>
      <w:r>
        <w:t>3. Diagnostik Data di Ruang Embedding</w:t>
      </w:r>
    </w:p>
    <w:p>
      <w:r>
        <w:t>Karena seluruh head sudah mencapai ~99%, perbaikan berikutnya diarahkan ke data. Diagnostik out-of-fold (StratifiedGroupKFold, group orig_idx) menemukan bahwa error residual terkonsentrasi pada pasangan Recylable&lt;-&gt;Organik, sedangkan B3 nyaris tidak pernah tertukar. Kandidat label noise diurut berdasarkan keyakinan prediksi berbeda dari label asli (confident learning + kNN).</w:t>
      </w:r>
    </w:p>
    <w:p>
      <w:pPr>
        <w:pStyle w:val="ListBullet"/>
      </w:pPr>
      <w:r>
        <w:rPr>
          <w:b/>
        </w:rPr>
        <w:t>Pasangan dominan error</w:t>
      </w:r>
      <w:r>
        <w:t>: Recylable&lt;-&gt;Organik (ratusan kasus OOF).</w:t>
      </w:r>
    </w:p>
    <w:p>
      <w:pPr>
        <w:pStyle w:val="ListBullet"/>
      </w:pPr>
      <w:r>
        <w:rPr>
          <w:b/>
        </w:rPr>
        <w:t>B3</w:t>
      </w:r>
      <w:r>
        <w:t>: Terpisah bersih di ruang embedding; menjadi kelas dengan metrik terbaik.</w:t>
      </w:r>
    </w:p>
    <w:p>
      <w:pPr>
        <w:pStyle w:val="Heading1"/>
      </w:pPr>
      <w:r>
        <w:t>4. Siklus Pembersihan Data (v3)</w:t>
      </w:r>
    </w:p>
    <w:p>
      <w:pPr>
        <w:pStyle w:val="ListBullet"/>
      </w:pPr>
      <w:r>
        <w:rPr>
          <w:b/>
        </w:rPr>
        <w:t>Deduplikasi</w:t>
      </w:r>
      <w:r>
        <w:t>: 1174 berkas duplikat dipindah ke Dataset/duplicates_removed/ (MD5 + SHA256 piksel + perceptual hash dHash; dHash menangkap duplikat beda format yang lolos hash eksak).</w:t>
      </w:r>
    </w:p>
    <w:p>
      <w:pPr>
        <w:pStyle w:val="ListBullet"/>
      </w:pPr>
      <w:r>
        <w:rPr>
          <w:b/>
        </w:rPr>
        <w:t>Pembersihan terarah (Tahap 1.5)</w:t>
      </w:r>
      <w:r>
        <w:t>: 66 keputusan review manual diterapkan permanen (49 relabel, 17 dibuang). Target relabel -&gt; Recylable: 29, Organik: 17, B3: 3.</w:t>
      </w:r>
    </w:p>
    <w:p>
      <w:pPr>
        <w:pStyle w:val="ListBullet"/>
      </w:pPr>
      <w:r>
        <w:rPr>
          <w:b/>
        </w:rPr>
        <w:t>Aturan keamanan data</w:t>
      </w:r>
      <w:r>
        <w:t>: Berkas 'buang' dipindah ke karantina (tidak dihapus); 'relabel' dipindah ke folder kelas tujuan; keputusan label tetap melalui tinjauan manusia.</w:t>
      </w:r>
    </w:p>
    <w:p>
      <w:pPr>
        <w:pStyle w:val="Heading1"/>
      </w:pPr>
      <w:r>
        <w:t>5. Distribusi Dataset v3</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Split</w:t>
            </w:r>
          </w:p>
        </w:tc>
        <w:tc>
          <w:tcPr>
            <w:tcW w:type="dxa" w:w="1728"/>
          </w:tcPr>
          <w:p>
            <w:r>
              <w:rPr>
                <w:b/>
              </w:rPr>
              <w:t>Total</w:t>
            </w:r>
          </w:p>
        </w:tc>
        <w:tc>
          <w:tcPr>
            <w:tcW w:type="dxa" w:w="1728"/>
          </w:tcPr>
          <w:p>
            <w:r>
              <w:rPr>
                <w:b/>
              </w:rPr>
              <w:t>Recylable</w:t>
            </w:r>
          </w:p>
        </w:tc>
        <w:tc>
          <w:tcPr>
            <w:tcW w:type="dxa" w:w="1728"/>
          </w:tcPr>
          <w:p>
            <w:r>
              <w:rPr>
                <w:b/>
              </w:rPr>
              <w:t>Organik</w:t>
            </w:r>
          </w:p>
        </w:tc>
        <w:tc>
          <w:tcPr>
            <w:tcW w:type="dxa" w:w="1728"/>
          </w:tcPr>
          <w:p>
            <w:r>
              <w:rPr>
                <w:b/>
              </w:rPr>
              <w:t>B3</w:t>
            </w:r>
          </w:p>
        </w:tc>
      </w:tr>
      <w:tr>
        <w:tc>
          <w:tcPr>
            <w:tcW w:type="dxa" w:w="1728"/>
          </w:tcPr>
          <w:p>
            <w:r>
              <w:t>Train</w:t>
            </w:r>
          </w:p>
        </w:tc>
        <w:tc>
          <w:tcPr>
            <w:tcW w:type="dxa" w:w="1728"/>
          </w:tcPr>
          <w:p>
            <w:r>
              <w:t>20275</w:t>
            </w:r>
          </w:p>
        </w:tc>
        <w:tc>
          <w:tcPr>
            <w:tcW w:type="dxa" w:w="1728"/>
          </w:tcPr>
          <w:p>
            <w:r>
              <w:t>8599</w:t>
            </w:r>
          </w:p>
        </w:tc>
        <w:tc>
          <w:tcPr>
            <w:tcW w:type="dxa" w:w="1728"/>
          </w:tcPr>
          <w:p>
            <w:r>
              <w:t>9450</w:t>
            </w:r>
          </w:p>
        </w:tc>
        <w:tc>
          <w:tcPr>
            <w:tcW w:type="dxa" w:w="1728"/>
          </w:tcPr>
          <w:p>
            <w:r>
              <w:t>2226</w:t>
            </w:r>
          </w:p>
        </w:tc>
      </w:tr>
      <w:tr>
        <w:tc>
          <w:tcPr>
            <w:tcW w:type="dxa" w:w="1728"/>
          </w:tcPr>
          <w:p>
            <w:r>
              <w:t>Val</w:t>
            </w:r>
          </w:p>
        </w:tc>
        <w:tc>
          <w:tcPr>
            <w:tcW w:type="dxa" w:w="1728"/>
          </w:tcPr>
          <w:p>
            <w:r>
              <w:t>4345</w:t>
            </w:r>
          </w:p>
        </w:tc>
        <w:tc>
          <w:tcPr>
            <w:tcW w:type="dxa" w:w="1728"/>
          </w:tcPr>
          <w:p>
            <w:r>
              <w:t>1843</w:t>
            </w:r>
          </w:p>
        </w:tc>
        <w:tc>
          <w:tcPr>
            <w:tcW w:type="dxa" w:w="1728"/>
          </w:tcPr>
          <w:p>
            <w:r>
              <w:t>2025</w:t>
            </w:r>
          </w:p>
        </w:tc>
        <w:tc>
          <w:tcPr>
            <w:tcW w:type="dxa" w:w="1728"/>
          </w:tcPr>
          <w:p>
            <w:r>
              <w:t>477</w:t>
            </w:r>
          </w:p>
        </w:tc>
      </w:tr>
      <w:tr>
        <w:tc>
          <w:tcPr>
            <w:tcW w:type="dxa" w:w="1728"/>
          </w:tcPr>
          <w:p>
            <w:r>
              <w:t>Test</w:t>
            </w:r>
          </w:p>
        </w:tc>
        <w:tc>
          <w:tcPr>
            <w:tcW w:type="dxa" w:w="1728"/>
          </w:tcPr>
          <w:p>
            <w:r>
              <w:t>4345</w:t>
            </w:r>
          </w:p>
        </w:tc>
        <w:tc>
          <w:tcPr>
            <w:tcW w:type="dxa" w:w="1728"/>
          </w:tcPr>
          <w:p>
            <w:r>
              <w:t>1843</w:t>
            </w:r>
          </w:p>
        </w:tc>
        <w:tc>
          <w:tcPr>
            <w:tcW w:type="dxa" w:w="1728"/>
          </w:tcPr>
          <w:p>
            <w:r>
              <w:t>2025</w:t>
            </w:r>
          </w:p>
        </w:tc>
        <w:tc>
          <w:tcPr>
            <w:tcW w:type="dxa" w:w="1728"/>
          </w:tcPr>
          <w:p>
            <w:r>
              <w:t>477</w:t>
            </w:r>
          </w:p>
        </w:tc>
      </w:tr>
    </w:tbl>
    <w:p/>
    <w:p>
      <w:r>
        <w:t>Bobot kelas (class_weights.json):</w:t>
      </w:r>
    </w:p>
    <w:tbl>
      <w:tblPr>
        <w:tblStyle w:val="LightGrid-Accent1"/>
        <w:tblW w:type="auto" w:w="0"/>
        <w:tblLook w:firstColumn="1" w:firstRow="1" w:lastColumn="0" w:lastRow="0" w:noHBand="0" w:noVBand="1" w:val="04A0"/>
      </w:tblPr>
      <w:tblGrid>
        <w:gridCol w:w="4320"/>
        <w:gridCol w:w="4320"/>
      </w:tblGrid>
      <w:tr>
        <w:tc>
          <w:tcPr>
            <w:tcW w:type="dxa" w:w="4320"/>
          </w:tcPr>
          <w:p>
            <w:r>
              <w:rPr>
                <w:b/>
              </w:rPr>
              <w:t>Kelas</w:t>
            </w:r>
          </w:p>
        </w:tc>
        <w:tc>
          <w:tcPr>
            <w:tcW w:type="dxa" w:w="4320"/>
          </w:tcPr>
          <w:p>
            <w:r>
              <w:rPr>
                <w:b/>
              </w:rPr>
              <w:t>Bobot</w:t>
            </w:r>
          </w:p>
        </w:tc>
      </w:tr>
      <w:tr>
        <w:tc>
          <w:tcPr>
            <w:tcW w:type="dxa" w:w="4320"/>
          </w:tcPr>
          <w:p>
            <w:r>
              <w:t>Organik</w:t>
            </w:r>
          </w:p>
        </w:tc>
        <w:tc>
          <w:tcPr>
            <w:tcW w:type="dxa" w:w="4320"/>
          </w:tcPr>
          <w:p>
            <w:r>
              <w:t>0.7152</w:t>
            </w:r>
          </w:p>
        </w:tc>
      </w:tr>
      <w:tr>
        <w:tc>
          <w:tcPr>
            <w:tcW w:type="dxa" w:w="4320"/>
          </w:tcPr>
          <w:p>
            <w:r>
              <w:t>Recylable</w:t>
            </w:r>
          </w:p>
        </w:tc>
        <w:tc>
          <w:tcPr>
            <w:tcW w:type="dxa" w:w="4320"/>
          </w:tcPr>
          <w:p>
            <w:r>
              <w:t>0.7859</w:t>
            </w:r>
          </w:p>
        </w:tc>
      </w:tr>
      <w:tr>
        <w:tc>
          <w:tcPr>
            <w:tcW w:type="dxa" w:w="4320"/>
          </w:tcPr>
          <w:p>
            <w:r>
              <w:t>B3</w:t>
            </w:r>
          </w:p>
        </w:tc>
        <w:tc>
          <w:tcPr>
            <w:tcW w:type="dxa" w:w="4320"/>
          </w:tcPr>
          <w:p>
            <w:r>
              <w:t>3.0362</w:t>
            </w:r>
          </w:p>
        </w:tc>
      </w:tr>
    </w:tbl>
    <w:p>
      <w:pPr>
        <w:pStyle w:val="Heading1"/>
      </w:pPr>
      <w:r>
        <w:t>6. Evaluasi Model: v2 vs v3 (Metrik Validasi)</w:t>
      </w:r>
    </w:p>
    <w:p>
      <w:r>
        <w:t>Model final: ens_lintas_model. Angka diambil dari tabel perbandingan head (metrik validasi).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Metrik (val)</w:t>
            </w:r>
          </w:p>
        </w:tc>
        <w:tc>
          <w:tcPr>
            <w:tcW w:type="dxa" w:w="2160"/>
          </w:tcPr>
          <w:p>
            <w:r>
              <w:rPr>
                <w:b/>
              </w:rPr>
              <w:t>v2</w:t>
            </w:r>
          </w:p>
        </w:tc>
        <w:tc>
          <w:tcPr>
            <w:tcW w:type="dxa" w:w="2160"/>
          </w:tcPr>
          <w:p>
            <w:r>
              <w:rPr>
                <w:b/>
              </w:rPr>
              <w:t>v3</w:t>
            </w:r>
          </w:p>
        </w:tc>
        <w:tc>
          <w:tcPr>
            <w:tcW w:type="dxa" w:w="2160"/>
          </w:tcPr>
          <w:p>
            <w:r>
              <w:rPr>
                <w:b/>
              </w:rPr>
              <w:t>Delta</w:t>
            </w:r>
          </w:p>
        </w:tc>
      </w:tr>
      <w:tr>
        <w:tc>
          <w:tcPr>
            <w:tcW w:type="dxa" w:w="2160"/>
          </w:tcPr>
          <w:p>
            <w:r>
              <w:t>Macro F1</w:t>
            </w:r>
          </w:p>
        </w:tc>
        <w:tc>
          <w:tcPr>
            <w:tcW w:type="dxa" w:w="2160"/>
          </w:tcPr>
          <w:p>
            <w:r>
              <w:t>0.9913</w:t>
            </w:r>
          </w:p>
        </w:tc>
        <w:tc>
          <w:tcPr>
            <w:tcW w:type="dxa" w:w="2160"/>
          </w:tcPr>
          <w:p>
            <w:r>
              <w:t>0.9956</w:t>
            </w:r>
          </w:p>
        </w:tc>
        <w:tc>
          <w:tcPr>
            <w:tcW w:type="dxa" w:w="2160"/>
          </w:tcPr>
          <w:p>
            <w:r>
              <w:t>+0.0042</w:t>
            </w:r>
          </w:p>
        </w:tc>
      </w:tr>
      <w:tr>
        <w:tc>
          <w:tcPr>
            <w:tcW w:type="dxa" w:w="2160"/>
          </w:tcPr>
          <w:p>
            <w:r>
              <w:t>Macro F1 (tanpa near-dup)</w:t>
            </w:r>
          </w:p>
        </w:tc>
        <w:tc>
          <w:tcPr>
            <w:tcW w:type="dxa" w:w="2160"/>
          </w:tcPr>
          <w:p>
            <w:r>
              <w:t>0.9912</w:t>
            </w:r>
          </w:p>
        </w:tc>
        <w:tc>
          <w:tcPr>
            <w:tcW w:type="dxa" w:w="2160"/>
          </w:tcPr>
          <w:p>
            <w:r>
              <w:t>0.9956</w:t>
            </w:r>
          </w:p>
        </w:tc>
        <w:tc>
          <w:tcPr>
            <w:tcW w:type="dxa" w:w="2160"/>
          </w:tcPr>
          <w:p>
            <w:r>
              <w:t>+0.0044</w:t>
            </w:r>
          </w:p>
        </w:tc>
      </w:tr>
      <w:tr>
        <w:tc>
          <w:tcPr>
            <w:tcW w:type="dxa" w:w="2160"/>
          </w:tcPr>
          <w:p>
            <w:r>
              <w:t>Recall Recylable</w:t>
            </w:r>
          </w:p>
        </w:tc>
        <w:tc>
          <w:tcPr>
            <w:tcW w:type="dxa" w:w="2160"/>
          </w:tcPr>
          <w:p>
            <w:r>
              <w:t>0.9928</w:t>
            </w:r>
          </w:p>
        </w:tc>
        <w:tc>
          <w:tcPr>
            <w:tcW w:type="dxa" w:w="2160"/>
          </w:tcPr>
          <w:p>
            <w:r>
              <w:t>0.9957</w:t>
            </w:r>
          </w:p>
        </w:tc>
        <w:tc>
          <w:tcPr>
            <w:tcW w:type="dxa" w:w="2160"/>
          </w:tcPr>
          <w:p>
            <w:r>
              <w:t>+0.0029</w:t>
            </w:r>
          </w:p>
        </w:tc>
      </w:tr>
      <w:tr>
        <w:tc>
          <w:tcPr>
            <w:tcW w:type="dxa" w:w="2160"/>
          </w:tcPr>
          <w:p>
            <w:r>
              <w:t>Recall Organik</w:t>
            </w:r>
          </w:p>
        </w:tc>
        <w:tc>
          <w:tcPr>
            <w:tcW w:type="dxa" w:w="2160"/>
          </w:tcPr>
          <w:p>
            <w:r>
              <w:t>0.9879</w:t>
            </w:r>
          </w:p>
        </w:tc>
        <w:tc>
          <w:tcPr>
            <w:tcW w:type="dxa" w:w="2160"/>
          </w:tcPr>
          <w:p>
            <w:r>
              <w:t>0.9946</w:t>
            </w:r>
          </w:p>
        </w:tc>
        <w:tc>
          <w:tcPr>
            <w:tcW w:type="dxa" w:w="2160"/>
          </w:tcPr>
          <w:p>
            <w:r>
              <w:t>+0.0067</w:t>
            </w:r>
          </w:p>
        </w:tc>
      </w:tr>
      <w:tr>
        <w:tc>
          <w:tcPr>
            <w:tcW w:type="dxa" w:w="2160"/>
          </w:tcPr>
          <w:p>
            <w:r>
              <w:t>Recall B3</w:t>
            </w:r>
          </w:p>
        </w:tc>
        <w:tc>
          <w:tcPr>
            <w:tcW w:type="dxa" w:w="2160"/>
          </w:tcPr>
          <w:p>
            <w:r>
              <w:t>0.9942</w:t>
            </w:r>
          </w:p>
        </w:tc>
        <w:tc>
          <w:tcPr>
            <w:tcW w:type="dxa" w:w="2160"/>
          </w:tcPr>
          <w:p>
            <w:r>
              <w:t>0.9958</w:t>
            </w:r>
          </w:p>
        </w:tc>
        <w:tc>
          <w:tcPr>
            <w:tcW w:type="dxa" w:w="2160"/>
          </w:tcPr>
          <w:p>
            <w:r>
              <w:t>+0.0016</w:t>
            </w:r>
          </w:p>
        </w:tc>
      </w:tr>
      <w:tr>
        <w:tc>
          <w:tcPr>
            <w:tcW w:type="dxa" w:w="2160"/>
          </w:tcPr>
          <w:p>
            <w:r>
              <w:t>Precision B3</w:t>
            </w:r>
          </w:p>
        </w:tc>
        <w:tc>
          <w:tcPr>
            <w:tcW w:type="dxa" w:w="2160"/>
          </w:tcPr>
          <w:p>
            <w:r>
              <w:t>0.9923</w:t>
            </w:r>
          </w:p>
        </w:tc>
        <w:tc>
          <w:tcPr>
            <w:tcW w:type="dxa" w:w="2160"/>
          </w:tcPr>
          <w:p>
            <w:r>
              <w:t>0.9979</w:t>
            </w:r>
          </w:p>
        </w:tc>
        <w:tc>
          <w:tcPr>
            <w:tcW w:type="dxa" w:w="2160"/>
          </w:tcPr>
          <w:p>
            <w:r>
              <w:t>+0.0056</w:t>
            </w:r>
          </w:p>
        </w:tc>
      </w:tr>
      <w:tr>
        <w:tc>
          <w:tcPr>
            <w:tcW w:type="dxa" w:w="2160"/>
          </w:tcPr>
          <w:p>
            <w:r>
              <w:t>F1 B3</w:t>
            </w:r>
          </w:p>
        </w:tc>
        <w:tc>
          <w:tcPr>
            <w:tcW w:type="dxa" w:w="2160"/>
          </w:tcPr>
          <w:p>
            <w:r>
              <w:t>0.9933</w:t>
            </w:r>
          </w:p>
        </w:tc>
        <w:tc>
          <w:tcPr>
            <w:tcW w:type="dxa" w:w="2160"/>
          </w:tcPr>
          <w:p>
            <w:r>
              <w:t>0.9969</w:t>
            </w:r>
          </w:p>
        </w:tc>
        <w:tc>
          <w:tcPr>
            <w:tcW w:type="dxa" w:w="2160"/>
          </w:tcPr>
          <w:p>
            <w:r>
              <w:t>+0.0036</w:t>
            </w:r>
          </w:p>
        </w:tc>
      </w:tr>
    </w:tbl>
    <w:p/>
    <w:p>
      <w:r>
        <w:t>Catatan: komposisi test set v3 berbeda dari v2 akibat dedup dan relabel, sehingga angka test tidak dibandingkan langsung antar versi. Patokan perbandingan adalah metrik validasi.</w:t>
      </w:r>
    </w:p>
    <w:p>
      <w:pPr>
        <w:pStyle w:val="Heading1"/>
      </w:pPr>
      <w:r>
        <w:t>7. Peringkat Head (v3, Metrik Validasi)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Macro F1</w:t>
            </w:r>
          </w:p>
        </w:tc>
        <w:tc>
          <w:tcPr>
            <w:tcW w:type="dxa" w:w="2160"/>
          </w:tcPr>
          <w:p>
            <w:r>
              <w:rPr>
                <w:b/>
              </w:rPr>
              <w:t>Recall B3</w:t>
            </w:r>
          </w:p>
        </w:tc>
        <w:tc>
          <w:tcPr>
            <w:tcW w:type="dxa" w:w="2160"/>
          </w:tcPr>
          <w:p>
            <w:r>
              <w:rPr>
                <w:b/>
              </w:rPr>
              <w:t>Prec B3</w:t>
            </w:r>
          </w:p>
        </w:tc>
      </w:tr>
      <w:tr>
        <w:tc>
          <w:tcPr>
            <w:tcW w:type="dxa" w:w="2160"/>
          </w:tcPr>
          <w:p>
            <w:r>
              <w:t>ens_lintas_model</w:t>
            </w:r>
          </w:p>
        </w:tc>
        <w:tc>
          <w:tcPr>
            <w:tcW w:type="dxa" w:w="2160"/>
          </w:tcPr>
          <w:p>
            <w:r>
              <w:t>0.9956</w:t>
            </w:r>
          </w:p>
        </w:tc>
        <w:tc>
          <w:tcPr>
            <w:tcW w:type="dxa" w:w="2160"/>
          </w:tcPr>
          <w:p>
            <w:r>
              <w:t>0.9958</w:t>
            </w:r>
          </w:p>
        </w:tc>
        <w:tc>
          <w:tcPr>
            <w:tcW w:type="dxa" w:w="2160"/>
          </w:tcPr>
          <w:p>
            <w:r>
              <w:t>0.9979</w:t>
            </w:r>
          </w:p>
        </w:tc>
      </w:tr>
      <w:tr>
        <w:tc>
          <w:tcPr>
            <w:tcW w:type="dxa" w:w="2160"/>
          </w:tcPr>
          <w:p>
            <w:r>
              <w:t>ens_seed_mlp2</w:t>
            </w:r>
          </w:p>
        </w:tc>
        <w:tc>
          <w:tcPr>
            <w:tcW w:type="dxa" w:w="2160"/>
          </w:tcPr>
          <w:p>
            <w:r>
              <w:t>0.9951</w:t>
            </w:r>
          </w:p>
        </w:tc>
        <w:tc>
          <w:tcPr>
            <w:tcW w:type="dxa" w:w="2160"/>
          </w:tcPr>
          <w:p>
            <w:r>
              <w:t>0.9979</w:t>
            </w:r>
          </w:p>
        </w:tc>
        <w:tc>
          <w:tcPr>
            <w:tcW w:type="dxa" w:w="2160"/>
          </w:tcPr>
          <w:p>
            <w:r>
              <w:t>0.9937</w:t>
            </w:r>
          </w:p>
        </w:tc>
      </w:tr>
      <w:tr>
        <w:tc>
          <w:tcPr>
            <w:tcW w:type="dxa" w:w="2160"/>
          </w:tcPr>
          <w:p>
            <w:r>
              <w:t>knn_cosine</w:t>
            </w:r>
          </w:p>
        </w:tc>
        <w:tc>
          <w:tcPr>
            <w:tcW w:type="dxa" w:w="2160"/>
          </w:tcPr>
          <w:p>
            <w:r>
              <w:t>0.9945</w:t>
            </w:r>
          </w:p>
        </w:tc>
        <w:tc>
          <w:tcPr>
            <w:tcW w:type="dxa" w:w="2160"/>
          </w:tcPr>
          <w:p>
            <w:r>
              <w:t>0.9979</w:t>
            </w:r>
          </w:p>
        </w:tc>
        <w:tc>
          <w:tcPr>
            <w:tcW w:type="dxa" w:w="2160"/>
          </w:tcPr>
          <w:p>
            <w:r>
              <w:t>0.9917</w:t>
            </w:r>
          </w:p>
        </w:tc>
      </w:tr>
      <w:tr>
        <w:tc>
          <w:tcPr>
            <w:tcW w:type="dxa" w:w="2160"/>
          </w:tcPr>
          <w:p>
            <w:r>
              <w:t>mlp2</w:t>
            </w:r>
          </w:p>
        </w:tc>
        <w:tc>
          <w:tcPr>
            <w:tcW w:type="dxa" w:w="2160"/>
          </w:tcPr>
          <w:p>
            <w:r>
              <w:t>0.9938</w:t>
            </w:r>
          </w:p>
        </w:tc>
        <w:tc>
          <w:tcPr>
            <w:tcW w:type="dxa" w:w="2160"/>
          </w:tcPr>
          <w:p>
            <w:r>
              <w:t>0.9916</w:t>
            </w:r>
          </w:p>
        </w:tc>
        <w:tc>
          <w:tcPr>
            <w:tcW w:type="dxa" w:w="2160"/>
          </w:tcPr>
          <w:p>
            <w:r>
              <w:t>0.9937</w:t>
            </w:r>
          </w:p>
        </w:tc>
      </w:tr>
      <w:tr>
        <w:tc>
          <w:tcPr>
            <w:tcW w:type="dxa" w:w="2160"/>
          </w:tcPr>
          <w:p>
            <w:r>
              <w:t>svm_rbf</w:t>
            </w:r>
          </w:p>
        </w:tc>
        <w:tc>
          <w:tcPr>
            <w:tcW w:type="dxa" w:w="2160"/>
          </w:tcPr>
          <w:p>
            <w:r>
              <w:t>0.9936</w:t>
            </w:r>
          </w:p>
        </w:tc>
        <w:tc>
          <w:tcPr>
            <w:tcW w:type="dxa" w:w="2160"/>
          </w:tcPr>
          <w:p>
            <w:r>
              <w:t>0.9895</w:t>
            </w:r>
          </w:p>
        </w:tc>
        <w:tc>
          <w:tcPr>
            <w:tcW w:type="dxa" w:w="2160"/>
          </w:tcPr>
          <w:p>
            <w:r>
              <w:t>0.9979</w:t>
            </w:r>
          </w:p>
        </w:tc>
      </w:tr>
      <w:tr>
        <w:tc>
          <w:tcPr>
            <w:tcW w:type="dxa" w:w="2160"/>
          </w:tcPr>
          <w:p>
            <w:r>
              <w:t>ens_semua_head</w:t>
            </w:r>
          </w:p>
        </w:tc>
        <w:tc>
          <w:tcPr>
            <w:tcW w:type="dxa" w:w="2160"/>
          </w:tcPr>
          <w:p>
            <w:r>
              <w:t>0.9933</w:t>
            </w:r>
          </w:p>
        </w:tc>
        <w:tc>
          <w:tcPr>
            <w:tcW w:type="dxa" w:w="2160"/>
          </w:tcPr>
          <w:p>
            <w:r>
              <w:t>0.9958</w:t>
            </w:r>
          </w:p>
        </w:tc>
        <w:tc>
          <w:tcPr>
            <w:tcW w:type="dxa" w:w="2160"/>
          </w:tcPr>
          <w:p>
            <w:r>
              <w:t>0.9896</w:t>
            </w:r>
          </w:p>
        </w:tc>
      </w:tr>
    </w:tbl>
    <w:p>
      <w:pPr>
        <w:pStyle w:val="Heading1"/>
      </w:pPr>
      <w:r>
        <w:t>8. Pendekatan yang Diuji dan Ditolak</w:t>
      </w:r>
    </w:p>
    <w:p>
      <w:pPr>
        <w:pStyle w:val="ListBullet"/>
      </w:pPr>
      <w:r>
        <w:rPr>
          <w:b/>
        </w:rPr>
        <w:t>Test-Time Augmentation (TTA)</w:t>
      </w:r>
      <w:r>
        <w:t>: Ditolak: embedding sudah di-fix sehingga TTA butuh ekstraksi ulang (mahal), dan error sisa berupa ambiguitas kelas, bukan noise inferensi yang bisa diredam averaging.</w:t>
      </w:r>
    </w:p>
    <w:p>
      <w:pPr>
        <w:pStyle w:val="ListBullet"/>
      </w:pPr>
      <w:r>
        <w:rPr>
          <w:b/>
        </w:rPr>
        <w:t>Kalibrasi bias per kelas (P2)</w:t>
      </w:r>
      <w:r>
        <w:t>: Diuji pada v2 lalu dimatikan: macro F1 validasi naik tipis namun test turun dan precision B3 menurun; model sudah terkalibrasi, bias hanya memindahkan error. Pemilihan diambil dari validasi, bukan test.</w:t>
      </w:r>
    </w:p>
    <w:p>
      <w:pPr>
        <w:pStyle w:val="ListBullet"/>
      </w:pPr>
      <w:r>
        <w:rPr>
          <w:b/>
        </w:rPr>
        <w:t>Head lebih besar</w:t>
      </w:r>
      <w:r>
        <w:t>: Tidak dilakukan: seluruh head rapat (&lt;0.01), headroom arsitektur sudah habis.</w:t>
      </w:r>
    </w:p>
    <w:p>
      <w:pPr>
        <w:pStyle w:val="Heading1"/>
      </w:pPr>
      <w:r>
        <w:t>9. Catatan Infrastruktur</w:t>
      </w:r>
    </w:p>
    <w:p>
      <w:pPr>
        <w:pStyle w:val="ListBullet"/>
      </w:pPr>
      <w:r>
        <w:rPr>
          <w:b/>
        </w:rPr>
        <w:t>Portabilitas lingkungan</w:t>
      </w:r>
      <w:r>
        <w:t>: Notebook probe dapat berjalan di lokal atau Colab lewat satu variabel ENV (auto-deteksi berdasarkan keberadaan data). Penanda DATA_VERSION memisahkan embedding/hasil antar versi dataset agar tidak saling menimpa.</w:t>
      </w:r>
    </w:p>
    <w:p>
      <w:pPr>
        <w:pStyle w:val="ListBullet"/>
      </w:pPr>
      <w:r>
        <w:rPr>
          <w:b/>
        </w:rPr>
        <w:t>Kompatibilitas Pillow</w:t>
      </w:r>
      <w:r>
        <w:t>: Pillow dipin &lt; 12 untuk menghindari ImportError _Ink pada torchvision di Colab terbaru.</w:t>
      </w:r>
    </w:p>
    <w:p>
      <w:pPr>
        <w:pStyle w:val="Heading1"/>
      </w:pPr>
      <w:r>
        <w:t>10. Langkah Berikutnya</w:t>
      </w:r>
    </w:p>
    <w:p>
      <w:r>
        <w:t>Lanjutkan siklus data-centric: regenerasi daftar review Recylable&lt;-&gt;Organik dari out-of-fold v3, tinjau kandidat tersisa (termasuk sampel ambigu margin kecil), terapkan di preprocessing, lalu re-ekstrak embedding ke versi baru. Pertimbangkan juga penanganan near-duplicate lintas split (119 pasang) yang sengaja dilewati pada v3, untuk evaluasi yang makin bersih.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