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Attendance Incentives and Recorded School Departure by Baseline Writing Status</w:t>
      </w:r>
    </w:p>
    <w:p>
      <w:pPr>
        <w:spacing w:after="100"/>
        <w:jc w:val="left"/>
      </w:pPr>
      <w:r>
        <w:t>[Author name]</w:t>
      </w:r>
    </w:p>
    <w:p>
      <w:pPr>
        <w:spacing w:after="100"/>
        <w:jc w:val="left"/>
      </w:pPr>
      <w:r>
        <w:t>Reference draft revised on October 9 2026</w:t>
      </w:r>
    </w:p>
    <w:p>
      <w:pPr>
        <w:pStyle w:val="Heading1"/>
      </w:pPr>
      <w:r>
        <w:t>Abstract</w:t>
      </w:r>
    </w:p>
    <w:p>
      <w:r>
        <w:t>Does a teacher attendance program change recorded departure from nonformal schools differently for children with different initial preparation? I reanalyze Duflo, Hanna, and Ryan's randomized camera-monitoring and attendance-pay experiment in Rajasthan. The replication reproduces the headline attendance effect and the original average departure results. The extension adds one interaction between treatment assignment and baseline written-test status. Among 2,195 children in 111 schools, the program's recorded departure effect is 5.0 percentage points for baseline nonwriters and 26.1 points for baseline writers. The difference is 21.1 points, with a school-clustered 95 percent confidence interval of 6.9 to 35.3 points. The estimate remains positive under the specified sensitivity checks and within-family adjustment. It remains exploratory. Departure is an attendance-based classification whose observation opportunities depend on school opening; it does not establish withdrawal from education or a mechanism explaining departure.</w:t>
      </w:r>
    </w:p>
    <w:p>
      <w:pPr>
        <w:pStyle w:val="Heading1"/>
      </w:pPr>
      <w:r>
        <w:t>1 Introduction</w:t>
      </w:r>
    </w:p>
    <w:p>
      <w:r>
        <w:t>Does improving teacher attendance change recorded departure from the original school more for children who could already take a written test? I examine this question in the camera-monitoring and attendance-pay experiment studied by Duflo, Hanna, and Ryan (2012). I reproduce the original attendance and average departure results, then interact randomized treatment with baseline written-test status. The question connects the literature on provider incentives with evidence that children's initial preparation can shape an educational intervention's effects.</w:t>
      </w:r>
    </w:p>
    <w:p>
      <w:r>
        <w:t>The main finding is a difference of 21.1 percentage points between the two groups' treatment effects on recorded departure. The estimated effect is 5.0 points among children who could not take the written baseline test and 26.1 points among children who took it. The direct comparison has a school-clustered p-value of .004 and a 95 percent confidence interval from 6.9 to 35.3 points; a wild-cluster bootstrap gives p = .007. The outcome is the original paper's attendance-based classification of departure from a nonformal education center. Its educational meaning requires separate consideration.</w:t>
      </w:r>
    </w:p>
    <w:p>
      <w:r>
        <w:t>Teacher absence is a substantive constraint on access to instruction in low-resource settings. Unannounced visits to Indian government primary schools found approximately one-quarter of teachers absent and only about half teaching when observed (Kremer et al. 2005). Those descriptive findings establish the scale of the problem rather than the effect of any particular remedy. Guerrero et al. (2013) synthesize nine experimental or quasi-experimental studies of attendance interventions. Their review finds positive pooled attendance effects for monitoring with incentives and for community or parent interventions, while the available pooled achievement effects are statistically inconclusive. Its limited, heterogeneous evidence base and search ending in 2010 caution against assuming that improved presence necessarily delivers every downstream educational benefit.</w:t>
      </w:r>
    </w:p>
    <w:p>
      <w:r>
        <w:t>The margin rewarded by an incentive also matters. Glewwe, Ilias, and Kremer (2010) find that Kenyan test-score incentives increased performance on rewarded examinations and test preparation without increasing teacher attendance or improving unrelated tests. In Indian government schools, Muralidharan and Sundararaman (2011) find learning gains from performance pay without a corresponding attendance change; their evidence points to greater effort conditional on presence. These studies distinguish attendance-linked pay from rewards tied to student performance. The Rajasthan experiment targets presence directly, combining camera records with an attendance payment schedule. Its randomized assignment identifies the package's effect, while the comparison literature explains why results from other incentive designs need not predict its participation outcomes.</w:t>
      </w:r>
    </w:p>
    <w:p>
      <w:r>
        <w:t>The closest additional participation study is Cilliers et al. (2018). In Ugandan primary schools, local monitoring alone did not improve teacher attendance, whereas monitoring combined with a bonus increased presence and improved the quality of reported information. The authors also find enrollment and attainment gains associated with reduced dropout. Changing pupil composition, however, makes learning effects difficult to identify: their selection bounds include zero. This evidence motivates examining children's participation alongside provider presence and test scores. It does not validate the Rajasthan departure indicator. Remaining enrolled in a Ugandan primary school and ceasing to appear in the original nonformal center are different outcomes, with different possibilities for educational progression.</w:t>
      </w:r>
    </w:p>
    <w:p>
      <w:r>
        <w:t>Initial preparation provides a plausible dimension along which responses may differ. Banerjee et al. (2007) find that remedial instruction in urban India produced its largest gains among children at the bottom of the test-score distribution. Duflo, Dupas, and Kremer (2011) find that Kenyan tracking benefited pupils across the initial-achievement distribution. They interpret the results as consistent with peer effects and teachers adapting instruction to pupil level. Together, these studies motivate asking how an intervention interacts with children's starting position, without supplying a universal prediction about the direction of heterogeneity. In the present data, the baseline protocol gave a written test to children who could write and an oral test to those who could not. Written-test status therefore marks initial preparation, although it is not a comprehensive literacy measure. Children who already take a written test may be closer to progressing beyond basic nonformal instruction; others may need more instruction in the original center. These are possible interpretations to examine, rather than identified mechanisms.</w:t>
      </w:r>
    </w:p>
    <w:p>
      <w:r>
        <w:t>Participation measures themselves need scrutiny. Linden and Shastry (2012) compare teacher and external-monitor attendance records under a conditional grain program and document child-specific discretion in recorded attendance. Their evidence establishes that recorded presence and independently observed presence can diverge in another institutional setting. It does not establish manipulation in the camera experiment or in this reanalysis. Here the immediate concern is the roster rule: departure means zero attendance in the latest up to five observed open-school checks. Because treatment changes school opening, it changes opportunities for observing children. Nonformal centers can also prepare pupils to move into government schools. Recorded departure can therefore accompany progression, prolonged absence, or disengagement, and incomplete destination records prevent a complete distinction among these possibilities.</w:t>
      </w:r>
    </w:p>
    <w:p>
      <w:r>
        <w:t>The contribution is a specific comparison using existing observations. Duflo, Hanna, and Ryan (2012) already report aggregate departure in Table 10 and use baseline writing status in attendance and learning analyses. The audited article, supplemental appendix, erratum, and replication programs do not report a baseline-writing interaction for Table 10 departure. This bounded claim concerns those materials; the literature scan does not establish priority across all education research. The extension asks whether the original aggregate classification conceals different responses across preparation groups.</w:t>
      </w:r>
    </w:p>
    <w:p>
      <w:r>
        <w:t>Two qualifications govern the analysis. The research direction was selected after examining several extensions, so all inference remains exploratory, including adjustment within the three departure-related outcomes. The implemented departure measure also remains subject to treatment-dependent observation, incomplete histories, and coding ambiguity. I preserve it for replication and report sensitivities to documented weaknesses. Section 2 presents the original experiment and replication. Section 3 develops the interaction and its results. Section 4 discusses interpretation, and the appendix reports sensitivity and reproducibility details.</w:t>
      </w:r>
    </w:p>
    <w:p>
      <w:pPr>
        <w:pStyle w:val="Heading1"/>
      </w:pPr>
      <w:r>
        <w:t>2 Original study and replication</w:t>
      </w:r>
    </w:p>
    <w:p>
      <w:pPr>
        <w:pStyle w:val="Heading2"/>
      </w:pPr>
      <w:r>
        <w:t>2 1 The experiment and its main claim</w:t>
      </w:r>
    </w:p>
    <w:p>
      <w:r>
        <w:t>Duflo, Hanna, and Ryan (2012) study single-teacher nonformal education centers run by Seva Mandir in rural Udaipur, Rajasthan. The centers teach basic Hindi and mathematics. A teacher's absence normally closes the center, so teacher presence and access to instruction are closely connected. The experiment initially randomized 120 schools, with 60 assigned to treatment and 60 to comparison. Seven schools closed after randomization but before the program was announced, leaving 57 treatment and 56 comparison schools in the evaluation.</w:t>
      </w:r>
    </w:p>
    <w:p>
      <w:r>
        <w:t>The program began in September 2003. Teachers in treatment schools received cameras, and a student photographed the teacher and children at the start and end of the day. The date and time records supported an attendance-linked pay schedule. Comparison teachers continued to receive a fixed salary. Because monitoring and attendance pay were offered together, random assignment identifies the effect of the package. The design does not separately identify a camera effect or a pay effect.</w:t>
      </w:r>
    </w:p>
    <w:p>
      <w:r>
        <w:t>The headline experimental claim is a reduction in teacher absence of about 21 percentage points. The authors also report a learning improvement of about 0.17 standard deviations and greater movement into government schools. Those outcomes concern different units and horizons. The headline attendance estimate uses school visits through February 2006, whereas learning is measured in child tests and departure is constructed from child roster histories. Keeping their samples separate is necessary for an honest replication.</w:t>
      </w:r>
    </w:p>
    <w:p>
      <w:pPr>
        <w:pStyle w:val="Heading2"/>
      </w:pPr>
      <w:r>
        <w:t>2 2 Data reconstruction and replication procedure</w:t>
      </w:r>
    </w:p>
    <w:p>
      <w:r>
        <w:t>I use the public version 1 replication package, distributed through openICPSR as E112523V1 (Duflo, Hanna, and Ryan 2019). The original programs are in Stata and contain older machine-specific paths. The replication here reconstructs selected results in Python from the original Stata data files and compares them with the paper and shipped output. It does not reproduce the structural labor-supply model or every published result. The focused replication covers the experimental headline and the outcomes needed for the extension.</w:t>
      </w:r>
    </w:p>
    <w:p>
      <w:r>
        <w:t>For attendance, I apply the original school exclusions and time construction to the random-check file, omit the pre-announcement baseline period, and estimate a treatment-control difference in the indicator that the school is open. Each observation is a random school visit. The model includes an intercept and randomized treatment assignment. I allow observations within the same school to be correlated by clustering standard errors at school level. The resulting sample has 3,071 visits in 113 schools. The original time construction includes the late-August checks assigned to the September intervention period.</w:t>
      </w:r>
    </w:p>
    <w:p>
      <w:r>
        <w:t>For departure, I reconstruct the enrolled child roster from the two raw roster sources, link the random checks and baseline records, and follow the Table 10 program's attendance recoding. The program sorts each child's open-school checks from newest to oldest and retains up to five. A child receives the departure indicator when attendance sums to zero in those retained rows. The same pipeline defines the government-school marker and the residual departure measure. Matching the published construction includes preserving the original string and numeric reason-field mismatch; Appendix B explains its implications.</w:t>
      </w:r>
    </w:p>
    <w:p>
      <w:pPr>
        <w:pStyle w:val="Heading2"/>
      </w:pPr>
      <w:r>
        <w:t>2 3 What reproduces</w:t>
      </w:r>
    </w:p>
    <w:p>
      <w:pPr>
        <w:keepNext/>
        <w:spacing w:line="276" w:lineRule="auto"/>
        <w:jc w:val="left"/>
      </w:pPr>
      <w:r>
        <w:rPr>
          <w:b/>
        </w:rPr>
        <w:t>Table 1 Replication of the headline attendance and average departure results</w:t>
      </w:r>
    </w:p>
    <w:tbl>
      <w:tblPr>
        <w:tblW w:type="auto" w:w="0"/>
        <w:jc w:val="center"/>
        <w:tblLayout w:type="fixed"/>
        <w:tblLook w:firstColumn="1" w:firstRow="1" w:lastColumn="0" w:lastRow="0" w:noHBand="0" w:noVBand="1" w:val="04A0"/>
      </w:tblPr>
      <w:tblGrid>
        <w:gridCol w:w="2777"/>
        <w:gridCol w:w="2083"/>
        <w:gridCol w:w="2222"/>
        <w:gridCol w:w="1944"/>
      </w:tblGrid>
      <w:tr>
        <w:trPr>
          <w:tblHeade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Outcome</w:t>
            </w:r>
          </w:p>
        </w:tc>
        <w:tc>
          <w:tcPr>
            <w:tcW w:type="dxa" w:w="20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Published effect (SE)</w:t>
            </w:r>
          </w:p>
        </w:tc>
        <w:tc>
          <w:tcPr>
            <w:tcW w:type="dxa" w:w="22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Reproduced effect (SE)</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N</w:t>
            </w:r>
          </w:p>
        </w:tc>
      </w:tr>
      <w:tr>
        <w:trP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School opening</w:t>
            </w:r>
          </w:p>
        </w:tc>
        <w:tc>
          <w:tcPr>
            <w:tcW w:type="dxa" w:w="20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0.21 (0.03)</w:t>
            </w:r>
          </w:p>
        </w:tc>
        <w:tc>
          <w:tcPr>
            <w:tcW w:type="dxa" w:w="22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0.207 (0.030)</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3,071 visits</w:t>
            </w:r>
          </w:p>
        </w:tc>
      </w:tr>
      <w:tr>
        <w:trP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Total recorded departure</w:t>
            </w:r>
          </w:p>
        </w:tc>
        <w:tc>
          <w:tcPr>
            <w:tcW w:type="dxa" w:w="20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0.08 (0.04)</w:t>
            </w:r>
          </w:p>
        </w:tc>
        <w:tc>
          <w:tcPr>
            <w:tcW w:type="dxa" w:w="22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0.084 (0.041)</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2,197 children</w:t>
            </w:r>
          </w:p>
        </w:tc>
      </w:tr>
      <w:tr>
        <w:trP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Government school marker</w:t>
            </w:r>
          </w:p>
        </w:tc>
        <w:tc>
          <w:tcPr>
            <w:tcW w:type="dxa" w:w="20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0.10 (0.03)</w:t>
            </w:r>
          </w:p>
        </w:tc>
        <w:tc>
          <w:tcPr>
            <w:tcW w:type="dxa" w:w="22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0.101 (0.035)</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2,197 children</w:t>
            </w:r>
          </w:p>
        </w:tc>
      </w:tr>
      <w:tr>
        <w:trP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Residual departure</w:t>
            </w:r>
          </w:p>
        </w:tc>
        <w:tc>
          <w:tcPr>
            <w:tcW w:type="dxa" w:w="20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-0.02 (0.03)</w:t>
            </w:r>
          </w:p>
        </w:tc>
        <w:tc>
          <w:tcPr>
            <w:tcW w:type="dxa" w:w="22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-0.018 (0.031)</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2,197 children</w:t>
            </w:r>
          </w:p>
        </w:tc>
      </w:tr>
    </w:tbl>
    <w:p>
      <w:pPr>
        <w:spacing w:line="276" w:lineRule="auto" w:before="100" w:after="180"/>
        <w:jc w:val="left"/>
      </w:pPr>
      <w:r>
        <w:t>Notes. Effects and standard errors are in probability units; multiply by 100 for percentage points. Attendance uses 113 schools and the original September 2003 to February 2006 time construction. Departure uses 111 schools and the last up-to-five open-check rule. Government school marker and residual departure follow the original reason-code convention. Models contain an intercept and treatment assignment; standard errors are clustered by school. Sources are the original raw files, Table 2 and Table 10, and the audited Python reconstructions. No significance stars are used.</w:t>
      </w:r>
    </w:p>
    <w:p>
      <w:r>
        <w:t>Table 1 shows that the reproduced headline attendance coefficient is 0.207, with a clustered standard error of 0.030. These round to the original 0.21 and 0.03. The treatment and control opening rates are 78.7 and 58.0 percent, respectively. The estimate corresponds to an increase of 20.7 percentage points in school opening, with a 95 percent interval from 14.9 to 26.6 points. This reproduces the headline experimental result without requiring the structural model.</w:t>
      </w:r>
    </w:p>
    <w:p>
      <w:r>
        <w:t>The child departure reconstruction also matches Table 10 at its reported precision. In the 2,197-child replication sample, the treatment-control difference in total recorded departure is 8.4 percentage points, with a standard error of 4.1 points. The corresponding differences are 10.1 points for the recorded government-school marker and -1.8 points for the residual measure. These reproduce the published coefficients of 0.08, 0.10, and -0.02. The reconstructed child outcomes agree with the shipped reference records. Reproducing them verifies the implemented measure; it does not resolve the measure's interpretation.</w:t>
      </w:r>
    </w:p>
    <w:p>
      <w:r>
        <w:t>The existing learning audit provides an additional check on the package: 16 selected Table 9 specifications match the shipped coefficients, standard errors, and sample sizes at reported precision. For example, the Panel A post-test total specification with child baseline-test controls gives a coefficient of 0.173 with standard error 0.087 in 1,760 source records. I keep learning outside this paper's main extension. Appendix C records the alternative learning directions examined so that the choice of departure is visible.</w:t>
      </w:r>
    </w:p>
    <w:p>
      <w:pPr>
        <w:pStyle w:val="Heading1"/>
      </w:pPr>
      <w:r>
        <w:t>3 Extension to baseline writing status</w:t>
      </w:r>
    </w:p>
    <w:p>
      <w:pPr>
        <w:pStyle w:val="Heading2"/>
      </w:pPr>
      <w:r>
        <w:t>3 1 The question and analysis sample</w:t>
      </w:r>
    </w:p>
    <w:p>
      <w:r>
        <w:t>The extension changes one part of Table 10: it adds baseline written-test status and its interaction with randomized treatment. The primary outcome remains total recorded departure from the original nonformal center. The question is whether the program changes this classification by a different amount for children with different baseline preparation. It does not ask whether being able to write causes departure. Writing status was measured before treatment, but it was not itself randomized.</w:t>
      </w:r>
    </w:p>
    <w:p>
      <w:r>
        <w:t>I link the reconstructed child outcomes to baseline writing records using the school and child identifiers. Repeated baseline records must agree on written-test status. Two eligible child identifiers have conflicting status and are excluded rather than assigned a category. The resulting analysis has 2,195 children across 111 schools. It contains 1,798 baseline nonwriters and 397 baseline writers, with 1,136 treatment children and 1,059 control children. The 111-school departure sample differs from the 113-school attendance sample because the child roster construction supplies the departure observations.</w:t>
      </w:r>
    </w:p>
    <w:p>
      <w:r>
        <w:t>I use the terms baseline writer and baseline nonwriter as concise labels for the test protocol. A baseline writer took the written baseline test; a baseline nonwriter did not. The labels do not measure a stable ability type or a complete set of educational skills. I keep this binary classification fixed. No score threshold is chosen to maximize the interaction, and no new observations or externally collected variables enter the analysis.</w:t>
      </w:r>
    </w:p>
    <w:p>
      <w:pPr>
        <w:pStyle w:val="Heading2"/>
      </w:pPr>
      <w:r>
        <w:t>3 2 Outcome definition and estimand</w:t>
      </w:r>
    </w:p>
    <w:p>
      <w:r>
        <w:t>The departure indicator equals one when the child's recorded attendance is zero over the latest available open-school checks selected by the original rule. It equals zero when the child has recorded attendance in that window. Some children have fewer than five selected checks, so the operational classification can rest on a shorter history. A zero therefore means the child was not classified as departed under the rule; it does not independently prove continuous enrollment. A one can also include a recorded government-school marker; it does not verify every child's destination.</w:t>
      </w:r>
    </w:p>
    <w:p>
      <w:r>
        <w:t>I estimate a linear probability model for child i in school s:</w:t>
      </w:r>
    </w:p>
    <w:p>
      <w:pPr>
        <w:spacing w:before="120" w:after="180"/>
        <w:jc w:val="center"/>
      </w:pPr>
      <m:oMathPara>
        <m:oMath>
          <m:sSub>
            <m:e>
              <m:r>
                <m:t>Y</m:t>
              </m:r>
            </m:e>
            <m:sub>
              <m:r>
                <m:t>is</m:t>
              </m:r>
            </m:sub>
          </m:sSub>
          <m:r>
            <m:t> = α + τ </m:t>
          </m:r>
          <m:sSub>
            <m:e>
              <m:r>
                <m:t>T</m:t>
              </m:r>
            </m:e>
            <m:sub>
              <m:r>
                <m:t>s</m:t>
              </m:r>
            </m:sub>
          </m:sSub>
          <m:r>
            <m:t> + β </m:t>
          </m:r>
          <m:sSub>
            <m:e>
              <m:r>
                <m:t>W</m:t>
              </m:r>
            </m:e>
            <m:sub>
              <m:r>
                <m:t>is</m:t>
              </m:r>
            </m:sub>
          </m:sSub>
          <m:r>
            <m:t> + δ (</m:t>
          </m:r>
          <m:sSub>
            <m:e>
              <m:r>
                <m:t>T</m:t>
              </m:r>
            </m:e>
            <m:sub>
              <m:r>
                <m:t>s</m:t>
              </m:r>
            </m:sub>
          </m:sSub>
          <m:r>
            <m:t> × </m:t>
          </m:r>
          <m:sSub>
            <m:e>
              <m:r>
                <m:t>W</m:t>
              </m:r>
            </m:e>
            <m:sub>
              <m:r>
                <m:t>is</m:t>
              </m:r>
            </m:sub>
          </m:sSub>
          <m:r>
            <m:t>) + </m:t>
          </m:r>
          <m:sSub>
            <m:e>
              <m:r>
                <m:t>ε</m:t>
              </m:r>
            </m:e>
            <m:sub>
              <m:r>
                <m:t>is</m:t>
              </m:r>
            </m:sub>
          </m:sSub>
        </m:oMath>
      </m:oMathPara>
    </w:p>
    <w:p>
      <w:r>
        <w:t>Here Y is the binary departure classification, T is school treatment assignment, and W is baseline written-test status. The coefficient tau is the treatment-control difference for nonwriters. Tau plus delta is the corresponding difference for writers. Delta, the main estimand, is the writer treatment effect minus the nonwriter treatment effect. Because the model includes both binary main effects and their interaction, it reproduces the four observed cell means exactly. It weights children equally, rather than giving every school equal weight.</w:t>
      </w:r>
    </w:p>
    <w:p>
      <w:r>
        <w:t>I calculate school-clustered standard errors with the finite-sample correction used in the audited Python implementation. The main confidence intervals and two-sided p-values use 110 cluster degrees of freedom, based on 111 schools. For the writer effect, uncertainty comes from the covariance of the treatment and interaction coefficients. Children in the two groups can attend the same schools, so the interaction's standard error is computed directly from the full model. It is not inferred by comparing the groups' separate significance labels.</w:t>
      </w:r>
    </w:p>
    <w:p>
      <w:r>
        <w:t>The null-imposed wild-cluster bootstrap multiplies restricted-model residuals by a common random sign within each school and recomputes the interaction t-statistic. It uses 9,999 draws and seed 20260922, following the general cluster-bootstrap approach of Cameron, Gelbach, and Miller (2008). I also report Holm's (1979) adjustment across the three fixed departure-related interactions. These procedures address specified statistical uncertainty. Neither corrects an undocumented outcome definition or the full historical search across candidate research directions.</w:t>
      </w:r>
    </w:p>
    <w:p>
      <w:pPr>
        <w:pStyle w:val="Heading2"/>
      </w:pPr>
      <w:r>
        <w:t>3 3 Observed group rates and the direct comparison</w:t>
      </w:r>
    </w:p>
    <w:p>
      <w:pPr>
        <w:keepNext/>
        <w:spacing w:line="276" w:lineRule="auto"/>
        <w:jc w:val="left"/>
      </w:pPr>
      <w:r>
        <w:rPr>
          <w:b/>
        </w:rPr>
        <w:t>Table 2 Recorded departure rates by treatment and baseline written test status</w:t>
      </w:r>
    </w:p>
    <w:tbl>
      <w:tblPr>
        <w:tblW w:type="auto" w:w="0"/>
        <w:jc w:val="center"/>
        <w:tblLayout w:type="fixed"/>
        <w:tblLook w:firstColumn="1" w:firstRow="1" w:lastColumn="0" w:lastRow="0" w:noHBand="0" w:noVBand="1" w:val="04A0"/>
      </w:tblPr>
      <w:tblGrid>
        <w:gridCol w:w="2222"/>
        <w:gridCol w:w="2083"/>
        <w:gridCol w:w="1319"/>
        <w:gridCol w:w="2083"/>
        <w:gridCol w:w="1319"/>
      </w:tblGrid>
      <w:tr>
        <w:trPr>
          <w:tblHeader/>
          <w:cantSplit/>
        </w:trPr>
        <w:tc>
          <w:tcPr>
            <w:tcW w:type="dxa" w:w="22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Baseline group</w:t>
            </w:r>
          </w:p>
        </w:tc>
        <w:tc>
          <w:tcPr>
            <w:tcW w:type="dxa" w:w="20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Control departures / N</w:t>
            </w:r>
          </w:p>
        </w:tc>
        <w:tc>
          <w:tcPr>
            <w:tcW w:type="dxa" w:w="13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Control rate</w:t>
            </w:r>
          </w:p>
        </w:tc>
        <w:tc>
          <w:tcPr>
            <w:tcW w:type="dxa" w:w="20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Program departures / N</w:t>
            </w:r>
          </w:p>
        </w:tc>
        <w:tc>
          <w:tcPr>
            <w:tcW w:type="dxa" w:w="13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Program rate</w:t>
            </w:r>
          </w:p>
        </w:tc>
      </w:tr>
      <w:tr>
        <w:trPr>
          <w:cantSplit/>
        </w:trPr>
        <w:tc>
          <w:tcPr>
            <w:tcW w:type="dxa" w:w="22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Baseline nonwriters</w:t>
            </w:r>
          </w:p>
        </w:tc>
        <w:tc>
          <w:tcPr>
            <w:tcW w:type="dxa" w:w="20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290 / 858</w:t>
            </w:r>
          </w:p>
        </w:tc>
        <w:tc>
          <w:tcPr>
            <w:tcW w:type="dxa" w:w="13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33.8%</w:t>
            </w:r>
          </w:p>
        </w:tc>
        <w:tc>
          <w:tcPr>
            <w:tcW w:type="dxa" w:w="20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365 / 940</w:t>
            </w:r>
          </w:p>
        </w:tc>
        <w:tc>
          <w:tcPr>
            <w:tcW w:type="dxa" w:w="13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38.8%</w:t>
            </w:r>
          </w:p>
        </w:tc>
      </w:tr>
      <w:tr>
        <w:trPr>
          <w:cantSplit/>
        </w:trPr>
        <w:tc>
          <w:tcPr>
            <w:tcW w:type="dxa" w:w="222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Baseline writers</w:t>
            </w:r>
          </w:p>
        </w:tc>
        <w:tc>
          <w:tcPr>
            <w:tcW w:type="dxa" w:w="20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89 / 201</w:t>
            </w:r>
          </w:p>
        </w:tc>
        <w:tc>
          <w:tcPr>
            <w:tcW w:type="dxa" w:w="13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44.3%</w:t>
            </w:r>
          </w:p>
        </w:tc>
        <w:tc>
          <w:tcPr>
            <w:tcW w:type="dxa" w:w="20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138 / 196</w:t>
            </w:r>
          </w:p>
        </w:tc>
        <w:tc>
          <w:tcPr>
            <w:tcW w:type="dxa" w:w="13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70.4%</w:t>
            </w:r>
          </w:p>
        </w:tc>
      </w:tr>
    </w:tbl>
    <w:p>
      <w:pPr>
        <w:spacing w:line="276" w:lineRule="auto" w:before="100" w:after="180"/>
        <w:jc w:val="left"/>
      </w:pPr>
      <w:r>
        <w:t>Notes. Rates are observed cell proportions, not estimates of calendar-aligned permanent exit. The sample contains 2,195 children in 111 schools, after excluding two conflicting baseline-writing records. Writers took the written baseline test; nonwriters did not. Departure means zero recorded attendance in the selected latest up-to-five open-school checks. This descriptive table has no individual-independent standard errors; Figure 1 reports school-clustered uncertainty for the estimated contrasts. Source is the raw-reconstructed departure cohort.</w:t>
      </w:r>
    </w:p>
    <w:p>
      <w:r>
        <w:t>Table 2 gives the four rates behind the interaction. Among baseline nonwriters, 290 of 858 control children and 365 of 940 treatment children are classified as departed. The rates are 33.8 and 38.8 percent, a difference of 5.0 percentage points. Among baseline writers, 89 of 201 control children and 138 of 196 treatment children are classified as departed. The rates are 44.3 and 70.4 percent, a difference of 26.1 points. These are comparisons between children in randomized schools, rather than changes within the same children before and after treatment.</w:t>
      </w:r>
    </w:p>
    <w:p>
      <w:pPr>
        <w:keepNext/>
        <w:spacing w:line="276" w:lineRule="auto"/>
        <w:jc w:val="left"/>
      </w:pPr>
      <w:r>
        <w:rPr>
          <w:b/>
        </w:rPr>
        <w:t>Figure 1 The program departure response is larger among baseline writers</w:t>
      </w:r>
    </w:p>
    <w:p>
      <w:pPr>
        <w:jc w:val="center"/>
      </w:pPr>
      <w:r>
        <w:drawing>
          <wp:inline xmlns:a="http://schemas.openxmlformats.org/drawingml/2006/main" xmlns:pic="http://schemas.openxmlformats.org/drawingml/2006/picture">
            <wp:extent cx="5731200" cy="2148930"/>
            <wp:docPr id="1" name="Picture 1" descr="Coefficient plot showing nonwriter effect 5.0, writer effect 26.1, and their difference 21.1 percentage points, with school-clustered 95 percent confidence intervals."/>
            <wp:cNvGraphicFramePr>
              <a:graphicFrameLocks noChangeAspect="1"/>
            </wp:cNvGraphicFramePr>
            <a:graphic>
              <a:graphicData uri="http://schemas.openxmlformats.org/drawingml/2006/picture">
                <pic:pic>
                  <pic:nvPicPr>
                    <pic:cNvPr id="0" name="main_effects.png"/>
                    <pic:cNvPicPr/>
                  </pic:nvPicPr>
                  <pic:blipFill>
                    <a:blip r:embed="rId10"/>
                    <a:stretch>
                      <a:fillRect/>
                    </a:stretch>
                  </pic:blipFill>
                  <pic:spPr>
                    <a:xfrm>
                      <a:off x="0" y="0"/>
                      <a:ext cx="5731200" cy="2148930"/>
                    </a:xfrm>
                    <a:prstGeom prst="rect"/>
                  </pic:spPr>
                </pic:pic>
              </a:graphicData>
            </a:graphic>
          </wp:inline>
        </w:drawing>
      </w:r>
    </w:p>
    <w:p>
      <w:pPr>
        <w:spacing w:line="276" w:lineRule="auto" w:before="100" w:after="180"/>
        <w:jc w:val="left"/>
      </w:pPr>
      <w:r>
        <w:t>Notes. Dots show linear probability model treatment effects; lines show 95 percent intervals using school-clustered covariance and t critical values with 110 degrees of freedom. N = 2,195 children in 111 schools (57 treatment and 54 control). The horizontal axis is percentage points of operational recorded departure. The nonwriter interval is [-2.4, 12.4], the writer interval [10.0, 42.3], and their direct interaction interval [6.9, 35.3]. The vertical line marks zero. Source is the main treatment by baseline-writing model; neither writing status nor later educational destinations are randomized.</w:t>
      </w:r>
    </w:p>
    <w:p>
      <w:r>
        <w:t>Figure 1 shows both treatment effects and their directly estimated difference. The nonwriter effect has a 95 percent interval from -2.4 to 12.4 points. The writer effect has an interval from 10.0 to 42.3 points. Their difference is 21.1 points, with clustered standard error 7.2 points and interval from 6.9 to 35.3 points. The interaction's p-value is .004. The bootstrap p-value is .007, and the three-outcome Holm-adjusted p-value is .012.</w:t>
      </w:r>
    </w:p>
    <w:p>
      <w:r>
        <w:t>The direct comparison supplies the evidence for heterogeneity. An individually significant writer estimate and an individually insignificant nonwriter estimate would not establish that the effects differ. Here the model tests that difference explicitly. Conversely, the interval for nonwriters does not prove that the program has no departure effect in that group. It admits both a small negative effect and a positive effect of more than ten points.</w:t>
      </w:r>
    </w:p>
    <w:p>
      <w:r>
        <w:t>The 21.1-point estimate is the additional writer response, not the fraction of all children who leave because of the program. It also differs from the original aggregate departure estimate of 8.4 points. The aggregate pools children across writing groups and uses the two additional baseline-conflict records. The interaction answers a narrower question that the aggregate does not resolve. The smaller writer group makes its estimate less precise, but the magnitude and interval support a difference under the operational endpoint.</w:t>
      </w:r>
    </w:p>
    <w:p>
      <w:pPr>
        <w:pStyle w:val="Heading2"/>
      </w:pPr>
      <w:r>
        <w:t>3 4 Departure and recorded destinations</w:t>
      </w:r>
    </w:p>
    <w:p>
      <w:pPr>
        <w:keepNext/>
        <w:spacing w:line="276" w:lineRule="auto"/>
        <w:jc w:val="left"/>
      </w:pPr>
      <w:r>
        <w:rPr>
          <w:b/>
        </w:rPr>
        <w:t>Table 3 The full departure outcome family and multiplicity adjustment</w:t>
      </w:r>
    </w:p>
    <w:tbl>
      <w:tblPr>
        <w:tblW w:type="auto" w:w="0"/>
        <w:jc w:val="center"/>
        <w:tblLayout w:type="fixed"/>
        <w:tblLook w:firstColumn="1" w:firstRow="1" w:lastColumn="0" w:lastRow="0" w:noHBand="0" w:noVBand="1" w:val="04A0"/>
      </w:tblPr>
      <w:tblGrid>
        <w:gridCol w:w="2638"/>
        <w:gridCol w:w="1597"/>
        <w:gridCol w:w="2430"/>
        <w:gridCol w:w="1180"/>
        <w:gridCol w:w="1180"/>
      </w:tblGrid>
      <w:tr>
        <w:trPr>
          <w:tblHeader/>
          <w:cantSplit/>
        </w:trPr>
        <w:tc>
          <w:tcPr>
            <w:tcW w:type="dxa" w:w="263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Outcome</w:t>
            </w:r>
          </w:p>
        </w:tc>
        <w:tc>
          <w:tcPr>
            <w:tcW w:type="dxa" w:w="159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Interaction pp</w:t>
            </w:r>
          </w:p>
        </w:tc>
        <w:tc>
          <w:tcPr>
            <w:tcW w:type="dxa" w:w="243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95% CI pp</w:t>
            </w:r>
          </w:p>
        </w:tc>
        <w:tc>
          <w:tcPr>
            <w:tcW w:type="dxa" w:w="11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Raw p</w:t>
            </w:r>
          </w:p>
        </w:tc>
        <w:tc>
          <w:tcPr>
            <w:tcW w:type="dxa" w:w="11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Holm p</w:t>
            </w:r>
          </w:p>
        </w:tc>
      </w:tr>
      <w:tr>
        <w:trPr>
          <w:cantSplit/>
        </w:trPr>
        <w:tc>
          <w:tcPr>
            <w:tcW w:type="dxa" w:w="263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Total departure</w:t>
            </w:r>
          </w:p>
        </w:tc>
        <w:tc>
          <w:tcPr>
            <w:tcW w:type="dxa" w:w="159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21.1</w:t>
            </w:r>
          </w:p>
        </w:tc>
        <w:tc>
          <w:tcPr>
            <w:tcW w:type="dxa" w:w="243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[6.9, 35.3]</w:t>
            </w:r>
          </w:p>
        </w:tc>
        <w:tc>
          <w:tcPr>
            <w:tcW w:type="dxa" w:w="11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.004</w:t>
            </w:r>
          </w:p>
        </w:tc>
        <w:tc>
          <w:tcPr>
            <w:tcW w:type="dxa" w:w="11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.012</w:t>
            </w:r>
          </w:p>
        </w:tc>
      </w:tr>
      <w:tr>
        <w:trPr>
          <w:cantSplit/>
        </w:trPr>
        <w:tc>
          <w:tcPr>
            <w:tcW w:type="dxa" w:w="263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Government marker</w:t>
            </w:r>
          </w:p>
        </w:tc>
        <w:tc>
          <w:tcPr>
            <w:tcW w:type="dxa" w:w="159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4.8</w:t>
            </w:r>
          </w:p>
        </w:tc>
        <w:tc>
          <w:tcPr>
            <w:tcW w:type="dxa" w:w="243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[-10.5, 20.2]</w:t>
            </w:r>
          </w:p>
        </w:tc>
        <w:tc>
          <w:tcPr>
            <w:tcW w:type="dxa" w:w="11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.534</w:t>
            </w:r>
          </w:p>
        </w:tc>
        <w:tc>
          <w:tcPr>
            <w:tcW w:type="dxa" w:w="11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.534</w:t>
            </w:r>
          </w:p>
        </w:tc>
      </w:tr>
      <w:tr>
        <w:trPr>
          <w:cantSplit/>
        </w:trPr>
        <w:tc>
          <w:tcPr>
            <w:tcW w:type="dxa" w:w="263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Residual departure</w:t>
            </w:r>
          </w:p>
        </w:tc>
        <w:tc>
          <w:tcPr>
            <w:tcW w:type="dxa" w:w="159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16.3</w:t>
            </w:r>
          </w:p>
        </w:tc>
        <w:tc>
          <w:tcPr>
            <w:tcW w:type="dxa" w:w="243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[4.6, 27.9]</w:t>
            </w:r>
          </w:p>
        </w:tc>
        <w:tc>
          <w:tcPr>
            <w:tcW w:type="dxa" w:w="11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.007</w:t>
            </w:r>
          </w:p>
        </w:tc>
        <w:tc>
          <w:tcPr>
            <w:tcW w:type="dxa" w:w="11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.014</w:t>
            </w:r>
          </w:p>
        </w:tc>
      </w:tr>
    </w:tbl>
    <w:p>
      <w:pPr>
        <w:spacing w:line="276" w:lineRule="auto" w:before="100" w:after="180"/>
        <w:jc w:val="left"/>
      </w:pPr>
      <w:r>
        <w:t>Notes. Every row uses 2,195 children and 111 schools (57 treatment and 54 control) in the same linear probability model with treatment, baseline written-test status, and their interaction. Interactions are writer minus nonwriter treatment effects in percentage points. Intervals and raw p-values use school-clustered covariance and 110 degrees of freedom; Holm p-values adjust the three fixed interactions. Government and residual measures depend on the original recorded reason marker. Source is transition_scope_model_results.csv. Adjusted values remain exploratory and do not cover the full earlier candidate search.</w:t>
      </w:r>
    </w:p>
    <w:p>
      <w:r>
        <w:t>Table 3 reports the three departure-related interactions together. The government-school-marker interaction is 4.8 points, with a 95 percent interval from -10.5 to 20.2 points and p = .534. The secondary residual departure interaction is 16.3 points, with interval from 4.6 to 27.9 points and p = .007. Its Holm-adjusted p-value is .014, and its wild-bootstrap p-value is .010. Showing the complete family prevents the total-departure result from standing beside selectively omitted destination evidence.</w:t>
      </w:r>
    </w:p>
    <w:p>
      <w:r>
        <w:t>The decomposition requires care. Under the supplied code, total departure equals the government-school marker plus the residual outcome. The three point estimates obey that identity. Their statistical uncertainty does not supply a reliable account of educational destinations, however. Reasons are frequently blank, and the raw roster sources store them using different data types. A blank government-school marker is not evidence that a child stopped studying. The residual result therefore describes departure without the recorded marker, rather than proven educational dropout.</w:t>
      </w:r>
    </w:p>
    <w:p>
      <w:r>
        <w:t>The current evidence also does not establish that the writer interaction operates through government-school transfer. The government-marker interval is wide and includes zero. The significant residual interaction does not establish a harmful effect either, because destinations outside the recorded marker remain uncertain. I treat these outcomes as a transparency requirement and an interpretive constraint, while keeping total recorded departure as the main endpoint.</w:t>
      </w:r>
    </w:p>
    <w:p>
      <w:pPr>
        <w:pStyle w:val="Heading2"/>
      </w:pPr>
      <w:r>
        <w:t>3 5 Observation opportunities and the strength of the claim</w:t>
      </w:r>
    </w:p>
    <w:p>
      <w:r>
        <w:t>The largest threat to a broader interpretation comes from the observation rule itself. The program increases school opening, which supplies more opportunities for roll call. Nonwriters average 15.4 open checks in control schools and 20.4 in treatment schools; writers average 15.2 and 21.9, respectively. Thus the latest five open checks need not cover the same calendar interval or the same opportunities for observing participation across groups. Random assignment supports comparison of the implemented classification, but it does not turn that classification into a treatment-independent measure of school exit.</w:t>
      </w:r>
    </w:p>
    <w:p>
      <w:r>
        <w:t>Of the 2,195 children, 145 have fewer than five observed open checks. A separate audit flags 113 departure classifications that depend partly on undocumented attendance codes. The two sets overlap for 28 children, leaving 230 with at least one concern. These issues can change which absences the outcome counts and how much history it uses. They belong in the substantive interpretation, even when conventional statistical tests reject equality of the two operational treatment effects.</w:t>
      </w:r>
    </w:p>
    <w:p>
      <w:r>
        <w:t>Appendix A reports the fixed block-control and calendar-endpoint checks, the exclusion sensitivity, and algebraic bounds that treat flagged outcomes as unknown. The point estimate remains positive in those checks. The point estimates and arithmetic lower bounds do not reverse under these specified checks. They do not establish that the outcome is independent of coding or treatment-dependent observation, recover unrecorded destinations, or make the exclusion sample representative. The appropriate claim remains heterogeneous recorded departure under the original roster rule.</w:t>
      </w:r>
    </w:p>
    <w:p>
      <w:pPr>
        <w:pStyle w:val="Heading2"/>
      </w:pPr>
      <w:r>
        <w:t>3 6 What the exploratory search permits</w:t>
      </w:r>
    </w:p>
    <w:p>
      <w:r>
        <w:t>The project examined teacher-score attendance differences, learning heterogeneity, learning-domain composition, and distributional learning outcomes before selecting this departure question. The final three-outcome family was fixed for the focused audit after those earlier inspections. Its Holm adjustment addresses multiplicity within that family. It does not account for every earlier outcome, specification, and direction considered, and it cannot make the present result an independently confirmed discovery.</w:t>
      </w:r>
    </w:p>
    <w:p>
      <w:r>
        <w:t>The paper therefore reports a substantive exploratory pattern supported by clustered inference and source-based checks. It retains the unsuccessful learning alternatives in Appendix C rather than treating them as unseen. No further subgroup definitions, attendance windows, or outcome exclusions are introduced to obtain a smaller p-value. The descriptive contribution is still useful: the original aggregate departure result conceals a difference across an observed baseline preparation margin. The strength of that contribution depends on reporting how it was found and what the endpoint measures.</w:t>
      </w:r>
    </w:p>
    <w:p>
      <w:pPr>
        <w:pStyle w:val="Heading1"/>
      </w:pPr>
      <w:r>
        <w:t>4 Discussion and conclusion</w:t>
      </w:r>
    </w:p>
    <w:p>
      <w:r>
        <w:t>The replication reproduces the original experimental attendance result and the average departure outcomes. The extension finds that assignment to the bundled program changes the recorded departure classification more among children who took the written baseline test. The direct difference is 21.1 percentage points, with a school-clustered confidence interval excluding zero. This is the paper's main result. It refines the original average departure finding by crossing that outcome with a preparation measure already present in the data.</w:t>
      </w:r>
    </w:p>
    <w:p>
      <w:r>
        <w:t>The result leaves the original teacher-attendance conclusion intact. More reliable teacher presence can coexist with a change in whether children remain observed at the original center. In a setting where nonformal schools can prepare children for government schools, departure is not a self-explanatory success or failure measure. The finding does not show that attendance incentives harm children's education, and it does not show that writing ability itself causes a different response. Both claims would require evidence that the present design does not supply.</w:t>
      </w:r>
    </w:p>
    <w:p>
      <w:r>
        <w:t>The central limitation is treatment-dependent measurement. The last-open-check rule changes its observation basis when the program changes school opening. Coding ambiguity and incomplete histories compound that problem, while incomplete destination records limit interpretation of the residual outcome. The checks show that several documented coding concerns do not individually reverse the observed interaction. They do not resolve the broader measurement problem. Exploratory selection further limits what the statistical significance can establish.</w:t>
      </w:r>
    </w:p>
    <w:p>
      <w:r>
        <w:t>The conclusion is consequently narrow and useful. Under the original paper's implemented roster measure, the program's departure response differs across baseline-writing groups. Reporting that distinction alongside the reproduced headline, the direct interaction, and the measurement limits gives a more complete account of the experiment than the aggregate departure coefficient alone. It supports a focused extension using the existing data while keeping claims proportional to the evidence.</w:t>
      </w:r>
    </w:p>
    <w:p>
      <w:pPr>
        <w:pStyle w:val="Heading1"/>
      </w:pPr>
      <w:r>
        <w:t>5 AI Use Statement</w:t>
      </w:r>
    </w:p>
    <w:p>
      <w:r>
        <w:t>This reference draft was generated with OpenAI Codex on October 7, 2026, and its literature discussion was expanded on October 9, 2026 using the Tel Aviv University library catalogue and verified journal articles. The precise model variants for the current and earlier workflow must be completed from app metadata or transcripts. Codex retrieved the September 22 research conversation, read the assignment documents, checked stored analyses against the original materials, independently recalculated the headline attendance result, and drafted the prose, tables, figures, and alternative research memos. The underlying exploratory analysis was developed with AI assistance in the September 22 workflow. This statement discloses substantive drafting, not copyediting alone. Before submission, the author must revise the text, verify and understand the analysis, and complete the precise model versions, dates, tools, and human contributions from the retained transcripts. It does not claim that the author personally performed checks that are not documented.</w:t>
      </w:r>
    </w:p>
    <w:p>
      <w:r>
        <w:br w:type="page"/>
      </w:r>
    </w:p>
    <w:p>
      <w:pPr>
        <w:pStyle w:val="Heading1"/>
      </w:pPr>
      <w:r>
        <w:t>References</w:t>
      </w:r>
    </w:p>
    <w:p>
      <w:r>
        <w:t xml:space="preserve">Banerjee, Abhijit V., Shawn Cole, Esther Duflo, and Leigh Linden. 2007. "Remedying Education: Evidence from Two Randomized Experiments in India." Quarterly Journal of Economics 122 (3): 1235-1264. </w:t>
      </w:r>
      <w:hyperlink r:id="rId11">
        <w:r>
          <w:rPr>
            <w:rFonts w:ascii="Times New Roman" w:hAnsi="Times New Roman" w:cs="Times New Roman" w:eastAsia="Times New Roman"/>
            <w:color w:val="000000"/>
            <w:u w:val="single"/>
          </w:rPr>
          <w:t>https://doi.org/10.1162/qjec.122.3.1235</w:t>
        </w:r>
      </w:hyperlink>
      <w:r>
        <w:t>.</w:t>
      </w:r>
    </w:p>
    <w:p>
      <w:r>
        <w:t xml:space="preserve">Cameron, A. Colin, Jonah B. Gelbach, and Douglas L. Miller. 2008. "Bootstrap-Based Improvements for Inference with Clustered Errors." Review of Economics and Statistics 90 (3): 414-427. </w:t>
      </w:r>
      <w:hyperlink r:id="rId12">
        <w:r>
          <w:rPr>
            <w:rFonts w:ascii="Times New Roman" w:hAnsi="Times New Roman" w:cs="Times New Roman" w:eastAsia="Times New Roman"/>
            <w:color w:val="000000"/>
            <w:u w:val="single"/>
          </w:rPr>
          <w:t>https://doi.org/10.1162/rest.90.3.414</w:t>
        </w:r>
      </w:hyperlink>
      <w:r>
        <w:t>.</w:t>
      </w:r>
    </w:p>
    <w:p>
      <w:r>
        <w:t xml:space="preserve">Cilliers, Jacobus, Ibrahim Kasirye, Clare Leaver, Pieter Serneels, and Andrew Zeitlin. 2018. "Pay for Locally Monitored Performance? A Welfare Analysis for Teacher Attendance in Ugandan Primary Schools." Journal of Public Economics 167: 69-90. </w:t>
      </w:r>
      <w:hyperlink r:id="rId13">
        <w:r>
          <w:rPr>
            <w:rFonts w:ascii="Times New Roman" w:hAnsi="Times New Roman" w:cs="Times New Roman" w:eastAsia="Times New Roman"/>
            <w:color w:val="000000"/>
            <w:u w:val="single"/>
          </w:rPr>
          <w:t>https://doi.org/10.1016/j.jpubeco.2018.04.010</w:t>
        </w:r>
      </w:hyperlink>
      <w:r>
        <w:t>.</w:t>
      </w:r>
    </w:p>
    <w:p>
      <w:r>
        <w:t xml:space="preserve">Duflo, Esther, Pascaline Dupas, and Michael Kremer. 2011. "Peer Effects, Teacher Incentives, and the Impact of Tracking: Evidence from a Randomized Evaluation in Kenya." American Economic Review 101 (5): 1739-1774. </w:t>
      </w:r>
      <w:hyperlink r:id="rId14">
        <w:r>
          <w:rPr>
            <w:rFonts w:ascii="Times New Roman" w:hAnsi="Times New Roman" w:cs="Times New Roman" w:eastAsia="Times New Roman"/>
            <w:color w:val="000000"/>
            <w:u w:val="single"/>
          </w:rPr>
          <w:t>https://doi.org/10.1257/aer.101.5.1739</w:t>
        </w:r>
      </w:hyperlink>
      <w:r>
        <w:t>.</w:t>
      </w:r>
    </w:p>
    <w:p>
      <w:r>
        <w:t xml:space="preserve">Duflo, Esther, Rema Hanna, and Stephen P. Ryan. 2012. "Incentives Work: Getting Teachers to Come to School." American Economic Review 102 (4): 1241-1278. </w:t>
      </w:r>
      <w:hyperlink r:id="rId15">
        <w:r>
          <w:rPr>
            <w:rFonts w:ascii="Times New Roman" w:hAnsi="Times New Roman" w:cs="Times New Roman" w:eastAsia="Times New Roman"/>
            <w:color w:val="000000"/>
            <w:u w:val="single"/>
          </w:rPr>
          <w:t>https://doi.org/10.1257/aer.102.4.1241</w:t>
        </w:r>
      </w:hyperlink>
      <w:r>
        <w:t>.</w:t>
      </w:r>
      <w:r>
        <w:t xml:space="preserve"> Includes the official supplemental appendix and erratum linked from the journal page.</w:t>
      </w:r>
    </w:p>
    <w:p>
      <w:r>
        <w:t xml:space="preserve">Glewwe, Paul, Nauman Ilias, and Michael Kremer. 2010. "Teacher Incentives." American Economic Journal: Applied Economics 2 (3): 205-227. </w:t>
      </w:r>
      <w:hyperlink r:id="rId16">
        <w:r>
          <w:rPr>
            <w:rFonts w:ascii="Times New Roman" w:hAnsi="Times New Roman" w:cs="Times New Roman" w:eastAsia="Times New Roman"/>
            <w:color w:val="000000"/>
            <w:u w:val="single"/>
          </w:rPr>
          <w:t>https://doi.org/10.1257/app.2.3.205</w:t>
        </w:r>
      </w:hyperlink>
      <w:r>
        <w:t>.</w:t>
      </w:r>
    </w:p>
    <w:p>
      <w:r>
        <w:t xml:space="preserve">Guerrero, Gabriela, Juan León, Mayli Zapata, and Santiago Cueto. 2013. "Getting Teachers Back to the Classroom. A Systematic Review on What Works to Improve Teacher Attendance in Developing Countries." Journal of Development Effectiveness 5 (4): 466-488. </w:t>
      </w:r>
      <w:hyperlink r:id="rId17">
        <w:r>
          <w:rPr>
            <w:rFonts w:ascii="Times New Roman" w:hAnsi="Times New Roman" w:cs="Times New Roman" w:eastAsia="Times New Roman"/>
            <w:color w:val="000000"/>
            <w:u w:val="single"/>
          </w:rPr>
          <w:t>https://doi.org/10.1080/19439342.2013.864695</w:t>
        </w:r>
      </w:hyperlink>
      <w:r>
        <w:t>.</w:t>
      </w:r>
    </w:p>
    <w:p>
      <w:r>
        <w:t xml:space="preserve">Holm, Sture. 1979. "A Simple Sequentially Rejective Multiple Test Procedure." Scandinavian Journal of Statistics 6 (2): 65-70. </w:t>
      </w:r>
      <w:hyperlink r:id="rId18">
        <w:r>
          <w:rPr>
            <w:rFonts w:ascii="Times New Roman" w:hAnsi="Times New Roman" w:cs="Times New Roman" w:eastAsia="Times New Roman"/>
            <w:color w:val="000000"/>
            <w:u w:val="single"/>
          </w:rPr>
          <w:t>https://www.jstor.org/stable/4615733</w:t>
        </w:r>
      </w:hyperlink>
      <w:r>
        <w:t>.</w:t>
      </w:r>
    </w:p>
    <w:p>
      <w:r>
        <w:t xml:space="preserve">Kremer, Michael, Nazmul Chaudhury, F. Halsey Rogers, Karthik Muralidharan, and Jeffrey Hammer. 2005. "Teacher Absence in India: A Snapshot." Journal of the European Economic Association 3 (2-3): 658-667. </w:t>
      </w:r>
      <w:hyperlink r:id="rId19">
        <w:r>
          <w:rPr>
            <w:rFonts w:ascii="Times New Roman" w:hAnsi="Times New Roman" w:cs="Times New Roman" w:eastAsia="Times New Roman"/>
            <w:color w:val="000000"/>
            <w:u w:val="single"/>
          </w:rPr>
          <w:t>https://doi.org/10.1162/jeea.2005.3.2-3.658</w:t>
        </w:r>
      </w:hyperlink>
      <w:r>
        <w:t>.</w:t>
      </w:r>
    </w:p>
    <w:p>
      <w:r>
        <w:t xml:space="preserve">Linden, Leigh L., and Gauri Kartini Shastry. 2012. "Grain Inflation: Identifying Agent Discretion in Response to a Conditional School Nutrition Program." Journal of Development Economics 99 (1): 128-138. </w:t>
      </w:r>
      <w:hyperlink r:id="rId20">
        <w:r>
          <w:rPr>
            <w:rFonts w:ascii="Times New Roman" w:hAnsi="Times New Roman" w:cs="Times New Roman" w:eastAsia="Times New Roman"/>
            <w:color w:val="000000"/>
            <w:u w:val="single"/>
          </w:rPr>
          <w:t>https://doi.org/10.1016/j.jdeveco.2011.11.002</w:t>
        </w:r>
      </w:hyperlink>
      <w:r>
        <w:t>.</w:t>
      </w:r>
    </w:p>
    <w:p>
      <w:r>
        <w:t xml:space="preserve">Muralidharan, Karthik, and Venkatesh Sundararaman. 2011. "Teacher Performance Pay: Experimental Evidence from India." Journal of Political Economy 119 (1): 39-77. </w:t>
      </w:r>
      <w:hyperlink r:id="rId21">
        <w:r>
          <w:rPr>
            <w:rFonts w:ascii="Times New Roman" w:hAnsi="Times New Roman" w:cs="Times New Roman" w:eastAsia="Times New Roman"/>
            <w:color w:val="000000"/>
            <w:u w:val="single"/>
          </w:rPr>
          <w:t>https://doi.org/10.1086/659655</w:t>
        </w:r>
      </w:hyperlink>
      <w:r>
        <w:t>.</w:t>
      </w:r>
    </w:p>
    <w:p>
      <w:pPr>
        <w:pStyle w:val="Heading2"/>
      </w:pPr>
      <w:r>
        <w:t>Data source</w:t>
      </w:r>
    </w:p>
    <w:p>
      <w:r>
        <w:t xml:space="preserve">Duflo, Esther, Rema Hanna, and Stephen P. Ryan. 2019. "Replication Data for Incentives Work Getting Teachers to Come to School." Version 1. American Economic Association and Inter-university Consortium for Political and Social Research. Original data publication 2012; distribution date October 11, 2019. </w:t>
      </w:r>
      <w:hyperlink r:id="rId22">
        <w:r>
          <w:rPr>
            <w:rFonts w:ascii="Times New Roman" w:hAnsi="Times New Roman" w:cs="Times New Roman" w:eastAsia="Times New Roman"/>
            <w:color w:val="000000"/>
            <w:u w:val="single"/>
          </w:rPr>
          <w:t>https://doi.org/10.3886/E112523V1</w:t>
        </w:r>
      </w:hyperlink>
      <w:r>
        <w:t>.</w:t>
      </w:r>
      <w:r>
        <w:t xml:space="preserve"> This dataset citation records empirical provenance and is separate from the peer-reviewed literature.</w:t>
      </w:r>
    </w:p>
    <w:p>
      <w:r>
        <w:br w:type="page"/>
      </w:r>
    </w:p>
    <w:p>
      <w:pPr>
        <w:pStyle w:val="Heading1"/>
      </w:pPr>
      <w:r>
        <w:t>Appendix A Fixed sensitivity analyses</w:t>
      </w:r>
    </w:p>
    <w:p>
      <w:pPr>
        <w:keepNext/>
        <w:spacing w:line="276" w:lineRule="auto"/>
        <w:jc w:val="left"/>
      </w:pPr>
      <w:r>
        <w:rPr>
          <w:b/>
        </w:rPr>
        <w:t>Table A1 Fixed sensitivity analyses of the departure interaction</w:t>
      </w:r>
    </w:p>
    <w:tbl>
      <w:tblPr>
        <w:tblW w:type="auto" w:w="0"/>
        <w:jc w:val="center"/>
        <w:tblLayout w:type="fixed"/>
        <w:tblLook w:firstColumn="1" w:firstRow="1" w:lastColumn="0" w:lastRow="0" w:noHBand="0" w:noVBand="1" w:val="04A0"/>
      </w:tblPr>
      <w:tblGrid>
        <w:gridCol w:w="2777"/>
        <w:gridCol w:w="1458"/>
        <w:gridCol w:w="2361"/>
        <w:gridCol w:w="1041"/>
        <w:gridCol w:w="1389"/>
      </w:tblGrid>
      <w:tr>
        <w:trPr>
          <w:tblHeade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Specification</w:t>
            </w:r>
          </w:p>
        </w:tc>
        <w:tc>
          <w:tcPr>
            <w:tcW w:type="dxa" w:w="1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Interaction pp</w:t>
            </w:r>
          </w:p>
        </w:tc>
        <w:tc>
          <w:tcPr>
            <w:tcW w:type="dxa" w:w="2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95% CI pp</w:t>
            </w:r>
          </w:p>
        </w:tc>
        <w:tc>
          <w:tcPr>
            <w:tcW w:type="dxa" w:w="104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p</w:t>
            </w:r>
          </w:p>
        </w:tc>
        <w:tc>
          <w:tcPr>
            <w:tcW w:type="dxa" w:w="13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Children</w:t>
            </w:r>
          </w:p>
        </w:tc>
      </w:tr>
      <w:tr>
        <w:trP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Main model</w:t>
            </w:r>
          </w:p>
        </w:tc>
        <w:tc>
          <w:tcPr>
            <w:tcW w:type="dxa" w:w="1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21.1</w:t>
            </w:r>
          </w:p>
        </w:tc>
        <w:tc>
          <w:tcPr>
            <w:tcW w:type="dxa" w:w="2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[6.9, 35.3]</w:t>
            </w:r>
          </w:p>
        </w:tc>
        <w:tc>
          <w:tcPr>
            <w:tcW w:type="dxa" w:w="104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.004</w:t>
            </w:r>
          </w:p>
        </w:tc>
        <w:tc>
          <w:tcPr>
            <w:tcW w:type="dxa" w:w="13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2195</w:t>
            </w:r>
          </w:p>
        </w:tc>
      </w:tr>
      <w:tr>
        <w:trP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Geographic block controls</w:t>
            </w:r>
          </w:p>
        </w:tc>
        <w:tc>
          <w:tcPr>
            <w:tcW w:type="dxa" w:w="1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22.1</w:t>
            </w:r>
          </w:p>
        </w:tc>
        <w:tc>
          <w:tcPr>
            <w:tcW w:type="dxa" w:w="2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[8.2, 36.0]</w:t>
            </w:r>
          </w:p>
        </w:tc>
        <w:tc>
          <w:tcPr>
            <w:tcW w:type="dxa" w:w="104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.002</w:t>
            </w:r>
          </w:p>
        </w:tc>
        <w:tc>
          <w:tcPr>
            <w:tcW w:type="dxa" w:w="13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2195</w:t>
            </w:r>
          </w:p>
        </w:tc>
      </w:tr>
      <w:tr>
        <w:trP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December 2005 endpoint</w:t>
            </w:r>
          </w:p>
        </w:tc>
        <w:tc>
          <w:tcPr>
            <w:tcW w:type="dxa" w:w="1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19.7</w:t>
            </w:r>
          </w:p>
        </w:tc>
        <w:tc>
          <w:tcPr>
            <w:tcW w:type="dxa" w:w="2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[4.8, 34.6]</w:t>
            </w:r>
          </w:p>
        </w:tc>
        <w:tc>
          <w:tcPr>
            <w:tcW w:type="dxa" w:w="104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.010</w:t>
            </w:r>
          </w:p>
        </w:tc>
        <w:tc>
          <w:tcPr>
            <w:tcW w:type="dxa" w:w="13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2195</w:t>
            </w:r>
          </w:p>
        </w:tc>
      </w:tr>
      <w:tr>
        <w:trP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Exclude ambiguous codes</w:t>
            </w:r>
          </w:p>
        </w:tc>
        <w:tc>
          <w:tcPr>
            <w:tcW w:type="dxa" w:w="1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26.6</w:t>
            </w:r>
          </w:p>
        </w:tc>
        <w:tc>
          <w:tcPr>
            <w:tcW w:type="dxa" w:w="2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[12.0, 41.2]</w:t>
            </w:r>
          </w:p>
        </w:tc>
        <w:tc>
          <w:tcPr>
            <w:tcW w:type="dxa" w:w="104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&lt; .001</w:t>
            </w:r>
          </w:p>
        </w:tc>
        <w:tc>
          <w:tcPr>
            <w:tcW w:type="dxa" w:w="13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2082</w:t>
            </w:r>
          </w:p>
        </w:tc>
      </w:tr>
    </w:tbl>
    <w:p>
      <w:pPr>
        <w:spacing w:line="276" w:lineRule="auto" w:before="100" w:after="180"/>
        <w:jc w:val="left"/>
      </w:pPr>
      <w:r>
        <w:t>Notes. Every model has 111 school clusters and reports the writer minus nonwriter contrast. Standard errors are clustered by school; 95 percent intervals and p-values use 110 degrees of freedom. The block model uses the existing geographic school block field, not established randomization strata. The calendar check truncates source dates but preserves the original observation rule. The exclusion changes the analyzed population. Sources are the fixed scope and sentinel sensitivity CSVs. No stars are used.</w:t>
      </w:r>
    </w:p>
    <w:p>
      <w:r>
        <w:t>Table A1 retains the main interaction beside three fixed checks. Geographic controls use the existing school block field on the same 2,195-child sample. They are geographic indicators; the analysis does not establish that they are randomization strata. The coefficient is 22.1 percentage points, with interval 8.2 to 36.0 points. The calendar check applies the same last-open-check rule using dates through December 31, 2005. Its coefficient is 19.7 points, with interval 4.8 to 34.6 points. Neither check supplies a treatment-independent participation measure.</w:t>
      </w:r>
    </w:p>
    <w:p>
      <w:r>
        <w:t>The attendance-code sensitivity removes all 113 ambiguous departure classifications, leaving 2,082 children in 111 schools. Its interaction is 26.6 points, with interval 12.0 to 41.2 points and clustered p &lt; .001. The wild-bootstrap p-value is .001. The excluded cases differ by assignment and baseline status, so this estimate is a selection sensitivity. Its larger magnitude is not a reason to replace the primary estimate.</w:t>
      </w:r>
    </w:p>
    <w:p>
      <w:pPr>
        <w:keepNext/>
        <w:spacing w:line="276" w:lineRule="auto"/>
        <w:jc w:val="left"/>
      </w:pPr>
      <w:r>
        <w:rPr>
          <w:b/>
        </w:rPr>
        <w:t>Table A2 Algebraic bounds for documented outcome ambiguity</w:t>
      </w:r>
    </w:p>
    <w:tbl>
      <w:tblPr>
        <w:tblW w:type="auto" w:w="0"/>
        <w:jc w:val="center"/>
        <w:tblLayout w:type="fixed"/>
        <w:tblLook w:firstColumn="1" w:firstRow="1" w:lastColumn="0" w:lastRow="0" w:noHBand="0" w:noVBand="1" w:val="04A0"/>
      </w:tblPr>
      <w:tblGrid>
        <w:gridCol w:w="4652"/>
        <w:gridCol w:w="1875"/>
        <w:gridCol w:w="2499"/>
      </w:tblGrid>
      <w:tr>
        <w:trPr>
          <w:tblHeader/>
          <w:cantSplit/>
        </w:trPr>
        <w:tc>
          <w:tcPr>
            <w:tcW w:type="dxa" w:w="46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Outcomes treated as unknown</w:t>
            </w:r>
          </w:p>
        </w:tc>
        <w:tc>
          <w:tcPr>
            <w:tcW w:type="dxa" w:w="18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Flagged children</w:t>
            </w:r>
          </w:p>
        </w:tc>
        <w:tc>
          <w:tcPr>
            <w:tcW w:type="dxa" w:w="249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Interaction range pp</w:t>
            </w:r>
          </w:p>
        </w:tc>
      </w:tr>
      <w:tr>
        <w:trPr>
          <w:cantSplit/>
        </w:trPr>
        <w:tc>
          <w:tcPr>
            <w:tcW w:type="dxa" w:w="46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Undocumented attendance codes</w:t>
            </w:r>
          </w:p>
        </w:tc>
        <w:tc>
          <w:tcPr>
            <w:tcW w:type="dxa" w:w="18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113</w:t>
            </w:r>
          </w:p>
        </w:tc>
        <w:tc>
          <w:tcPr>
            <w:tcW w:type="dxa" w:w="249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[16.3, 34.1]</w:t>
            </w:r>
          </w:p>
        </w:tc>
      </w:tr>
      <w:tr>
        <w:trPr>
          <w:cantSplit/>
        </w:trPr>
        <w:tc>
          <w:tcPr>
            <w:tcW w:type="dxa" w:w="46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Fewer than five open checks</w:t>
            </w:r>
          </w:p>
        </w:tc>
        <w:tc>
          <w:tcPr>
            <w:tcW w:type="dxa" w:w="18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145</w:t>
            </w:r>
          </w:p>
        </w:tc>
        <w:tc>
          <w:tcPr>
            <w:tcW w:type="dxa" w:w="249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[11.9, 36.4]</w:t>
            </w:r>
          </w:p>
        </w:tc>
      </w:tr>
      <w:tr>
        <w:trPr>
          <w:cantSplit/>
        </w:trPr>
        <w:tc>
          <w:tcPr>
            <w:tcW w:type="dxa" w:w="46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Either concern with overlap removed</w:t>
            </w:r>
          </w:p>
        </w:tc>
        <w:tc>
          <w:tcPr>
            <w:tcW w:type="dxa" w:w="18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230</w:t>
            </w:r>
          </w:p>
        </w:tc>
        <w:tc>
          <w:tcPr>
            <w:tcW w:type="dxa" w:w="249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[8.8, 45.6]</w:t>
            </w:r>
          </w:p>
        </w:tc>
      </w:tr>
    </w:tbl>
    <w:p>
      <w:pPr>
        <w:spacing w:line="276" w:lineRule="auto" w:before="100" w:after="180"/>
        <w:jc w:val="left"/>
      </w:pPr>
      <w:r>
        <w:t>Notes. Bounds assign any binary outcome to flagged children while retaining all other outcomes and cell denominators in the 2,195-child, 111-school sample. There are 28 overlapping flags. Ranges are writer minus nonwriter treatment-effect differences in percentage points. They are algebraic ranges with no standard errors or p-values, not confidence intervals. Sources are transition_incomplete_last5_bounds.csv and measurement/sentinel_interaction_bounds.json.</w:t>
      </w:r>
    </w:p>
    <w:p>
      <w:r>
        <w:t>Table A2 treats each flagged binary outcome as unknown and assigns all permissible zeros and ones within each cell. It reports the smallest and largest resulting writer-minus-nonwriter contrast. The attendance-code range is 16.3 to 34.1 points. The incomplete-history range is 11.9 to 36.4 points. Their union gives the broader range of 8.8 to 45.6 points. These are algebraic identification ranges conditional on the retained sample and all other recorded outcomes. They have no standard errors or p-values and are not confidence intervals. They do not bound every possible error in the roster or the counterfactual observation process.</w:t>
      </w:r>
    </w:p>
    <w:p>
      <w:pPr>
        <w:pStyle w:val="Heading1"/>
      </w:pPr>
      <w:r>
        <w:t>Appendix B Measurement and reconstruction details</w:t>
      </w:r>
    </w:p>
    <w:p>
      <w:r>
        <w:t>The raw roster sources differ in the type of the departure-reason field. The main source stores it as text, while the appended source stores numbers. The distributed Stata append leaves the numeric source's reason values blank in the text column. The replication preserves that convention to match the original output. Mapping the raw numeric government-school code to its corresponding text marker changes 13 children's recorded destination classification in the 2,197-child replication cohort. It changes no total-departure indicators. This is a count comparison; the government-marker and residual interactions have not been re-estimated under that harmonized mapping. This is why total departure is the primary outcome and destinations remain secondary.</w:t>
      </w:r>
    </w:p>
    <w:p>
      <w:r>
        <w:t>Across the selected rows in the consensus sample, 66.4 percent of reason fields are blank. Blanks constitute 69.9 percent in control and 63.3 percent in treatment. A blank is kept blank, and no unobserved destination is imputed. The residual measure is defined by absence of the recorded government-school marker within operational departure. It is not a direct observation of withdrawal from all education.</w:t>
      </w:r>
    </w:p>
    <w:p>
      <w:r>
        <w:t>The original attendance recode maps several negative values and code 22 to zero. The package does not provide a codebook that establishes the meaning of each of those values. The sentinel audit flags operational departures with at least one such selected value. It identifies 28 control nonwriters, 11 control writers, 71 treatment nonwriters, and 3 treatment writers. These sum to 113. Of these children, 28 also have short observation histories. The remaining quality categories are 85 code-only cases, 117 history-only cases, and 1,965 children with neither documented flag.</w:t>
      </w:r>
    </w:p>
    <w:p>
      <w:r>
        <w:t>The source sample remains fixed apart from the two conflicting baseline-writing records and the explicitly labeled exclusion check. No raw attendance, transfer-reason, or test-score observations are added. Calendar sensitivity and coding sensitivity are reported separately because they alter different parts of the measurement process. Neither is used to redefine the main result after seeing its significance.</w:t>
      </w:r>
    </w:p>
    <w:p>
      <w:pPr>
        <w:pStyle w:val="Heading1"/>
      </w:pPr>
      <w:r>
        <w:t>Appendix C Prior candidate directions and selection</w:t>
      </w:r>
    </w:p>
    <w:p>
      <w:r>
        <w:t>The original teacher-score attendance catch-up story is already explicit in the paper and is not treated as a new contribution. The candidate learning-by-teacher-score extension is more distinct, but its observed-test total interaction is 0.132 standard deviations, with interval -0.009 to 0.273 and p = .067 in 1,625 source rows across 101 schools. Geographic controls reduce it to 0.087, with interval -0.042 to 0.217. Those source rows represent 1,610 unique school-child keys. The result does not establish a difference at the conventional two-sided 5 percent level.</w:t>
      </w:r>
    </w:p>
    <w:p>
      <w:r>
        <w:t>The fixed learning-domain family gives a nominal mathematics interaction p-value of .037, but Holm adjustment across mathematics, language, and total yields .110 for mathematics. The direct mathematics-minus-language interaction has p = .054, and the joint domain test has p = .090. These results do not justify selecting mathematics alone as an established new effect.</w:t>
      </w:r>
    </w:p>
    <w:p>
      <w:r>
        <w:t>The learning-distribution route uses 1,737 observed source rows, 1,720 unique school-child keys, and 107 schools. Its fixed lower-quartile contrast is 0.081 standard deviations, with a school-bootstrap percentile interval from -0.081 to 0.219 and approximate two-sided p = .310. The median, upper-quartile, and interquartile-range contrasts also have intervals containing zero. These analyses are retained as legitimate but inconclusive alternatives. Their existence is part of the departure paper's exploratory search history.</w:t>
      </w:r>
    </w:p>
    <w:p>
      <w:pPr>
        <w:pStyle w:val="Heading1"/>
      </w:pPr>
      <w:r>
        <w:t>Appendix D Reproducibility record</w:t>
      </w:r>
    </w:p>
    <w:p>
      <w:r>
        <w:t>The source package is E112523V1. The original benchmark programs are Table1_Fig1_update.do, Table-2.do, and Table7_Table10.do, under data/Incentives_FINAL/Programs. The raw departure reconstruction is in scripts/audit_transition_extension.py; the interaction, clustered intervals, block check, endpoint check, and bootstrap are in scripts/audit_transition_scope.py. The documented-code flags and bounds are generated by scripts/audit_sentinel_measurement.py, while scripts/audit_transition_sentinels.py generates the exclusion sensitivity. The supplied Stata programs are source benchmarks, not evidence that Stata was run for this draft.</w:t>
      </w:r>
    </w:p>
    <w:p>
      <w:r>
        <w:t>The main statistical outputs are transition_table10_reproduction.csv under outputs/research_direction_audit and transition_scope_group_effects.csv, transition_scope_model_results.csv, drop_wildbootstrap_summary.json, sentinel_complete_wildbootstrap_summary.json, and transition_incomplete_last5_bounds.csv under outputs/scope_search_2026_09_22/transition. The union bounds are in measurement/sentinel_interaction_bounds.json. Their raw-input hashes and direct-refit checks remain in the original analysis directories. The draft's exhibit builder reads these saved results and independently verified counts; it does not silently change the underlying analyses.</w:t>
      </w:r>
    </w:p>
    <w:p>
      <w:r>
        <w:t>The October 7 attendance check used Python 3.13, NumPy 1.26.4, pandas 2.3.0, and SciPy 1.15.3. It recomputed the raw random-check coefficient and clustered covariance without writing to the original output files. The original analysis scripts provide the computational specification; a complete submission package should record its own pinned environment and a successful rerun. A README, rerun verifier, and exhibit builder accompany this reference draft locally. A public or shared replication URL and the author's identifying details have not been supplied and must be completed before submission.</w:t>
      </w:r>
    </w:p>
    <w:sectPr w:rsidR="00FC693F" w:rsidRPr="0006063C" w:rsidSect="00034616">
      <w:footerReference w:type="default" r:id="rId9"/>
      <w:pgSz w:w="11906" w:h="16838"/>
      <w:pgMar w:top="1224"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360" w:lineRule="auto"/>
      <w:contextualSpacing/>
      <w:jc w:val="left"/>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oi.org/10.1162/qjec.122.3.1235" TargetMode="External"/><Relationship Id="rId12" Type="http://schemas.openxmlformats.org/officeDocument/2006/relationships/hyperlink" Target="https://doi.org/10.1162/rest.90.3.414" TargetMode="External"/><Relationship Id="rId13" Type="http://schemas.openxmlformats.org/officeDocument/2006/relationships/hyperlink" Target="https://doi.org/10.1016/j.jpubeco.2018.04.010" TargetMode="External"/><Relationship Id="rId14" Type="http://schemas.openxmlformats.org/officeDocument/2006/relationships/hyperlink" Target="https://doi.org/10.1257/aer.101.5.1739" TargetMode="External"/><Relationship Id="rId15" Type="http://schemas.openxmlformats.org/officeDocument/2006/relationships/hyperlink" Target="https://doi.org/10.1257/aer.102.4.1241" TargetMode="External"/><Relationship Id="rId16" Type="http://schemas.openxmlformats.org/officeDocument/2006/relationships/hyperlink" Target="https://doi.org/10.1257/app.2.3.205" TargetMode="External"/><Relationship Id="rId17" Type="http://schemas.openxmlformats.org/officeDocument/2006/relationships/hyperlink" Target="https://doi.org/10.1080/19439342.2013.864695" TargetMode="External"/><Relationship Id="rId18" Type="http://schemas.openxmlformats.org/officeDocument/2006/relationships/hyperlink" Target="https://www.jstor.org/stable/4615733" TargetMode="External"/><Relationship Id="rId19" Type="http://schemas.openxmlformats.org/officeDocument/2006/relationships/hyperlink" Target="https://doi.org/10.1162/jeea.2005.3.2-3.658" TargetMode="External"/><Relationship Id="rId20" Type="http://schemas.openxmlformats.org/officeDocument/2006/relationships/hyperlink" Target="https://doi.org/10.1016/j.jdeveco.2011.11.002" TargetMode="External"/><Relationship Id="rId21" Type="http://schemas.openxmlformats.org/officeDocument/2006/relationships/hyperlink" Target="https://doi.org/10.1086/659655" TargetMode="External"/><Relationship Id="rId22" Type="http://schemas.openxmlformats.org/officeDocument/2006/relationships/hyperlink" Target="https://doi.org/10.3886/E112523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Attendance Incentives and Recorded School Departure by Baseline Writing Status</dc:title>
  <dc:subject>Reference draft for a replication and extension seminar paper</dc:subject>
  <dc:creator>Author name to be completed</dc:creator>
  <cp:keywords/>
  <dc:description>generated by python-docx</dc:description>
  <cp:lastModifiedBy/>
  <cp:revision>1</cp:revision>
  <dcterms:created xsi:type="dcterms:W3CDTF">2013-12-23T23:15:00Z</dcterms:created>
  <dcterms:modified xsi:type="dcterms:W3CDTF">2013-12-23T23:15:00Z</dcterms:modified>
  <cp:category/>
</cp:coreProperties>
</file>