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guide for attendance incentives and baseline writing</w:t>
      </w:r>
    </w:p>
    <w:p>
      <w:r>
        <w:t xml:space="preserve">Prepared 2026-10-09 as an independent study guide for the seminar paper. The paper asks a narrow question: does the randomized camera-monitoring and attendance-pay program studied by Duflo, Hanna, and Ryan change </w:t>
      </w:r>
      <w:r>
        <w:rPr>
          <w:b/>
        </w:rPr>
        <w:t>recorded operational departure from the original nonformal education center</w:t>
      </w:r>
      <w:r>
        <w:t xml:space="preserve"> differently by baseline writing status? In the paper, </w:t>
      </w:r>
      <w:r>
        <w:t>departure</w:t>
      </w:r>
      <w:r>
        <w:t xml:space="preserve"> is constructed from an attendance/roster rule. It should not be silently renamed teacher absence, teacher exit, educational dropout, or withdrawal from schooling.</w:t>
      </w:r>
    </w:p>
    <w:p>
      <w:r>
        <w:t>This is a bounded, targeted literature scan, not a systematic or exhaustive review. The 18 substantive journal articles are divided into a main reading set and a reserve set. The main set supplies the closest evidence on monitoring, recorded attendance, differential learning, initial preparation, and measurement. The reserve set is useful when a particular introduction or discussion needs more context. Each entry gives a Chicago author-date citation, an access route, a short explanation, and a reason for inclusion or reservation. Every article has a verified TAU catalogue record and a journal-version citation. Nine substantive articles are cited in the expanded paper; nine relevant alternatives are summarized here but omitted from its bibliography. Two retained methods articles are listed separately.</w:t>
      </w:r>
    </w:p>
    <w:p>
      <w:pPr>
        <w:pStyle w:val="Heading1"/>
        <w:keepNext/>
      </w:pPr>
      <w:r>
        <w:t>1 Articles included in the paper</w:t>
      </w:r>
    </w:p>
    <w:p>
      <w:pPr>
        <w:pStyle w:val="Heading2"/>
        <w:keepNext/>
      </w:pPr>
      <w:r>
        <w:t>Duflo Hanna and Ryan 2012 the anchor experiment</w:t>
      </w:r>
    </w:p>
    <w:p>
      <w:pPr>
        <w:keepNext/>
        <w:spacing w:after="100"/>
        <w:jc w:val="left"/>
      </w:pPr>
      <w:r>
        <w:rPr>
          <w:b/>
        </w:rPr>
        <w:t>Citation.</w:t>
      </w:r>
      <w:r>
        <w:t xml:space="preserve"> Duflo, Esther, Rema Hanna, and Stephen P. Ryan. 2012. “Incentives Work: Getting Teachers to Come to School.” </w:t>
      </w:r>
      <w:r>
        <w:rPr>
          <w:i/>
        </w:rPr>
        <w:t>American Economic Review</w:t>
      </w:r>
      <w:r>
        <w:t xml:space="preserve"> 102 (4): 1241–1278. </w:t>
      </w:r>
      <w:hyperlink r:id="rId10">
        <w:r>
          <w:rPr>
            <w:rFonts w:ascii="Times New Roman" w:hAnsi="Times New Roman" w:cs="Times New Roman" w:eastAsia="Times New Roman"/>
            <w:color w:val="000000"/>
            <w:u w:val="single"/>
          </w:rPr>
          <w:t>Journal article</w:t>
        </w:r>
      </w:hyperlink>
      <w:r>
        <w:t xml:space="preserve"> · </w:t>
      </w:r>
      <w:hyperlink r:id="rId11">
        <w:r>
          <w:rPr>
            <w:rFonts w:ascii="Times New Roman" w:hAnsi="Times New Roman" w:cs="Times New Roman" w:eastAsia="Times New Roman"/>
            <w:color w:val="000000"/>
            <w:u w:val="single"/>
          </w:rPr>
          <w:t>Full text</w:t>
        </w:r>
      </w:hyperlink>
      <w:r>
        <w:t xml:space="preserve"> · </w:t>
      </w:r>
      <w:hyperlink r:id="rId12">
        <w:r>
          <w:rPr>
            <w:rFonts w:ascii="Times New Roman" w:hAnsi="Times New Roman" w:cs="Times New Roman" w:eastAsia="Times New Roman"/>
            <w:color w:val="000000"/>
            <w:u w:val="single"/>
          </w:rPr>
          <w:t>TAU catalogue</w:t>
        </w:r>
      </w:hyperlink>
    </w:p>
    <w:p>
      <w:r>
        <w:t xml:space="preserve">This is the closest benchmark. In rural Rajasthan nonformal education centers, tamper-resistant daily camera records were tied to a nonlinear attendance payment; teacher presence and student test scores increased. The original Table 10 also reports child-level recorded departure: 0.44 in treatment versus 0.36 in control, government-school enrollment of 0.26 versus 0.16, and the defined school-dropout measure of 0.18 versus 0.20. </w:t>
      </w:r>
      <w:r>
        <w:rPr>
          <w:b/>
        </w:rPr>
        <w:t>Why included:</w:t>
      </w:r>
      <w:r>
        <w:t xml:space="preserve"> the current paper reuses the original departure construction and adds </w:t>
      </w:r>
      <w:r>
        <w:t>treat × pre_writ</w:t>
      </w:r>
      <w:r>
        <w:t>; this article therefore anchors the setting, intervention, and distinction between average outcomes and exploratory heterogeneity. It does not validate the new coding or identify why children depart.</w:t>
      </w:r>
    </w:p>
    <w:p>
      <w:pPr>
        <w:pStyle w:val="Heading2"/>
        <w:keepNext/>
      </w:pPr>
      <w:r>
        <w:t>Kremer et al 2005 an Indian attendance benchmark</w:t>
      </w:r>
    </w:p>
    <w:p>
      <w:pPr>
        <w:keepNext/>
        <w:spacing w:after="100"/>
        <w:jc w:val="left"/>
      </w:pPr>
      <w:r>
        <w:rPr>
          <w:b/>
        </w:rPr>
        <w:t>Citation.</w:t>
      </w:r>
      <w:r>
        <w:t xml:space="preserve"> Kremer, Michael, Nazmul Chaudhury, F. Halsey Rogers, Karthik Muralidharan, and Jeffrey Hammer. 2005. “Teacher Absence in India: A Snapshot.” </w:t>
      </w:r>
      <w:r>
        <w:rPr>
          <w:i/>
        </w:rPr>
        <w:t>Journal of the European Economic Association</w:t>
      </w:r>
      <w:r>
        <w:t xml:space="preserve"> 3 (2–3): 658–667. </w:t>
      </w:r>
      <w:hyperlink r:id="rId13">
        <w:r>
          <w:rPr>
            <w:rFonts w:ascii="Times New Roman" w:hAnsi="Times New Roman" w:cs="Times New Roman" w:eastAsia="Times New Roman"/>
            <w:color w:val="000000"/>
            <w:u w:val="single"/>
          </w:rPr>
          <w:t>Journal article</w:t>
        </w:r>
      </w:hyperlink>
      <w:r>
        <w:t xml:space="preserve"> · </w:t>
      </w:r>
      <w:hyperlink r:id="rId14">
        <w:r>
          <w:rPr>
            <w:rFonts w:ascii="Times New Roman" w:hAnsi="Times New Roman" w:cs="Times New Roman" w:eastAsia="Times New Roman"/>
            <w:color w:val="000000"/>
            <w:u w:val="single"/>
          </w:rPr>
          <w:t>Publisher abstract</w:t>
        </w:r>
      </w:hyperlink>
      <w:r>
        <w:t xml:space="preserve"> · </w:t>
      </w:r>
      <w:hyperlink r:id="rId15">
        <w:r>
          <w:rPr>
            <w:rFonts w:ascii="Times New Roman" w:hAnsi="Times New Roman" w:cs="Times New Roman" w:eastAsia="Times New Roman"/>
            <w:color w:val="000000"/>
            <w:u w:val="single"/>
          </w:rPr>
          <w:t>TAU catalogue</w:t>
        </w:r>
      </w:hyperlink>
    </w:p>
    <w:p>
      <w:r>
        <w:t xml:space="preserve">Unannounced visits to a nationally representative sample of Indian government primary schools found roughly one-quarter of teachers absent and only about half teaching; absence ranged from 15 percent in Maharashtra to 42 percent in Jharkhand. Higher pay was not associated with lower absence, while recent inspection, infrastructure, and road access were associated with lower absence. </w:t>
      </w:r>
      <w:r>
        <w:rPr>
          <w:b/>
        </w:rPr>
        <w:t>Why included:</w:t>
      </w:r>
      <w:r>
        <w:t xml:space="preserve"> it gives students an Indian descriptive benchmark for the measurement problem that motivates monitoring. The study is observational and based on spot checks. It does not measure NFE departure, teacher turnover, student dropout, or a randomized treatment, so its correlations should not be used as causal evidence for the seminar result.</w:t>
      </w:r>
    </w:p>
    <w:p>
      <w:pPr>
        <w:pStyle w:val="Heading2"/>
        <w:keepNext/>
      </w:pPr>
      <w:r>
        <w:t>Guerrero et al 2013 synthesis of attendance interventions</w:t>
      </w:r>
    </w:p>
    <w:p>
      <w:pPr>
        <w:keepNext/>
        <w:spacing w:after="100"/>
        <w:jc w:val="left"/>
      </w:pPr>
      <w:r>
        <w:rPr>
          <w:b/>
        </w:rPr>
        <w:t>Citation.</w:t>
      </w:r>
      <w:r>
        <w:t xml:space="preserve"> Guerrero, Gabriela, Juan León, Mayli Zapata, and Santiago Cueto. 2013. “Getting Teachers Back to the Classroom: A Systematic Review on What Works to Improve Teacher Attendance in Developing Countries.” </w:t>
      </w:r>
      <w:r>
        <w:rPr>
          <w:i/>
        </w:rPr>
        <w:t>Journal of Development Effectiveness</w:t>
      </w:r>
      <w:r>
        <w:t xml:space="preserve"> 5 (4): 466–488. </w:t>
      </w:r>
      <w:hyperlink r:id="rId16">
        <w:r>
          <w:rPr>
            <w:rFonts w:ascii="Times New Roman" w:hAnsi="Times New Roman" w:cs="Times New Roman" w:eastAsia="Times New Roman"/>
            <w:color w:val="000000"/>
            <w:u w:val="single"/>
          </w:rPr>
          <w:t>Journal article</w:t>
        </w:r>
      </w:hyperlink>
      <w:r>
        <w:t xml:space="preserve"> · </w:t>
      </w:r>
      <w:hyperlink r:id="rId17">
        <w:r>
          <w:rPr>
            <w:rFonts w:ascii="Times New Roman" w:hAnsi="Times New Roman" w:cs="Times New Roman" w:eastAsia="Times New Roman"/>
            <w:color w:val="000000"/>
            <w:u w:val="single"/>
          </w:rPr>
          <w:t>Full text</w:t>
        </w:r>
      </w:hyperlink>
      <w:r>
        <w:t xml:space="preserve"> · </w:t>
      </w:r>
      <w:hyperlink r:id="rId18">
        <w:r>
          <w:rPr>
            <w:rFonts w:ascii="Times New Roman" w:hAnsi="Times New Roman" w:cs="Times New Roman" w:eastAsia="Times New Roman"/>
            <w:color w:val="000000"/>
            <w:u w:val="single"/>
          </w:rPr>
          <w:t>TAU catalogue</w:t>
        </w:r>
      </w:hyperlink>
    </w:p>
    <w:p>
      <w:r>
        <w:t xml:space="preserve">The review screened 18,524 records and included nine experimental or quasi-experimental studies; six could enter a statistical synthesis. Direct monitoring-plus-incentive programs and indirect community or parent programs had positive pooled effects on teacher attendance, while pooled student-achievement effects were not statistically significant. </w:t>
      </w:r>
      <w:r>
        <w:rPr>
          <w:b/>
        </w:rPr>
        <w:t>Why included:</w:t>
      </w:r>
      <w:r>
        <w:t xml:space="preserve"> it helps organize the monitoring literature and demonstrates that attendance effects and learning effects are separate evidence families. It is a review, not a new estimate, and the studies differ in settings, measures, and design. The search covered work through July 2010, so the pooled estimate cannot be transferred to the current </w:t>
      </w:r>
      <w:r>
        <w:t>treat × pre_writ</w:t>
      </w:r>
      <w:r>
        <w:t xml:space="preserve"> interaction.</w:t>
      </w:r>
    </w:p>
    <w:p>
      <w:pPr>
        <w:pStyle w:val="Heading2"/>
        <w:keepNext/>
      </w:pPr>
      <w:r>
        <w:t>Cilliers et al 2018 local monitoring plus a bonus</w:t>
      </w:r>
    </w:p>
    <w:p>
      <w:pPr>
        <w:keepNext/>
        <w:spacing w:after="100"/>
        <w:jc w:val="left"/>
      </w:pPr>
      <w:r>
        <w:rPr>
          <w:b/>
        </w:rPr>
        <w:t>Citation.</w:t>
      </w:r>
      <w:r>
        <w:t xml:space="preserve"> Cilliers, Jacobus, Ibrahim Kasirye, Clare Leaver, Pieter Serneels, and Andrew Zeitlin. 2018. “Pay for Locally Monitored Performance? A Welfare Analysis for Teacher Attendance in Ugandan Primary Schools.” </w:t>
      </w:r>
      <w:r>
        <w:rPr>
          <w:i/>
        </w:rPr>
        <w:t>Journal of Public Economics</w:t>
      </w:r>
      <w:r>
        <w:t xml:space="preserve"> 167: 69–90. </w:t>
      </w:r>
      <w:hyperlink r:id="rId19">
        <w:r>
          <w:rPr>
            <w:rFonts w:ascii="Times New Roman" w:hAnsi="Times New Roman" w:cs="Times New Roman" w:eastAsia="Times New Roman"/>
            <w:color w:val="000000"/>
            <w:u w:val="single"/>
          </w:rPr>
          <w:t>Journal article</w:t>
        </w:r>
      </w:hyperlink>
      <w:r>
        <w:t xml:space="preserve"> · </w:t>
      </w:r>
      <w:hyperlink r:id="rId20">
        <w:r>
          <w:rPr>
            <w:rFonts w:ascii="Times New Roman" w:hAnsi="Times New Roman" w:cs="Times New Roman" w:eastAsia="Times New Roman"/>
            <w:color w:val="000000"/>
            <w:u w:val="single"/>
          </w:rPr>
          <w:t>Full text</w:t>
        </w:r>
      </w:hyperlink>
      <w:r>
        <w:t xml:space="preserve"> · </w:t>
      </w:r>
      <w:hyperlink r:id="rId21">
        <w:r>
          <w:rPr>
            <w:rFonts w:ascii="Times New Roman" w:hAnsi="Times New Roman" w:cs="Times New Roman" w:eastAsia="Times New Roman"/>
            <w:color w:val="000000"/>
            <w:u w:val="single"/>
          </w:rPr>
          <w:t>TAU catalogue</w:t>
        </w:r>
      </w:hyperlink>
    </w:p>
    <w:p>
      <w:r>
        <w:t xml:space="preserve">In a Ugandan randomized experiment, local attendance information alone did not raise teacher presence, while adding a monthly bonus increased independently spot-checked presence by about eight to nine percentage points and improved information quality. Enrollment gains appeared where dropout was common, but pupil composition changed and Lee bounds left learning effects inconclusive. </w:t>
      </w:r>
      <w:r>
        <w:rPr>
          <w:b/>
        </w:rPr>
        <w:t>Why included:</w:t>
      </w:r>
      <w:r>
        <w:t xml:space="preserve"> this is the closest additional comparator for monitoring, incentives, independently checked presence, and downstream participation. Its enrollment outcome is not the seminar paper's operational NFE-departure code, and the Ugandan setting is different. Read it to separate a provider-presence mechanism from a later participation outcome rather than to validate the current departure measure.</w:t>
      </w:r>
    </w:p>
    <w:p>
      <w:pPr>
        <w:pStyle w:val="Heading2"/>
        <w:keepNext/>
      </w:pPr>
      <w:r>
        <w:t>Glewwe Ilias and Kremer 2010 test incentives target a different margin</w:t>
      </w:r>
    </w:p>
    <w:p>
      <w:pPr>
        <w:keepNext/>
        <w:spacing w:after="100"/>
        <w:jc w:val="left"/>
      </w:pPr>
      <w:r>
        <w:rPr>
          <w:b/>
        </w:rPr>
        <w:t>Citation.</w:t>
      </w:r>
      <w:r>
        <w:t xml:space="preserve"> Glewwe, Paul, Nauman Ilias, and Michael Kremer. 2010. “Teacher Incentives.” </w:t>
      </w:r>
      <w:r>
        <w:rPr>
          <w:i/>
        </w:rPr>
        <w:t>American Economic Journal: Applied Economics</w:t>
      </w:r>
      <w:r>
        <w:t xml:space="preserve"> 2 (3): 205–227. </w:t>
      </w:r>
      <w:hyperlink r:id="rId22">
        <w:r>
          <w:rPr>
            <w:rFonts w:ascii="Times New Roman" w:hAnsi="Times New Roman" w:cs="Times New Roman" w:eastAsia="Times New Roman"/>
            <w:color w:val="000000"/>
            <w:u w:val="single"/>
          </w:rPr>
          <w:t>Journal article</w:t>
        </w:r>
      </w:hyperlink>
      <w:r>
        <w:t xml:space="preserve"> · </w:t>
      </w:r>
      <w:hyperlink r:id="rId23">
        <w:r>
          <w:rPr>
            <w:rFonts w:ascii="Times New Roman" w:hAnsi="Times New Roman" w:cs="Times New Roman" w:eastAsia="Times New Roman"/>
            <w:color w:val="000000"/>
            <w:u w:val="single"/>
          </w:rPr>
          <w:t>Full text</w:t>
        </w:r>
      </w:hyperlink>
      <w:r>
        <w:t xml:space="preserve"> · </w:t>
      </w:r>
      <w:hyperlink r:id="rId24">
        <w:r>
          <w:rPr>
            <w:rFonts w:ascii="Times New Roman" w:hAnsi="Times New Roman" w:cs="Times New Roman" w:eastAsia="Times New Roman"/>
            <w:color w:val="000000"/>
            <w:u w:val="single"/>
          </w:rPr>
          <w:t>TAU catalogue</w:t>
        </w:r>
      </w:hyperlink>
    </w:p>
    <w:p>
      <w:r>
        <w:t xml:space="preserve">This Kenyan randomized program rewarded teachers using student test performance. Scores rose on incentivized exams, but gains were concentrated on the reward formula; unrelated tests did not improve. Dropout was unchanged, exam participation increased, and teacher attendance did not change, while test preparation increased and effects faded after the program. </w:t>
      </w:r>
      <w:r>
        <w:rPr>
          <w:b/>
        </w:rPr>
        <w:t>Why included:</w:t>
      </w:r>
      <w:r>
        <w:t xml:space="preserve"> it is a clean comparator showing that a performance-pay intervention can redirect effort toward measured outcomes without changing attendance or broad learning. The treatment is not attendance monitoring, and its dropout measure concerns enrolled pupils rather than NFE departure. Use it to avoid treating all “incentives” as one mechanism.</w:t>
      </w:r>
    </w:p>
    <w:p>
      <w:pPr>
        <w:pStyle w:val="Heading2"/>
        <w:keepNext/>
      </w:pPr>
      <w:r>
        <w:t>Muralidharan and Sundararaman 2011 performance pay in India</w:t>
      </w:r>
    </w:p>
    <w:p>
      <w:pPr>
        <w:keepNext/>
        <w:spacing w:after="100"/>
        <w:jc w:val="left"/>
      </w:pPr>
      <w:r>
        <w:rPr>
          <w:b/>
        </w:rPr>
        <w:t>Citation.</w:t>
      </w:r>
      <w:r>
        <w:t xml:space="preserve"> Muralidharan, Karthik, and Venkatesh Sundararaman. 2011. “Teacher Performance Pay: Experimental Evidence from India.” </w:t>
      </w:r>
      <w:r>
        <w:rPr>
          <w:i/>
        </w:rPr>
        <w:t>Journal of Political Economy</w:t>
      </w:r>
      <w:r>
        <w:t xml:space="preserve"> 119 (1): 39–77. </w:t>
      </w:r>
      <w:hyperlink r:id="rId25">
        <w:r>
          <w:rPr>
            <w:rFonts w:ascii="Times New Roman" w:hAnsi="Times New Roman" w:cs="Times New Roman" w:eastAsia="Times New Roman"/>
            <w:color w:val="000000"/>
            <w:u w:val="single"/>
          </w:rPr>
          <w:t>Journal article</w:t>
        </w:r>
      </w:hyperlink>
      <w:r>
        <w:t xml:space="preserve"> · </w:t>
      </w:r>
      <w:hyperlink r:id="rId26">
        <w:r>
          <w:rPr>
            <w:rFonts w:ascii="Times New Roman" w:hAnsi="Times New Roman" w:cs="Times New Roman" w:eastAsia="Times New Roman"/>
            <w:color w:val="000000"/>
            <w:u w:val="single"/>
          </w:rPr>
          <w:t>Full text</w:t>
        </w:r>
      </w:hyperlink>
      <w:r>
        <w:t xml:space="preserve"> · </w:t>
      </w:r>
      <w:hyperlink r:id="rId27">
        <w:r>
          <w:rPr>
            <w:rFonts w:ascii="Times New Roman" w:hAnsi="Times New Roman" w:cs="Times New Roman" w:eastAsia="Times New Roman"/>
            <w:color w:val="000000"/>
            <w:u w:val="single"/>
          </w:rPr>
          <w:t>TAU catalogue</w:t>
        </w:r>
      </w:hyperlink>
    </w:p>
    <w:p>
      <w:r>
        <w:t xml:space="preserve">Across 300 rural government primary schools in Andhra Pradesh, individual and group performance-pay arms increased mathematics and language scores, with individual incentives outperforming group incentives in the second year. The authors report no treatment difference in student or teacher attendance and no difference in student attrition; observations suggest effort conditional on presence, including extra classes and homework, was the main channel. </w:t>
      </w:r>
      <w:r>
        <w:rPr>
          <w:b/>
        </w:rPr>
        <w:t>Why included:</w:t>
      </w:r>
      <w:r>
        <w:t xml:space="preserve"> it is an India-based contrast between learning-contingent pay and the camera/attendance treatment. It shows why a learning result or attendance null cannot identify the mechanism behind operational departure. Its attrition measure and government-school setting are not equivalent to NFE departure.</w:t>
      </w:r>
    </w:p>
    <w:p>
      <w:pPr>
        <w:pStyle w:val="Heading2"/>
        <w:keepNext/>
      </w:pPr>
      <w:r>
        <w:t>Banerjee et al 2007 initial learning position</w:t>
      </w:r>
    </w:p>
    <w:p>
      <w:pPr>
        <w:keepNext/>
        <w:spacing w:after="100"/>
        <w:jc w:val="left"/>
      </w:pPr>
      <w:r>
        <w:rPr>
          <w:b/>
        </w:rPr>
        <w:t>Citation.</w:t>
      </w:r>
      <w:r>
        <w:t xml:space="preserve"> Banerjee, Abhijit V., Shawn Cole, Esther Duflo, and Leigh Linden. 2007. “Remedying Education: Evidence from Two Randomized Experiments in India.” </w:t>
      </w:r>
      <w:r>
        <w:rPr>
          <w:i/>
        </w:rPr>
        <w:t>Quarterly Journal of Economics</w:t>
      </w:r>
      <w:r>
        <w:t xml:space="preserve"> 122 (3): 1235–1264. </w:t>
      </w:r>
      <w:hyperlink r:id="rId28">
        <w:r>
          <w:rPr>
            <w:rFonts w:ascii="Times New Roman" w:hAnsi="Times New Roman" w:cs="Times New Roman" w:eastAsia="Times New Roman"/>
            <w:color w:val="000000"/>
            <w:u w:val="single"/>
          </w:rPr>
          <w:t>Journal article</w:t>
        </w:r>
      </w:hyperlink>
      <w:r>
        <w:t xml:space="preserve"> · </w:t>
      </w:r>
      <w:hyperlink r:id="rId29">
        <w:r>
          <w:rPr>
            <w:rFonts w:ascii="Times New Roman" w:hAnsi="Times New Roman" w:cs="Times New Roman" w:eastAsia="Times New Roman"/>
            <w:color w:val="000000"/>
            <w:u w:val="single"/>
          </w:rPr>
          <w:t>Published text or access page</w:t>
        </w:r>
      </w:hyperlink>
      <w:r>
        <w:t xml:space="preserve"> · </w:t>
      </w:r>
      <w:hyperlink r:id="rId30">
        <w:r>
          <w:rPr>
            <w:rFonts w:ascii="Times New Roman" w:hAnsi="Times New Roman" w:cs="Times New Roman" w:eastAsia="Times New Roman"/>
            <w:color w:val="000000"/>
            <w:u w:val="single"/>
          </w:rPr>
          <w:t>TAU catalogue</w:t>
        </w:r>
      </w:hyperlink>
    </w:p>
    <w:p>
      <w:r>
        <w:t xml:space="preserve">Two randomized Indian interventions provide a useful preparation benchmark. Remedial instruction raised average scores by 0.28 standard deviations, with the largest gains among children at the bottom of the initial distribution; computer-assisted mathematics raised scores by 0.47 standard deviations, with a smaller persistent gain about a year later. </w:t>
      </w:r>
      <w:r>
        <w:rPr>
          <w:b/>
        </w:rPr>
        <w:t>Why included:</w:t>
      </w:r>
      <w:r>
        <w:t xml:space="preserve"> the paper makes initial literacy and numeracy position substantively meaningful, which motivates studying baseline writing as a pre-treatment margin. It does not study participation or NFE departure, and the final published article was read, including its initial-pretest heterogeneity results. Use it to motivate heterogeneity, not to claim that baseline writing causes the current departure response.</w:t>
      </w:r>
    </w:p>
    <w:p>
      <w:pPr>
        <w:pStyle w:val="Heading2"/>
        <w:keepNext/>
      </w:pPr>
      <w:r>
        <w:t>Duflo Dupas and Kremer 2011 differentiated learning response</w:t>
      </w:r>
    </w:p>
    <w:p>
      <w:pPr>
        <w:keepNext/>
        <w:spacing w:after="100"/>
        <w:jc w:val="left"/>
      </w:pPr>
      <w:r>
        <w:rPr>
          <w:b/>
        </w:rPr>
        <w:t>Citation.</w:t>
      </w:r>
      <w:r>
        <w:t xml:space="preserve"> Duflo, Esther, Pascaline Dupas, and Michael Kremer. 2011. “Peer Effects, Teacher Incentives, and the Impact of Tracking: Evidence from a Randomized Evaluation in Kenya.” </w:t>
      </w:r>
      <w:r>
        <w:rPr>
          <w:i/>
        </w:rPr>
        <w:t>American Economic Review</w:t>
      </w:r>
      <w:r>
        <w:t xml:space="preserve"> 101 (5): 1739–1774. </w:t>
      </w:r>
      <w:hyperlink r:id="rId31">
        <w:r>
          <w:rPr>
            <w:rFonts w:ascii="Times New Roman" w:hAnsi="Times New Roman" w:cs="Times New Roman" w:eastAsia="Times New Roman"/>
            <w:color w:val="000000"/>
            <w:u w:val="single"/>
          </w:rPr>
          <w:t>Journal article</w:t>
        </w:r>
      </w:hyperlink>
      <w:r>
        <w:t xml:space="preserve"> · </w:t>
      </w:r>
      <w:hyperlink r:id="rId32">
        <w:r>
          <w:rPr>
            <w:rFonts w:ascii="Times New Roman" w:hAnsi="Times New Roman" w:cs="Times New Roman" w:eastAsia="Times New Roman"/>
            <w:color w:val="000000"/>
            <w:u w:val="single"/>
          </w:rPr>
          <w:t>Published text or access page</w:t>
        </w:r>
      </w:hyperlink>
      <w:r>
        <w:t xml:space="preserve"> · </w:t>
      </w:r>
      <w:hyperlink r:id="rId33">
        <w:r>
          <w:rPr>
            <w:rFonts w:ascii="Times New Roman" w:hAnsi="Times New Roman" w:cs="Times New Roman" w:eastAsia="Times New Roman"/>
            <w:color w:val="000000"/>
            <w:u w:val="single"/>
          </w:rPr>
          <w:t>TAU catalogue</w:t>
        </w:r>
      </w:hyperlink>
    </w:p>
    <w:p>
      <w:r>
        <w:t xml:space="preserve">The Kenyan randomized tracking study finds gains across the initial-achievement distribution. The authors interpret the pattern as consistent with peer effects and teachers adapting instruction to pupil level. </w:t>
      </w:r>
      <w:r>
        <w:rPr>
          <w:b/>
        </w:rPr>
        <w:t>Why included:</w:t>
      </w:r>
      <w:r>
        <w:t xml:space="preserve"> it supplies a clear precedent for asking whether an intervention has different effects by initial preparation without reducing the interaction to a “strong children benefit” story. Teacher response and institutional organization can shape the gradient. The study concerns learning and peer composition, not NFE departure or attendance records. The final published article was read, including its teacher-response and initial-achievement results. It supports motivation and interpretation without identifying a mechanism for the Rajasthan departure pattern.</w:t>
      </w:r>
    </w:p>
    <w:p>
      <w:pPr>
        <w:pStyle w:val="Heading2"/>
        <w:keepNext/>
      </w:pPr>
      <w:r>
        <w:t>Linden and Shastry 2012 recorded attendance and discretion</w:t>
      </w:r>
    </w:p>
    <w:p>
      <w:pPr>
        <w:keepNext/>
        <w:spacing w:after="100"/>
        <w:jc w:val="left"/>
      </w:pPr>
      <w:r>
        <w:rPr>
          <w:b/>
        </w:rPr>
        <w:t>Citation.</w:t>
      </w:r>
      <w:r>
        <w:t xml:space="preserve"> Linden, Leigh L., and Gauri Kartini Shastry. 2012. “Grain Inflation: Identifying Agent Discretion in Response to a Conditional School Nutrition Program.” </w:t>
      </w:r>
      <w:r>
        <w:rPr>
          <w:i/>
        </w:rPr>
        <w:t>Journal of Development Economics</w:t>
      </w:r>
      <w:r>
        <w:t xml:space="preserve"> 99 (1): 128–138. </w:t>
      </w:r>
      <w:hyperlink r:id="rId34">
        <w:r>
          <w:rPr>
            <w:rFonts w:ascii="Times New Roman" w:hAnsi="Times New Roman" w:cs="Times New Roman" w:eastAsia="Times New Roman"/>
            <w:color w:val="000000"/>
            <w:u w:val="single"/>
          </w:rPr>
          <w:t>Journal article</w:t>
        </w:r>
      </w:hyperlink>
      <w:r>
        <w:t xml:space="preserve"> · </w:t>
      </w:r>
      <w:hyperlink r:id="rId35">
        <w:r>
          <w:rPr>
            <w:rFonts w:ascii="Times New Roman" w:hAnsi="Times New Roman" w:cs="Times New Roman" w:eastAsia="Times New Roman"/>
            <w:color w:val="000000"/>
            <w:u w:val="single"/>
          </w:rPr>
          <w:t>Full text</w:t>
        </w:r>
      </w:hyperlink>
      <w:r>
        <w:t xml:space="preserve"> · </w:t>
      </w:r>
      <w:hyperlink r:id="rId36">
        <w:r>
          <w:rPr>
            <w:rFonts w:ascii="Times New Roman" w:hAnsi="Times New Roman" w:cs="Times New Roman" w:eastAsia="Times New Roman"/>
            <w:color w:val="000000"/>
            <w:u w:val="single"/>
          </w:rPr>
          <w:t>TAU catalogue</w:t>
        </w:r>
      </w:hyperlink>
    </w:p>
    <w:p>
      <w:r>
        <w:t xml:space="preserve">Using overlapping teacher and external-monitor attendance records in Mumbai, the paper studies a conditional grain program that rewarded children crossing an 80-percent attendance threshold. The abstract reports more attendance-record inflation for girls, better students, and lower-caste students, and less for Muslim students. </w:t>
      </w:r>
      <w:r>
        <w:rPr>
          <w:b/>
        </w:rPr>
        <w:t>Why included:</w:t>
      </w:r>
      <w:r>
        <w:t xml:space="preserve"> it is a direct measurement warning: recorded attendance can differ from independently observed attendance, and discretion can correlate with child characteristics. It does not show manipulation in the Duflo–Hanna–Ryan experiment or in the current NFE data. Use it to justify the phrase “recorded operational departure” and to keep provenance and observation coverage visible.</w:t>
      </w:r>
    </w:p>
    <w:p>
      <w:pPr>
        <w:pStyle w:val="Heading1"/>
        <w:keepNext/>
      </w:pPr>
      <w:r>
        <w:t>2 Relevant articles omitted from the paper</w:t>
      </w:r>
    </w:p>
    <w:p>
      <w:pPr>
        <w:keepNext/>
      </w:pPr>
      <w:r>
        <w:t>These articles are peer-reviewed journal publications and are useful for targeted expansion, but each is less direct than the main set for the baseline-writing × operational-departure question.</w:t>
      </w:r>
    </w:p>
    <w:p>
      <w:pPr>
        <w:pStyle w:val="Heading2"/>
        <w:keepNext/>
      </w:pPr>
      <w:r>
        <w:t>Banerjee Duflo and Glennerster 2008 implementation and information quality</w:t>
      </w:r>
    </w:p>
    <w:p>
      <w:pPr>
        <w:keepNext/>
        <w:spacing w:after="100"/>
        <w:jc w:val="left"/>
      </w:pPr>
      <w:r>
        <w:rPr>
          <w:b/>
        </w:rPr>
        <w:t>Citation.</w:t>
      </w:r>
      <w:r>
        <w:t xml:space="preserve"> Banerjee, Abhijit V., Esther Duflo, and Rachel Glennerster. 2008. “Putting a Band-Aid on a Corpse: Incentives for Nurses in the Indian Public Health Care System.” </w:t>
      </w:r>
      <w:r>
        <w:rPr>
          <w:i/>
        </w:rPr>
        <w:t>Journal of the European Economic Association</w:t>
      </w:r>
      <w:r>
        <w:t xml:space="preserve"> 6 (2–3): 487–500. </w:t>
      </w:r>
      <w:hyperlink r:id="rId37">
        <w:r>
          <w:rPr>
            <w:rFonts w:ascii="Times New Roman" w:hAnsi="Times New Roman" w:cs="Times New Roman" w:eastAsia="Times New Roman"/>
            <w:color w:val="000000"/>
            <w:u w:val="single"/>
          </w:rPr>
          <w:t>Journal article</w:t>
        </w:r>
      </w:hyperlink>
      <w:r>
        <w:t xml:space="preserve"> · </w:t>
      </w:r>
      <w:hyperlink r:id="rId38">
        <w:r>
          <w:rPr>
            <w:rFonts w:ascii="Times New Roman" w:hAnsi="Times New Roman" w:cs="Times New Roman" w:eastAsia="Times New Roman"/>
            <w:color w:val="000000"/>
            <w:u w:val="single"/>
          </w:rPr>
          <w:t>Full text</w:t>
        </w:r>
      </w:hyperlink>
      <w:r>
        <w:t xml:space="preserve"> · </w:t>
      </w:r>
      <w:hyperlink r:id="rId39">
        <w:r>
          <w:rPr>
            <w:rFonts w:ascii="Times New Roman" w:hAnsi="Times New Roman" w:cs="Times New Roman" w:eastAsia="Times New Roman"/>
            <w:color w:val="000000"/>
            <w:u w:val="single"/>
          </w:rPr>
          <w:t>TAU catalogue</w:t>
        </w:r>
      </w:hyperlink>
    </w:p>
    <w:p>
      <w:r>
        <w:t xml:space="preserve">In rural Rajasthan health centers, time-stamped monitoring and announced pay deductions initially increased nurse presence, but the effect later weakened as exempt days, machine problems, and administrative non-enforcement accumulated. </w:t>
      </w:r>
      <w:r>
        <w:rPr>
          <w:b/>
        </w:rPr>
        <w:t>Why reserve:</w:t>
      </w:r>
      <w:r>
        <w:t xml:space="preserve"> the study gives a vivid implementation and information-quality analogy for attendance incentives, but it is a health-worker experiment with no education, learning, or NFE-departure outcome. Read it if the discussion needs to explain why a formal monitoring rule can lose force in practice. Do not use it to infer that the current operational departure effect reflects collusion, machine failure, or provider exit.</w:t>
      </w:r>
    </w:p>
    <w:p>
      <w:pPr>
        <w:pStyle w:val="Heading2"/>
        <w:keepNext/>
      </w:pPr>
      <w:r>
        <w:t>de Ree et al 2018 unconditional salary is a different treatment</w:t>
      </w:r>
    </w:p>
    <w:p>
      <w:pPr>
        <w:keepNext/>
        <w:spacing w:after="100"/>
        <w:jc w:val="left"/>
      </w:pPr>
      <w:r>
        <w:rPr>
          <w:b/>
        </w:rPr>
        <w:t>Citation.</w:t>
      </w:r>
      <w:r>
        <w:t xml:space="preserve"> de Ree, Joppe, Karthik Muralidharan, Menno Pradhan, and Halsey Rogers. 2018. “Double for Nothing? Experimental Evidence on an Unconditional Teacher Salary Increase in Indonesia.” </w:t>
      </w:r>
      <w:r>
        <w:rPr>
          <w:i/>
        </w:rPr>
        <w:t>Quarterly Journal of Economics</w:t>
      </w:r>
      <w:r>
        <w:t xml:space="preserve"> 133 (2): 993–1039. </w:t>
      </w:r>
      <w:hyperlink r:id="rId40">
        <w:r>
          <w:rPr>
            <w:rFonts w:ascii="Times New Roman" w:hAnsi="Times New Roman" w:cs="Times New Roman" w:eastAsia="Times New Roman"/>
            <w:color w:val="000000"/>
            <w:u w:val="single"/>
          </w:rPr>
          <w:t>Journal article</w:t>
        </w:r>
      </w:hyperlink>
      <w:r>
        <w:t xml:space="preserve"> · </w:t>
      </w:r>
      <w:hyperlink r:id="rId41">
        <w:r>
          <w:rPr>
            <w:rFonts w:ascii="Times New Roman" w:hAnsi="Times New Roman" w:cs="Times New Roman" w:eastAsia="Times New Roman"/>
            <w:color w:val="000000"/>
            <w:u w:val="single"/>
          </w:rPr>
          <w:t>Full text</w:t>
        </w:r>
      </w:hyperlink>
      <w:r>
        <w:t xml:space="preserve"> · </w:t>
      </w:r>
      <w:hyperlink r:id="rId42">
        <w:r>
          <w:rPr>
            <w:rFonts w:ascii="Times New Roman" w:hAnsi="Times New Roman" w:cs="Times New Roman" w:eastAsia="Times New Roman"/>
            <w:color w:val="000000"/>
            <w:u w:val="single"/>
          </w:rPr>
          <w:t>TAU catalogue</w:t>
        </w:r>
      </w:hyperlink>
    </w:p>
    <w:p>
      <w:r>
        <w:t xml:space="preserve">An Indonesian randomized salary reform improved teacher income satisfaction, reduced financial stress, and reduced outside jobs, but did not consistently improve effort, self-reported attendance, or student learning after two and three years. </w:t>
      </w:r>
      <w:r>
        <w:rPr>
          <w:b/>
        </w:rPr>
        <w:t>Why reserve:</w:t>
      </w:r>
      <w:r>
        <w:t xml:space="preserve"> it separates unconditional compensation from monitoring and performance-linked pay, helping students avoid the claim that all incentives operate through the same channel. It is not a teacher-exit or NFE-departure study, and its self-reported attendance is not comparable to camera records. Use only if the paper discusses why welfare gains or available time need not translate into the operational outcome.</w:t>
      </w:r>
    </w:p>
    <w:p>
      <w:pPr>
        <w:pStyle w:val="Heading2"/>
        <w:keepNext/>
      </w:pPr>
      <w:r>
        <w:t>Mbiti et al 2019 complementarity between inputs and incentives</w:t>
      </w:r>
    </w:p>
    <w:p>
      <w:pPr>
        <w:keepNext/>
        <w:spacing w:after="100"/>
        <w:jc w:val="left"/>
      </w:pPr>
      <w:r>
        <w:rPr>
          <w:b/>
        </w:rPr>
        <w:t>Citation.</w:t>
      </w:r>
      <w:r>
        <w:t xml:space="preserve"> Mbiti, Isaac, Karthik Muralidharan, Mauricio Romero, Youdi Schipper, Constantine Manda, and Rakesh Rajani. 2019. “Inputs, Incentives, and Complementarities in Education: Experimental Evidence from Tanzania.” </w:t>
      </w:r>
      <w:r>
        <w:rPr>
          <w:i/>
        </w:rPr>
        <w:t>Quarterly Journal of Economics</w:t>
      </w:r>
      <w:r>
        <w:t xml:space="preserve"> 134 (3): 1627–1673. </w:t>
      </w:r>
      <w:hyperlink r:id="rId43">
        <w:r>
          <w:rPr>
            <w:rFonts w:ascii="Times New Roman" w:hAnsi="Times New Roman" w:cs="Times New Roman" w:eastAsia="Times New Roman"/>
            <w:color w:val="000000"/>
            <w:u w:val="single"/>
          </w:rPr>
          <w:t>Journal article</w:t>
        </w:r>
      </w:hyperlink>
      <w:r>
        <w:t xml:space="preserve"> · </w:t>
      </w:r>
      <w:hyperlink r:id="rId44">
        <w:r>
          <w:rPr>
            <w:rFonts w:ascii="Times New Roman" w:hAnsi="Times New Roman" w:cs="Times New Roman" w:eastAsia="Times New Roman"/>
            <w:color w:val="000000"/>
            <w:u w:val="single"/>
          </w:rPr>
          <w:t>Full text</w:t>
        </w:r>
      </w:hyperlink>
      <w:r>
        <w:t xml:space="preserve"> · </w:t>
      </w:r>
      <w:hyperlink r:id="rId45">
        <w:r>
          <w:rPr>
            <w:rFonts w:ascii="Times New Roman" w:hAnsi="Times New Roman" w:cs="Times New Roman" w:eastAsia="Times New Roman"/>
            <w:color w:val="000000"/>
            <w:u w:val="single"/>
          </w:rPr>
          <w:t>TAU catalogue</w:t>
        </w:r>
      </w:hyperlink>
    </w:p>
    <w:p>
      <w:r>
        <w:t xml:space="preserve">This factorial experiment assigned Tanzanian schools to grants, teacher performance pay, both, or control. Grant-only schools did not improve low-stakes scores; incentives had stronger effects on high-stakes tests, while the combination produced positive effects on both. </w:t>
      </w:r>
      <w:r>
        <w:rPr>
          <w:b/>
        </w:rPr>
        <w:t>Why reserve:</w:t>
      </w:r>
      <w:r>
        <w:t xml:space="preserve"> it shows why incentive effects can depend on complementary resources and on how outcomes are measured. The paper does not study attendance or departure, and its test-based incentive design differs from the Rajasthan presence incentive. Use it for a broader production-system discussion, not as evidence that baseline writing changes the mechanism of recorded NFE departure.</w:t>
      </w:r>
    </w:p>
    <w:p>
      <w:pPr>
        <w:pStyle w:val="Heading2"/>
        <w:keepNext/>
      </w:pPr>
      <w:r>
        <w:t>Fryer 2013 an external institutional contrast</w:t>
      </w:r>
    </w:p>
    <w:p>
      <w:pPr>
        <w:keepNext/>
        <w:spacing w:after="100"/>
        <w:jc w:val="left"/>
      </w:pPr>
      <w:r>
        <w:rPr>
          <w:b/>
        </w:rPr>
        <w:t>Citation.</w:t>
      </w:r>
      <w:r>
        <w:t xml:space="preserve"> Fryer, Roland G. 2013. “Teacher Incentives and Student Achievement: Evidence from New York City Public Schools.” </w:t>
      </w:r>
      <w:r>
        <w:rPr>
          <w:i/>
        </w:rPr>
        <w:t>Journal of Labor Economics</w:t>
      </w:r>
      <w:r>
        <w:t xml:space="preserve"> 31 (2): 373–407. </w:t>
      </w:r>
      <w:hyperlink r:id="rId46">
        <w:r>
          <w:rPr>
            <w:rFonts w:ascii="Times New Roman" w:hAnsi="Times New Roman" w:cs="Times New Roman" w:eastAsia="Times New Roman"/>
            <w:color w:val="000000"/>
            <w:u w:val="single"/>
          </w:rPr>
          <w:t>Journal article</w:t>
        </w:r>
      </w:hyperlink>
      <w:r>
        <w:t xml:space="preserve"> · </w:t>
      </w:r>
      <w:hyperlink r:id="rId47">
        <w:r>
          <w:rPr>
            <w:rFonts w:ascii="Times New Roman" w:hAnsi="Times New Roman" w:cs="Times New Roman" w:eastAsia="Times New Roman"/>
            <w:color w:val="000000"/>
            <w:u w:val="single"/>
          </w:rPr>
          <w:t>Full text / author version</w:t>
        </w:r>
      </w:hyperlink>
      <w:r>
        <w:t xml:space="preserve"> · </w:t>
      </w:r>
      <w:hyperlink r:id="rId48">
        <w:r>
          <w:rPr>
            <w:rFonts w:ascii="Times New Roman" w:hAnsi="Times New Roman" w:cs="Times New Roman" w:eastAsia="Times New Roman"/>
            <w:color w:val="000000"/>
            <w:u w:val="single"/>
          </w:rPr>
          <w:t>TAU catalogue</w:t>
        </w:r>
      </w:hyperlink>
    </w:p>
    <w:p>
      <w:r>
        <w:t xml:space="preserve">The randomized New York City school-level incentive program found no positive effects on achievement, attendance, graduation, or reported student and teacher behavior; achievement may have fallen in larger schools. The flexible group-based design was complex, and teachers may have had limited ability to connect effort to payment. </w:t>
      </w:r>
      <w:r>
        <w:rPr>
          <w:b/>
        </w:rPr>
        <w:t>Why reserve:</w:t>
      </w:r>
      <w:r>
        <w:t xml:space="preserve"> it is a useful contrast showing that an incentive can fail when institutional design makes the response difficult to predict. The U.S. school setting, group reward, and outcomes are far from the Rajasthan NFE context. Read it only if the discussion needs an external null or negative comparison.</w:t>
      </w:r>
    </w:p>
    <w:p>
      <w:pPr>
        <w:pStyle w:val="Heading2"/>
        <w:keepNext/>
      </w:pPr>
      <w:r>
        <w:t>Duflo Dupas and Kremer 2015 governance and provider response</w:t>
      </w:r>
    </w:p>
    <w:p>
      <w:pPr>
        <w:keepNext/>
        <w:spacing w:after="100"/>
        <w:jc w:val="left"/>
      </w:pPr>
      <w:r>
        <w:rPr>
          <w:b/>
        </w:rPr>
        <w:t>Citation.</w:t>
      </w:r>
      <w:r>
        <w:t xml:space="preserve"> Duflo, Esther, Pascaline Dupas, and Michael Kremer. 2015. “School Governance, Teacher Incentives, and Pupil–Teacher Ratios: Experimental Evidence from Kenyan Primary Schools.” </w:t>
      </w:r>
      <w:r>
        <w:rPr>
          <w:i/>
        </w:rPr>
        <w:t>Journal of Public Economics</w:t>
      </w:r>
      <w:r>
        <w:t xml:space="preserve"> 123: 92–110. </w:t>
      </w:r>
      <w:hyperlink r:id="rId49">
        <w:r>
          <w:rPr>
            <w:rFonts w:ascii="Times New Roman" w:hAnsi="Times New Roman" w:cs="Times New Roman" w:eastAsia="Times New Roman"/>
            <w:color w:val="000000"/>
            <w:u w:val="single"/>
          </w:rPr>
          <w:t>Journal article</w:t>
        </w:r>
      </w:hyperlink>
      <w:r>
        <w:t xml:space="preserve"> · </w:t>
      </w:r>
      <w:hyperlink r:id="rId50">
        <w:r>
          <w:rPr>
            <w:rFonts w:ascii="Times New Roman" w:hAnsi="Times New Roman" w:cs="Times New Roman" w:eastAsia="Times New Roman"/>
            <w:color w:val="000000"/>
            <w:u w:val="single"/>
          </w:rPr>
          <w:t>Published text or access page</w:t>
        </w:r>
      </w:hyperlink>
      <w:r>
        <w:t xml:space="preserve"> · </w:t>
      </w:r>
      <w:hyperlink r:id="rId51">
        <w:r>
          <w:rPr>
            <w:rFonts w:ascii="Times New Roman" w:hAnsi="Times New Roman" w:cs="Times New Roman" w:eastAsia="Times New Roman"/>
            <w:color w:val="000000"/>
            <w:u w:val="single"/>
          </w:rPr>
          <w:t>TAU catalogue</w:t>
        </w:r>
      </w:hyperlink>
    </w:p>
    <w:p>
      <w:r>
        <w:t xml:space="preserve">The Kenyan experiment added contract teachers and, in some schools, school-based management training. Reducing the pupil–teacher ratio did not improve scores for pupils remaining with civil-service teachers, whereas pupils assigned to contract teachers gained about 0.24 standard deviations; effort fell among some civil-service teachers, and governance training reduced capture of positions. </w:t>
      </w:r>
      <w:r>
        <w:rPr>
          <w:b/>
        </w:rPr>
        <w:t>Why reserve:</w:t>
      </w:r>
      <w:r>
        <w:t xml:space="preserve"> it illustrates how provider behavior and local governance can mediate a school intervention. It does not concern baseline writing, departure, or attendance-derived classification. Include only if the paper adds a short implementation paragraph; otherwise it distracts from the narrow interaction.</w:t>
      </w:r>
    </w:p>
    <w:p>
      <w:pPr>
        <w:pStyle w:val="Heading2"/>
        <w:keepNext/>
      </w:pPr>
      <w:r>
        <w:t>Burde and Linden 2013 participation and learning can move together</w:t>
      </w:r>
    </w:p>
    <w:p>
      <w:pPr>
        <w:keepNext/>
        <w:spacing w:after="100"/>
        <w:jc w:val="left"/>
      </w:pPr>
      <w:r>
        <w:rPr>
          <w:b/>
        </w:rPr>
        <w:t>Citation.</w:t>
      </w:r>
      <w:r>
        <w:t xml:space="preserve"> Burde, Dana, and Leigh L. Linden. 2013. “Bringing Education to Afghan Girls: A Randomized Controlled Trial of Village-Based Schools.” </w:t>
      </w:r>
      <w:r>
        <w:rPr>
          <w:i/>
        </w:rPr>
        <w:t>American Economic Journal: Applied Economics</w:t>
      </w:r>
      <w:r>
        <w:t xml:space="preserve"> 5 (3): 27–40. </w:t>
      </w:r>
      <w:hyperlink r:id="rId52">
        <w:r>
          <w:rPr>
            <w:rFonts w:ascii="Times New Roman" w:hAnsi="Times New Roman" w:cs="Times New Roman" w:eastAsia="Times New Roman"/>
            <w:color w:val="000000"/>
            <w:u w:val="single"/>
          </w:rPr>
          <w:t>Journal article</w:t>
        </w:r>
      </w:hyperlink>
      <w:r>
        <w:t xml:space="preserve"> · </w:t>
      </w:r>
      <w:hyperlink r:id="rId53">
        <w:r>
          <w:rPr>
            <w:rFonts w:ascii="Times New Roman" w:hAnsi="Times New Roman" w:cs="Times New Roman" w:eastAsia="Times New Roman"/>
            <w:color w:val="000000"/>
            <w:u w:val="single"/>
          </w:rPr>
          <w:t>Published text or access page</w:t>
        </w:r>
      </w:hyperlink>
      <w:r>
        <w:t xml:space="preserve"> · </w:t>
      </w:r>
      <w:hyperlink r:id="rId54">
        <w:r>
          <w:rPr>
            <w:rFonts w:ascii="Times New Roman" w:hAnsi="Times New Roman" w:cs="Times New Roman" w:eastAsia="Times New Roman"/>
            <w:color w:val="000000"/>
            <w:u w:val="single"/>
          </w:rPr>
          <w:t>TAU catalogue</w:t>
        </w:r>
      </w:hyperlink>
    </w:p>
    <w:p>
      <w:r>
        <w:t xml:space="preserve">Village-based schools in rural Afghanistan increased enrollment and test scores for children in 31 villages, with especially large effects for girls: the abstract reports a 52-percentage-point enrollment gain and 0.65-standard-deviation score gain for girls, versus 35 points and 0.40 standard deviations for boys. </w:t>
      </w:r>
      <w:r>
        <w:rPr>
          <w:b/>
        </w:rPr>
        <w:t>Why reserve:</w:t>
      </w:r>
      <w:r>
        <w:t xml:space="preserve"> it gives a clear participation-versus-learning comparison and a reminder that access interventions can have heterogeneous effects. It does not estimate baseline-writing heterogeneity or departure from an existing NFE, so it should not be used to interpret the current recorded outcome as educational welfare or dropout.</w:t>
      </w:r>
    </w:p>
    <w:p>
      <w:pPr>
        <w:pStyle w:val="Heading2"/>
        <w:keepNext/>
      </w:pPr>
      <w:r>
        <w:t>Evans and Popova 2016 a review of reviews</w:t>
      </w:r>
    </w:p>
    <w:p>
      <w:pPr>
        <w:keepNext/>
        <w:spacing w:after="100"/>
        <w:jc w:val="left"/>
      </w:pPr>
      <w:r>
        <w:rPr>
          <w:b/>
        </w:rPr>
        <w:t>Citation.</w:t>
      </w:r>
      <w:r>
        <w:t xml:space="preserve"> Evans, David K., and Anna Popova. 2016. “What Really Works to Improve Learning in Developing Countries? An Analysis of Divergent Findings in Systematic Reviews.” </w:t>
      </w:r>
      <w:r>
        <w:rPr>
          <w:i/>
        </w:rPr>
        <w:t>World Bank Research Observer</w:t>
      </w:r>
      <w:r>
        <w:t xml:space="preserve"> 31 (2): 242–270. </w:t>
      </w:r>
      <w:hyperlink r:id="rId55">
        <w:r>
          <w:rPr>
            <w:rFonts w:ascii="Times New Roman" w:hAnsi="Times New Roman" w:cs="Times New Roman" w:eastAsia="Times New Roman"/>
            <w:color w:val="000000"/>
            <w:u w:val="single"/>
          </w:rPr>
          <w:t>Journal article</w:t>
        </w:r>
      </w:hyperlink>
      <w:r>
        <w:t xml:space="preserve"> · </w:t>
      </w:r>
      <w:hyperlink r:id="rId56">
        <w:r>
          <w:rPr>
            <w:rFonts w:ascii="Times New Roman" w:hAnsi="Times New Roman" w:cs="Times New Roman" w:eastAsia="Times New Roman"/>
            <w:color w:val="000000"/>
            <w:u w:val="single"/>
          </w:rPr>
          <w:t>Full text</w:t>
        </w:r>
      </w:hyperlink>
      <w:r>
        <w:t xml:space="preserve"> · </w:t>
      </w:r>
      <w:hyperlink r:id="rId57">
        <w:r>
          <w:rPr>
            <w:rFonts w:ascii="Times New Roman" w:hAnsi="Times New Roman" w:cs="Times New Roman" w:eastAsia="Times New Roman"/>
            <w:color w:val="000000"/>
            <w:u w:val="single"/>
          </w:rPr>
          <w:t>TAU catalogue</w:t>
        </w:r>
      </w:hyperlink>
    </w:p>
    <w:p>
      <w:r>
        <w:t xml:space="preserve">Comparing six systematic reviews, this article argues that divergent recommendations often reflect different inclusion rules; the most inclusive review contained fewer than half of 229 studies with learning results. Teaching to student level and repeated task-specific training receive the most consistent support. </w:t>
      </w:r>
      <w:r>
        <w:rPr>
          <w:b/>
        </w:rPr>
        <w:t>Why reserve:</w:t>
      </w:r>
      <w:r>
        <w:t xml:space="preserve"> it helps students understand why broad “what works” claims should not be used to explain one interaction or one operational participation outcome. It is a review of reviews, not a child-level experiment, and it says nothing direct about NFE departure or camera records. Use it for a short evidence-synthesis frame if needed.</w:t>
      </w:r>
    </w:p>
    <w:p>
      <w:pPr>
        <w:pStyle w:val="Heading2"/>
        <w:keepNext/>
      </w:pPr>
      <w:r>
        <w:t>Ganimian and Murnane 2016 organizing evidence in low and middle income countries</w:t>
      </w:r>
    </w:p>
    <w:p>
      <w:pPr>
        <w:keepNext/>
        <w:spacing w:after="100"/>
        <w:jc w:val="left"/>
      </w:pPr>
      <w:r>
        <w:rPr>
          <w:b/>
        </w:rPr>
        <w:t>Citation.</w:t>
      </w:r>
      <w:r>
        <w:t xml:space="preserve"> Ganimian, Alejandro J., and Richard J. Murnane. 2016. “Improving Education in Developing Countries: Lessons From Rigorous Impact Evaluations.” </w:t>
      </w:r>
      <w:r>
        <w:rPr>
          <w:i/>
        </w:rPr>
        <w:t>Review of Educational Research</w:t>
      </w:r>
      <w:r>
        <w:t xml:space="preserve"> 86 (3): 719–755. </w:t>
      </w:r>
      <w:hyperlink r:id="rId58">
        <w:r>
          <w:rPr>
            <w:rFonts w:ascii="Times New Roman" w:hAnsi="Times New Roman" w:cs="Times New Roman" w:eastAsia="Times New Roman"/>
            <w:color w:val="000000"/>
            <w:u w:val="single"/>
          </w:rPr>
          <w:t>Journal article</w:t>
        </w:r>
      </w:hyperlink>
      <w:r>
        <w:t xml:space="preserve"> · </w:t>
      </w:r>
      <w:hyperlink r:id="rId59">
        <w:r>
          <w:rPr>
            <w:rFonts w:ascii="Times New Roman" w:hAnsi="Times New Roman" w:cs="Times New Roman" w:eastAsia="Times New Roman"/>
            <w:color w:val="000000"/>
            <w:u w:val="single"/>
          </w:rPr>
          <w:t>Published text or access page</w:t>
        </w:r>
      </w:hyperlink>
      <w:r>
        <w:t xml:space="preserve"> · </w:t>
      </w:r>
      <w:hyperlink r:id="rId60">
        <w:r>
          <w:rPr>
            <w:rFonts w:ascii="Times New Roman" w:hAnsi="Times New Roman" w:cs="Times New Roman" w:eastAsia="Times New Roman"/>
            <w:color w:val="000000"/>
            <w:u w:val="single"/>
          </w:rPr>
          <w:t>TAU catalogue</w:t>
        </w:r>
      </w:hyperlink>
    </w:p>
    <w:p>
      <w:r>
        <w:t xml:space="preserve">The review interprets 223 rigorous evaluations in 56 low- and middle-income countries. It finds that reducing schooling costs and expanding options can raise attendance and attainment without consistently raising achievement; information changes parent and child behavior; resources matter when they change daily school experience; and incentives can raise effort from low levels when teachers receive guidance. </w:t>
      </w:r>
      <w:r>
        <w:rPr>
          <w:b/>
        </w:rPr>
        <w:t>Why reserve:</w:t>
      </w:r>
      <w:r>
        <w:t xml:space="preserve"> it provides a broad framework for separating participation from learning and for viewing baseline writing as a context for treatment response. It is not direct evidence on the Rajasthan experiment and the publisher text is abstract-level here. Use only for broad framing.</w:t>
      </w:r>
    </w:p>
    <w:p>
      <w:pPr>
        <w:pStyle w:val="Heading2"/>
        <w:keepNext/>
      </w:pPr>
      <w:r>
        <w:t>Singh 2024 administrative data integrity</w:t>
      </w:r>
    </w:p>
    <w:p>
      <w:pPr>
        <w:keepNext/>
        <w:spacing w:after="100"/>
        <w:jc w:val="left"/>
      </w:pPr>
      <w:r>
        <w:rPr>
          <w:b/>
        </w:rPr>
        <w:t>Citation.</w:t>
      </w:r>
      <w:r>
        <w:t xml:space="preserve"> Singh, Abhijeet. 2024. “Improving Administrative Data at Scale: Experimental Evidence on Digital Testing in Indian Schools.” </w:t>
      </w:r>
      <w:r>
        <w:rPr>
          <w:i/>
        </w:rPr>
        <w:t>Economic Journal</w:t>
      </w:r>
      <w:r>
        <w:t xml:space="preserve"> 134 (661): 2207–2223. </w:t>
      </w:r>
      <w:hyperlink r:id="rId61">
        <w:r>
          <w:rPr>
            <w:rFonts w:ascii="Times New Roman" w:hAnsi="Times New Roman" w:cs="Times New Roman" w:eastAsia="Times New Roman"/>
            <w:color w:val="000000"/>
            <w:u w:val="single"/>
          </w:rPr>
          <w:t>Journal article</w:t>
        </w:r>
      </w:hyperlink>
      <w:r>
        <w:t xml:space="preserve"> · </w:t>
      </w:r>
      <w:hyperlink r:id="rId62">
        <w:r>
          <w:rPr>
            <w:rFonts w:ascii="Times New Roman" w:hAnsi="Times New Roman" w:cs="Times New Roman" w:eastAsia="Times New Roman"/>
            <w:color w:val="000000"/>
            <w:u w:val="single"/>
          </w:rPr>
          <w:t>Full text</w:t>
        </w:r>
      </w:hyperlink>
      <w:r>
        <w:t xml:space="preserve"> · </w:t>
      </w:r>
      <w:hyperlink r:id="rId63">
        <w:r>
          <w:rPr>
            <w:rFonts w:ascii="Times New Roman" w:hAnsi="Times New Roman" w:cs="Times New Roman" w:eastAsia="Times New Roman"/>
            <w:color w:val="000000"/>
            <w:u w:val="single"/>
          </w:rPr>
          <w:t>TAU catalogue</w:t>
        </w:r>
      </w:hyperlink>
    </w:p>
    <w:p>
      <w:r>
        <w:t xml:space="preserve">In more than 2,400 Andhra Pradesh schools, teacher-administered paper tests overstated achievement by 16–20 percentage points relative to an independently proctored retest; 38–43 percent of paper-test classrooms were flagged for suspicious response patterns, compared with 2–5 percent under tablet testing. </w:t>
      </w:r>
      <w:r>
        <w:rPr>
          <w:b/>
        </w:rPr>
        <w:t>Why reserve:</w:t>
      </w:r>
      <w:r>
        <w:t xml:space="preserve"> it is a strong measurement precedent for comparing recorded information with an external benchmark and documenting provenance and coverage. It does not show that current NFE-departure records were manipulated or that absence-label error follows the same process. Use one concise paragraph only if the paper needs a modern administrative-data comparison.</w:t>
      </w:r>
    </w:p>
    <w:p>
      <w:pPr>
        <w:pStyle w:val="Heading1"/>
        <w:keepNext/>
      </w:pPr>
      <w:r>
        <w:t>3 Overall synthesis</w:t>
      </w:r>
    </w:p>
    <w:p>
      <w:r>
        <w:t>The literature points to three distinct margins. First, monitoring and incentives can change provider presence, but the effect depends on information quality, enforcement, and design. Duflo, Hanna, and Ryan (2012) provide the Rajasthan anchor; Cilliers et al. (2018) show why local monitoring without financial stakes can be insufficient; and Guerrero et al. (2013) show that attendance and learning effects do not automatically move together. Kremer et al. (2005) is a descriptive Indian benchmark rather than a causal estimate. Second, learning interventions can be heterogeneous by initial preparation or institutional grouping. Banerjee et al. (2007) and Duflo, Dupas, and Kremer (2011) motivate baseline writing as a meaningful pre-treatment margin, while Glewwe et al. (2010) and Muralidharan and Sundararaman (2011) show that learning incentives can target effort conditional on presence. Third, recorded administrative outcomes need provenance and validation. Linden and Shastry (2012) document child-correlated discretion in attendance records; Singh (2024) shows how external audits and digital procedures can diagnose data distortion at scale.</w:t>
      </w:r>
    </w:p>
    <w:p>
      <w:r>
        <w:t xml:space="preserve">The main paper therefore has a defensible but bounded connection to this literature: it asks whether the same randomized attendance program has a different </w:t>
      </w:r>
      <w:r>
        <w:rPr>
          <w:b/>
        </w:rPr>
        <w:t>recorded operational departure</w:t>
      </w:r>
      <w:r>
        <w:t xml:space="preserve"> effect by baseline writing status. None of the articles establishes that departure is educational dropout, that baseline writing is the mechanism, or that the interaction generalizes beyond this sample and coding rule. The reserve articles should be read selectively: Banerjee, Duflo, and Glennerster (2008) for implementation decay; de Ree et al. (2018) for unconditional pay; Mbiti et al. (2019) for input–incentive complementarity; Fryer (2013) for a complex external null; Duflo, Dupas, and Kremer (2015) for governance; Burde and Linden (2013) for participation and learning; Evans and Popova (2016) and Ganimian and Murnane (2016) for evidence synthesis; and Singh (2024) for administrative-data integrity. This order keeps the literature tied to the paper's estimand instead of turning contextual analogies into mechanism claims.</w:t>
      </w:r>
    </w:p>
    <w:p>
      <w:pPr>
        <w:pStyle w:val="Heading1"/>
        <w:keepNext/>
      </w:pPr>
      <w:r>
        <w:t>4 Retained methods references</w:t>
      </w:r>
    </w:p>
    <w:p>
      <w:pPr>
        <w:keepNext/>
      </w:pPr>
      <w:r>
        <w:t>These are methods citations, not part of the 18 education articles.</w:t>
      </w:r>
    </w:p>
    <w:p>
      <w:pPr>
        <w:pStyle w:val="Heading2"/>
        <w:keepNext/>
      </w:pPr>
      <w:r>
        <w:t>Cameron Gelbach and Miller 2008</w:t>
      </w:r>
    </w:p>
    <w:p>
      <w:pPr>
        <w:keepNext/>
        <w:spacing w:after="100"/>
        <w:jc w:val="left"/>
      </w:pPr>
      <w:r>
        <w:rPr>
          <w:b/>
        </w:rPr>
        <w:t>Citation.</w:t>
      </w:r>
      <w:r>
        <w:t xml:space="preserve"> Cameron, A. Colin, Jonah B. Gelbach, and Douglas L. Miller. 2008. “Bootstrap-Based Improvements for Inference with Clustered Errors.” </w:t>
      </w:r>
      <w:r>
        <w:rPr>
          <w:i/>
        </w:rPr>
        <w:t>Review of Economics and Statistics</w:t>
      </w:r>
      <w:r>
        <w:t xml:space="preserve"> 90 (3): 414–427. </w:t>
      </w:r>
      <w:hyperlink r:id="rId64">
        <w:r>
          <w:rPr>
            <w:rFonts w:ascii="Times New Roman" w:hAnsi="Times New Roman" w:cs="Times New Roman" w:eastAsia="Times New Roman"/>
            <w:color w:val="000000"/>
            <w:u w:val="single"/>
          </w:rPr>
          <w:t>Journal article</w:t>
        </w:r>
      </w:hyperlink>
      <w:r>
        <w:t xml:space="preserve"> · </w:t>
      </w:r>
      <w:hyperlink r:id="rId65">
        <w:r>
          <w:rPr>
            <w:rFonts w:ascii="Times New Roman" w:hAnsi="Times New Roman" w:cs="Times New Roman" w:eastAsia="Times New Roman"/>
            <w:color w:val="000000"/>
            <w:u w:val="single"/>
          </w:rPr>
          <w:t>Publisher access page</w:t>
        </w:r>
      </w:hyperlink>
    </w:p>
    <w:p>
      <w:r>
        <w:t>This methods paper develops wild cluster-bootstrap improvements for inference when the number of clusters is limited or cluster-robust asymptotics may be unreliable. The seminar analysis uses a null-imposed wild-cluster bootstrap with school-level signs and 9,999 draws as a sensitivity check. The method addresses sampling uncertainty under the specified model; it does not repair ambiguous outcome definitions, missing observation opportunities, or the broader history of research-direction choices.</w:t>
      </w:r>
    </w:p>
    <w:p>
      <w:pPr>
        <w:pStyle w:val="Heading2"/>
        <w:keepNext/>
      </w:pPr>
      <w:r>
        <w:t>Holm 1979</w:t>
      </w:r>
    </w:p>
    <w:p>
      <w:pPr>
        <w:keepNext/>
        <w:spacing w:after="100"/>
        <w:jc w:val="left"/>
      </w:pPr>
      <w:r>
        <w:rPr>
          <w:b/>
        </w:rPr>
        <w:t>Citation.</w:t>
      </w:r>
      <w:r>
        <w:t xml:space="preserve"> Holm, Sture. 1979. “A Simple Sequentially Rejective Multiple Test Procedure.” </w:t>
      </w:r>
      <w:r>
        <w:rPr>
          <w:i/>
        </w:rPr>
        <w:t>Scandinavian Journal of Statistics</w:t>
      </w:r>
      <w:r>
        <w:t xml:space="preserve"> 6 (2): 65–70. </w:t>
      </w:r>
      <w:hyperlink r:id="rId66">
        <w:r>
          <w:rPr>
            <w:rFonts w:ascii="Times New Roman" w:hAnsi="Times New Roman" w:cs="Times New Roman" w:eastAsia="Times New Roman"/>
            <w:color w:val="000000"/>
            <w:u w:val="single"/>
          </w:rPr>
          <w:t>Journal article</w:t>
        </w:r>
      </w:hyperlink>
    </w:p>
    <w:p>
      <w:r>
        <w:t>Holm’s sequentially rejective procedure controls the familywise error rate by ordering p-values and applying progressively less conservative thresholds. The main paper applies it to the fixed three-outcome family of departure-related treatment interactions. It is a transparent correction for that stated family, not a solution to the exploratory history of considering other outcomes, specifications, or research directions.</w:t>
      </w:r>
    </w:p>
    <w:p>
      <w:pPr>
        <w:pStyle w:val="Heading1"/>
        <w:keepNext/>
      </w:pPr>
      <w:r>
        <w:t>5 Data provenance</w:t>
      </w:r>
    </w:p>
    <w:p>
      <w:r>
        <w:t xml:space="preserve">The replication data should be cited as provenance for the empirical object, not as education literature: Duflo, Esther, Rema Hanna, and Stephen P. Ryan. 2019. “Replication Data for </w:t>
      </w:r>
      <w:r>
        <w:rPr>
          <w:i/>
        </w:rPr>
        <w:t>Incentives Work: Getting Teachers to Come to School</w:t>
      </w:r>
      <w:r>
        <w:t xml:space="preserve">.” Version 1. American Economic Association and Inter-university Consortium for Political and Social Research. </w:t>
      </w:r>
      <w:hyperlink r:id="rId67">
        <w:r>
          <w:rPr>
            <w:rFonts w:ascii="Times New Roman" w:hAnsi="Times New Roman" w:cs="Times New Roman" w:eastAsia="Times New Roman"/>
            <w:color w:val="000000"/>
            <w:u w:val="single"/>
          </w:rPr>
          <w:t>Dataset record</w:t>
        </w:r>
      </w:hyperlink>
      <w:r>
        <w:t>. The record identifies the public Version 1 package used to reconstruct selected original outcomes and the baseline-writing interaction. It does not replace the 2012 journal article, establish that every original result has been reproduced, or provide an independent validation of the operational departure label.</w:t>
      </w:r>
    </w:p>
    <w:p>
      <w:pPr>
        <w:pStyle w:val="Heading1"/>
        <w:keepNext/>
      </w:pPr>
      <w:r>
        <w:t>6 Search scope and peer review screening</w:t>
      </w:r>
    </w:p>
    <w:p>
      <w:r>
        <w:t xml:space="preserve">The two </w:t>
      </w:r>
      <w:r>
        <w:rPr>
          <w:i/>
        </w:rPr>
        <w:t>Journal of Economic Perspectives</w:t>
      </w:r>
      <w:r>
        <w:t xml:space="preserve"> pieces found in the targeted scan—Chaudhury et al. (2006), “Missing in Action,” and Banerjee and Duflo (2006), “Addressing Absence”—are </w:t>
      </w:r>
      <w:r>
        <w:rPr>
          <w:b/>
        </w:rPr>
        <w:t>not counted among the 18 accepted substantive articles</w:t>
      </w:r>
      <w:r>
        <w:t>. The AEA’s JEP policy describes the journal as primarily solicited and places it between refereed research journals and the popular press; article-type-specific peer-review evidence for these solicited pieces was not verified. They may be useful context if an instructor permits them, but they should not be presented as part of the strict peer-reviewed set.</w:t>
      </w:r>
    </w:p>
    <w:p>
      <w:r>
        <w:t>Working-paper and discussion-paper versions are also excluded from the accepted bibliography when a journal version is available. This applies to Duflo and Hanna’s 2005 working paper, Fryer’s 2011 NBER Working Paper 16850, and the 2016 IZA discussion-paper version of Cilliers et al. The guide points to the journal version and may link an accessible published-layout or author-hosted copy for reading. The scan is targeted and bounded; absence from this guide is not evidence that a paper is irrelevant or that the main paper is original against the entire literature.</w:t>
      </w:r>
    </w:p>
    <w:p>
      <w:r>
        <w:t>The catalogue search began with "teacher attendance incentives" and its peer-review filter, followed by title searches for the candidates identified through article references and related-reading links. Title searches reset the filter, so the journal, year and review badge were checked for each record. Working papers and journal versions can appear together; only the final journal publication counts in the accepted set. This guide summarizes every relevant candidate that received substantive screening in this bounded scan. Incidental unrelated search hits are not part of that cohort.</w:t>
      </w:r>
    </w:p>
    <w:p>
      <w:r>
        <w:t>The user signed in to TAU during the search. ScienceDirect then identified Tel Aviv University and exposed Cilliers et al. (2018) in full, including the article body and appendices. A TAU route to Banerjee et al. (2007) reached JSTOR institutional authentication, but its reader did not display readable pages in that attempt; the public J-PAL copy of the final journal article supplied the text instead. Institutional availability is therefore not treated as proof that a full article was read.</w:t>
      </w:r>
    </w:p>
    <w:p>
      <w:pPr>
        <w:pStyle w:val="Heading2"/>
        <w:keepNext/>
      </w:pPr>
      <w:r>
        <w:t>Reading depth and publication status</w:t>
      </w:r>
    </w:p>
    <w:p>
      <w:r>
        <w:t>The final published text was read for Duflo, Hanna, and Ryan; Guerrero et al.; Cilliers et al.; Glewwe et al.; Muralidharan and Sundararaman; Banerjee et al. (2007); Duflo, Dupas, and Kremer (2011); Linden and Shastry; Banerjee, Duflo, and Glennerster; de Ree et al.; Mbiti et al.; Evans and Popova; and Singh. Duflo, Dupas, and Kremer (2015) was assessed from publisher article sections. Kremer et al., Burde and Linden, and Ganimian and Murnane are summarized from verified publisher abstracts. Fryer is assessed from the final publisher abstract plus a clearly labeled earlier author manuscript; detailed manuscript interpretations are not presented as separately verified final-version findings. Cameron and Holm are retained for their published methods and bibliographic records. Reading a published abstract does not change the article's peer-review status, but it limits the detail of the assessment.</w:t>
      </w:r>
    </w:p>
    <w:p>
      <w:r>
        <w:t>Seventeen of the eighteen education articles displayed a TAU peer-review badge. The Evans and Popova journal record did not display that badge; its journal-version DOI and the World Bank Research Observer's explicit peer-review policy supplied independent verification. The method records also displayed review badges. Journal policies corroborate the publication process; historical referee reports for each individual article are not claimed to have been inspected.</w:t>
      </w:r>
    </w:p>
    <w:p>
      <w:pPr>
        <w:pStyle w:val="Heading2"/>
        <w:keepNext/>
      </w:pPr>
      <w:r>
        <w:t>Verified journal review policies</w:t>
      </w:r>
    </w:p>
    <w:p>
      <w:pPr>
        <w:jc w:val="left"/>
      </w:pPr>
      <w:r>
        <w:t xml:space="preserve">• </w:t>
      </w:r>
      <w:hyperlink r:id="rId68">
        <w:r>
          <w:rPr>
            <w:rFonts w:ascii="Times New Roman" w:hAnsi="Times New Roman" w:cs="Times New Roman" w:eastAsia="Times New Roman"/>
            <w:color w:val="000000"/>
            <w:u w:val="single"/>
          </w:rPr>
          <w:t>American Economic Review editorial policy</w:t>
        </w:r>
      </w:hyperlink>
      <w:r>
        <w:t xml:space="preserve"> and </w:t>
      </w:r>
      <w:hyperlink r:id="rId69">
        <w:r>
          <w:rPr>
            <w:rFonts w:ascii="Times New Roman" w:hAnsi="Times New Roman" w:cs="Times New Roman" w:eastAsia="Times New Roman"/>
            <w:color w:val="000000"/>
            <w:u w:val="single"/>
          </w:rPr>
          <w:t>American Economic Journal Applied Economics policy</w:t>
        </w:r>
      </w:hyperlink>
      <w:r>
        <w:t xml:space="preserve"> identify single-blind peer review.</w:t>
      </w:r>
    </w:p>
    <w:p>
      <w:pPr>
        <w:jc w:val="left"/>
      </w:pPr>
      <w:r>
        <w:t xml:space="preserve">• </w:t>
      </w:r>
      <w:hyperlink r:id="rId70">
        <w:r>
          <w:rPr>
            <w:rFonts w:ascii="Times New Roman" w:hAnsi="Times New Roman" w:cs="Times New Roman" w:eastAsia="Times New Roman"/>
            <w:color w:val="000000"/>
            <w:u w:val="single"/>
          </w:rPr>
          <w:t>Quarterly Journal of Economics policy</w:t>
        </w:r>
      </w:hyperlink>
      <w:r>
        <w:t xml:space="preserve">, </w:t>
      </w:r>
      <w:hyperlink r:id="rId71">
        <w:r>
          <w:rPr>
            <w:rFonts w:ascii="Times New Roman" w:hAnsi="Times New Roman" w:cs="Times New Roman" w:eastAsia="Times New Roman"/>
            <w:color w:val="000000"/>
            <w:u w:val="single"/>
          </w:rPr>
          <w:t>Journal of Political Economy author instructions</w:t>
        </w:r>
      </w:hyperlink>
      <w:r>
        <w:t xml:space="preserve">, and </w:t>
      </w:r>
      <w:hyperlink r:id="rId72">
        <w:r>
          <w:rPr>
            <w:rFonts w:ascii="Times New Roman" w:hAnsi="Times New Roman" w:cs="Times New Roman" w:eastAsia="Times New Roman"/>
            <w:color w:val="000000"/>
            <w:u w:val="single"/>
          </w:rPr>
          <w:t>Journal of the European Economic Association author guidance</w:t>
        </w:r>
      </w:hyperlink>
      <w:r>
        <w:t xml:space="preserve"> document their referee processes.</w:t>
      </w:r>
    </w:p>
    <w:p>
      <w:pPr>
        <w:jc w:val="left"/>
      </w:pPr>
      <w:r>
        <w:t xml:space="preserve">• </w:t>
      </w:r>
      <w:hyperlink r:id="rId73">
        <w:r>
          <w:rPr>
            <w:rFonts w:ascii="Times New Roman" w:hAnsi="Times New Roman" w:cs="Times New Roman" w:eastAsia="Times New Roman"/>
            <w:color w:val="000000"/>
            <w:u w:val="single"/>
          </w:rPr>
          <w:t>Journal of Public Economics author guide</w:t>
        </w:r>
      </w:hyperlink>
      <w:r>
        <w:t xml:space="preserve"> identifies single-anonymized review with independent expert assessment. </w:t>
      </w:r>
      <w:hyperlink r:id="rId74">
        <w:r>
          <w:rPr>
            <w:rFonts w:ascii="Times New Roman" w:hAnsi="Times New Roman" w:cs="Times New Roman" w:eastAsia="Times New Roman"/>
            <w:color w:val="000000"/>
            <w:u w:val="single"/>
          </w:rPr>
          <w:t>Journal of Development Economics publisher information</w:t>
        </w:r>
      </w:hyperlink>
      <w:r>
        <w:t xml:space="preserve"> documents refereed manuscripts.</w:t>
      </w:r>
    </w:p>
    <w:p>
      <w:pPr>
        <w:jc w:val="left"/>
      </w:pPr>
      <w:r>
        <w:t xml:space="preserve">• </w:t>
      </w:r>
      <w:hyperlink r:id="rId75">
        <w:r>
          <w:rPr>
            <w:rFonts w:ascii="Times New Roman" w:hAnsi="Times New Roman" w:cs="Times New Roman" w:eastAsia="Times New Roman"/>
            <w:color w:val="000000"/>
            <w:u w:val="single"/>
          </w:rPr>
          <w:t>Journal of Development Effectiveness journal information</w:t>
        </w:r>
      </w:hyperlink>
      <w:r>
        <w:t xml:space="preserve">, </w:t>
      </w:r>
      <w:hyperlink r:id="rId76">
        <w:r>
          <w:rPr>
            <w:rFonts w:ascii="Times New Roman" w:hAnsi="Times New Roman" w:cs="Times New Roman" w:eastAsia="Times New Roman"/>
            <w:color w:val="000000"/>
            <w:u w:val="single"/>
          </w:rPr>
          <w:t>Economic Journal instructions</w:t>
        </w:r>
      </w:hyperlink>
      <w:r>
        <w:t xml:space="preserve">, and </w:t>
      </w:r>
      <w:hyperlink r:id="rId77">
        <w:r>
          <w:rPr>
            <w:rFonts w:ascii="Times New Roman" w:hAnsi="Times New Roman" w:cs="Times New Roman" w:eastAsia="Times New Roman"/>
            <w:color w:val="000000"/>
            <w:u w:val="single"/>
          </w:rPr>
          <w:t>Journal of Labor Economics author instructions</w:t>
        </w:r>
      </w:hyperlink>
      <w:r>
        <w:t xml:space="preserve"> document peer or outside review.</w:t>
      </w:r>
    </w:p>
    <w:p>
      <w:pPr>
        <w:jc w:val="left"/>
      </w:pPr>
      <w:r>
        <w:t xml:space="preserve">• </w:t>
      </w:r>
      <w:hyperlink r:id="rId78">
        <w:r>
          <w:rPr>
            <w:rFonts w:ascii="Times New Roman" w:hAnsi="Times New Roman" w:cs="Times New Roman" w:eastAsia="Times New Roman"/>
            <w:color w:val="000000"/>
            <w:u w:val="single"/>
          </w:rPr>
          <w:t>World Bank Research Observer publication information</w:t>
        </w:r>
      </w:hyperlink>
      <w:r>
        <w:t xml:space="preserve"> explicitly identifies peer review. </w:t>
      </w:r>
      <w:hyperlink r:id="rId79">
        <w:r>
          <w:rPr>
            <w:rFonts w:ascii="Times New Roman" w:hAnsi="Times New Roman" w:cs="Times New Roman" w:eastAsia="Times New Roman"/>
            <w:color w:val="000000"/>
            <w:u w:val="single"/>
          </w:rPr>
          <w:t>AERA publications policy</w:t>
        </w:r>
      </w:hyperlink>
      <w:r>
        <w:t xml:space="preserve"> identifies a double-blind reviewer panel for its journals, including Review of Educational Research.</w:t>
      </w:r>
    </w:p>
    <w:p>
      <w:pPr>
        <w:jc w:val="left"/>
      </w:pPr>
      <w:r>
        <w:t xml:space="preserve">• For the methods articles, </w:t>
      </w:r>
      <w:hyperlink r:id="rId80">
        <w:r>
          <w:rPr>
            <w:rFonts w:ascii="Times New Roman" w:hAnsi="Times New Roman" w:cs="Times New Roman" w:eastAsia="Times New Roman"/>
            <w:color w:val="000000"/>
            <w:u w:val="single"/>
          </w:rPr>
          <w:t>Review of Economics and Statistics guidelines</w:t>
        </w:r>
      </w:hyperlink>
      <w:r>
        <w:t xml:space="preserve"> document its reviewer process and </w:t>
      </w:r>
      <w:hyperlink r:id="rId81">
        <w:r>
          <w:rPr>
            <w:rFonts w:ascii="Times New Roman" w:hAnsi="Times New Roman" w:cs="Times New Roman" w:eastAsia="Times New Roman"/>
            <w:color w:val="000000"/>
            <w:u w:val="single"/>
          </w:rPr>
          <w:t>Scandinavian Journal of Statistics author guidance</w:t>
        </w:r>
      </w:hyperlink>
      <w:r>
        <w:t xml:space="preserve"> explicitly identifies peer review.</w:t>
      </w:r>
    </w:p>
    <w:p>
      <w:r>
        <w:t xml:space="preserve">The </w:t>
      </w:r>
      <w:hyperlink r:id="rId82">
        <w:r>
          <w:rPr>
            <w:rFonts w:ascii="Times New Roman" w:hAnsi="Times New Roman" w:cs="Times New Roman" w:eastAsia="Times New Roman"/>
            <w:color w:val="000000"/>
            <w:u w:val="single"/>
          </w:rPr>
          <w:t>Journal of Economic Perspectives editorial policy</w:t>
        </w:r>
      </w:hyperlink>
      <w:r>
        <w:t xml:space="preserve"> describes solicited articles and editorial review. Article-type-specific peer-review evidence for these two pieces was not verified. "Missing in Action" offers cross-country descriptive absence evidence; "Addressing Absence" reviews monitoring and implementation. Both are excluded from the accepted peer-reviewed set here. Their publication status is not upgraded by a general catalogue badge.</w:t>
      </w:r>
    </w:p>
    <w:sectPr w:rsidR="00FC693F" w:rsidRPr="0006063C" w:rsidSect="00034616">
      <w:footerReference w:type="default" r:id="rId9"/>
      <w:pgSz w:w="11906" w:h="16838"/>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76" w:lineRule="auto"/>
      <w:contextualSpacing/>
      <w:jc w:val="left"/>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257/aer.102.4.1241" TargetMode="External"/><Relationship Id="rId11" Type="http://schemas.openxmlformats.org/officeDocument/2006/relationships/hyperlink" Target="https://www.aeaweb.org/articles/pdf/doi/10.1257/aer.102.4.1241" TargetMode="External"/><Relationship Id="rId12" Type="http://schemas.openxmlformats.org/officeDocument/2006/relationships/hyperlink" Target="https://tau.primo.exlibrisgroup.com/nde/fulldisplay?vid=972TAU_INST%3ANDE&amp;lang=he&amp;docid=cdi_proquest_journals_1019773931&amp;context=PC&amp;adaptor=Primo%20Central" TargetMode="External"/><Relationship Id="rId13" Type="http://schemas.openxmlformats.org/officeDocument/2006/relationships/hyperlink" Target="https://doi.org/10.1162/jeea.2005.3.2-3.658" TargetMode="External"/><Relationship Id="rId14" Type="http://schemas.openxmlformats.org/officeDocument/2006/relationships/hyperlink" Target="https://academic.oup.com/jeea/article-abstract/3/2-3/658/2281517" TargetMode="External"/><Relationship Id="rId15" Type="http://schemas.openxmlformats.org/officeDocument/2006/relationships/hyperlink" Target="https://tau.primo.exlibrisgroup.com/nde/fulldisplay?vid=972TAU_INST%3ANDE&amp;lang=he&amp;docid=cdi_crossref_citationtrail_10_1162_jeea_2005_3_2_3_658&amp;context=PC&amp;adaptor=Primo%20Central" TargetMode="External"/><Relationship Id="rId16" Type="http://schemas.openxmlformats.org/officeDocument/2006/relationships/hyperlink" Target="https://doi.org/10.1080/19439342.2013.864695" TargetMode="External"/><Relationship Id="rId17" Type="http://schemas.openxmlformats.org/officeDocument/2006/relationships/hyperlink" Target="https://www.tandfonline.com/doi/full/10.1080/19439342.2013.864695" TargetMode="External"/><Relationship Id="rId18" Type="http://schemas.openxmlformats.org/officeDocument/2006/relationships/hyperlink" Target="https://tau.primo.exlibrisgroup.com/nde/fulldisplay?vid=972TAU_INST%3ANDE&amp;lang=he&amp;docid=cdi_informaworld_taylorfrancis_310_1080_19439342_2013_864695&amp;context=PC&amp;adaptor=Primo%20Central" TargetMode="External"/><Relationship Id="rId19" Type="http://schemas.openxmlformats.org/officeDocument/2006/relationships/hyperlink" Target="https://doi.org/10.1016/j.jpubeco.2018.04.010" TargetMode="External"/><Relationship Id="rId20" Type="http://schemas.openxmlformats.org/officeDocument/2006/relationships/hyperlink" Target="https://andrewzeitlin.io/assets/pdf/Pay%20for%20Locally%20Monitored%20Performance%20-%20JPubEc2018.pdf" TargetMode="External"/><Relationship Id="rId21" Type="http://schemas.openxmlformats.org/officeDocument/2006/relationships/hyperlink" Target="https://tau.primo.exlibrisgroup.com/nde/fulldisplay?vid=972TAU_INST%3ANDE&amp;lang=he&amp;docid=cdi_elsevier_sciencedirect_doi_10_1016_j_jpubeco_2018_04_010&amp;context=PC&amp;adaptor=Primo%20Central" TargetMode="External"/><Relationship Id="rId22" Type="http://schemas.openxmlformats.org/officeDocument/2006/relationships/hyperlink" Target="https://doi.org/10.1257/app.2.3.205" TargetMode="External"/><Relationship Id="rId23" Type="http://schemas.openxmlformats.org/officeDocument/2006/relationships/hyperlink" Target="https://scholar.harvard.edu/files/kremer/files/teacher_incentives_aej_july_2010_sunday.pdf" TargetMode="External"/><Relationship Id="rId24" Type="http://schemas.openxmlformats.org/officeDocument/2006/relationships/hyperlink" Target="https://tau.primo.exlibrisgroup.com/nde/fulldisplay?vid=972TAU_INST%3ANDE&amp;lang=he&amp;docid=cdi_jstor_primary_25760225&amp;context=PC&amp;adaptor=Primo%20Central" TargetMode="External"/><Relationship Id="rId25" Type="http://schemas.openxmlformats.org/officeDocument/2006/relationships/hyperlink" Target="https://doi.org/10.1086/659655" TargetMode="External"/><Relationship Id="rId26" Type="http://schemas.openxmlformats.org/officeDocument/2006/relationships/hyperlink" Target="https://econweb.ucsd.edu/~kamurali/papers/Published%20Articles/Publisher%20Formatted%20Versions/Teacher%20Performance%20Pay%20%28JPE%202011%29.pdf" TargetMode="External"/><Relationship Id="rId27" Type="http://schemas.openxmlformats.org/officeDocument/2006/relationships/hyperlink" Target="https://tau.primo.exlibrisgroup.com/nde/fulldisplay?vid=972TAU_INST%3ANDE&amp;lang=he&amp;docid=cdi_crossref_citationtrail_10_1086_659655&amp;context=PC&amp;adaptor=Primo%20Central" TargetMode="External"/><Relationship Id="rId28" Type="http://schemas.openxmlformats.org/officeDocument/2006/relationships/hyperlink" Target="https://doi.org/10.1162/qjec.122.3.1235" TargetMode="External"/><Relationship Id="rId29" Type="http://schemas.openxmlformats.org/officeDocument/2006/relationships/hyperlink" Target="https://www.povertyactionlab.org/sites/default/files/research-paper/6%20Computer-Assisted%20Learning%20Project%20with%20Pratham%20in%20India%2007.pdf" TargetMode="External"/><Relationship Id="rId30" Type="http://schemas.openxmlformats.org/officeDocument/2006/relationships/hyperlink" Target="https://tau.primo.exlibrisgroup.com/nde/fulldisplay?vid=972TAU_INST%3ANDE&amp;lang=he&amp;docid=cdi_proquest_journals_210981230&amp;context=PC&amp;adaptor=Primo%20Central" TargetMode="External"/><Relationship Id="rId31" Type="http://schemas.openxmlformats.org/officeDocument/2006/relationships/hyperlink" Target="https://doi.org/10.1257/aer.101.5.1739" TargetMode="External"/><Relationship Id="rId32" Type="http://schemas.openxmlformats.org/officeDocument/2006/relationships/hyperlink" Target="https://www.povertyactionlab.org/sites/default/files/research-paper/39%20Peer%20Effects%2C%20Teacher%20Incentives%2C%20and%20the%20Impact%20of%20Tracking%20Project.pdf" TargetMode="External"/><Relationship Id="rId33" Type="http://schemas.openxmlformats.org/officeDocument/2006/relationships/hyperlink" Target="https://tau.primo.exlibrisgroup.com/nde/fulldisplay?vid=972TAU_INST%3ANDE&amp;lang=he&amp;docid=cdi_unpaywall_primary_10_1257_aer_101_5_1739&amp;context=PC&amp;adaptor=Primo%20Central" TargetMode="External"/><Relationship Id="rId34" Type="http://schemas.openxmlformats.org/officeDocument/2006/relationships/hyperlink" Target="https://doi.org/10.1016/j.jdeveco.2011.11.002" TargetMode="External"/><Relationship Id="rId35" Type="http://schemas.openxmlformats.org/officeDocument/2006/relationships/hyperlink" Target="https://www.leighlinden.com/Grain_Inflation_JDE.pdf" TargetMode="External"/><Relationship Id="rId36" Type="http://schemas.openxmlformats.org/officeDocument/2006/relationships/hyperlink" Target="https://tau.primo.exlibrisgroup.com/nde/fulldisplay?vid=972TAU_INST%3ANDE&amp;lang=he&amp;docid=cdi_crossref_citationtrail_10_1016_j_jdeveco_2011_11_002&amp;context=PC&amp;adaptor=Primo%20Central" TargetMode="External"/><Relationship Id="rId37" Type="http://schemas.openxmlformats.org/officeDocument/2006/relationships/hyperlink" Target="https://doi.org/10.1162/JEEA.2008.6.2-3.487" TargetMode="External"/><Relationship Id="rId38" Type="http://schemas.openxmlformats.org/officeDocument/2006/relationships/hyperlink" Target="https://www.povertyactionlab.org/sites/default/files/documents/band-aid_0.pdf" TargetMode="External"/><Relationship Id="rId39" Type="http://schemas.openxmlformats.org/officeDocument/2006/relationships/hyperlink" Target="https://tau.primo.exlibrisgroup.com/nde/fulldisplay?vid=972TAU_INST%3ANDE&amp;lang=he&amp;docid=cdi_crossref_citationtrail_10_1162_JEEA_2008_6_2_3_487&amp;context=PC&amp;adaptor=Primo%20Central" TargetMode="External"/><Relationship Id="rId40" Type="http://schemas.openxmlformats.org/officeDocument/2006/relationships/hyperlink" Target="https://doi.org/10.1093/qje/qjx040" TargetMode="External"/><Relationship Id="rId41" Type="http://schemas.openxmlformats.org/officeDocument/2006/relationships/hyperlink" Target="https://research.vu.nl/ws/portalfiles/portal/127419178/Double_for_nothing_Experimental_evidence_on_an_unconditional_teacher_salary_increase_in_Indonesia.pdf" TargetMode="External"/><Relationship Id="rId42" Type="http://schemas.openxmlformats.org/officeDocument/2006/relationships/hyperlink" Target="https://tau.primo.exlibrisgroup.com/nde/fulldisplay?vid=972TAU_INST%3ANDE&amp;lang=he&amp;docid=cdi_jstor_primary_26864967&amp;context=PC&amp;adaptor=Primo%20Central" TargetMode="External"/><Relationship Id="rId43" Type="http://schemas.openxmlformats.org/officeDocument/2006/relationships/hyperlink" Target="https://doi.org/10.1093/qje/qjz010" TargetMode="External"/><Relationship Id="rId44" Type="http://schemas.openxmlformats.org/officeDocument/2006/relationships/hyperlink" Target="https://academic.oup.com/qje/article/134/3/1627/5479257" TargetMode="External"/><Relationship Id="rId45" Type="http://schemas.openxmlformats.org/officeDocument/2006/relationships/hyperlink" Target="https://tau.primo.exlibrisgroup.com/nde/fulldisplay?vid=972TAU_INST%3ANDE&amp;lang=he&amp;docid=cdi_jstor_primary_26760745&amp;context=PC&amp;adaptor=Primo%20Central" TargetMode="External"/><Relationship Id="rId46" Type="http://schemas.openxmlformats.org/officeDocument/2006/relationships/hyperlink" Target="https://doi.org/10.1086/667757" TargetMode="External"/><Relationship Id="rId47" Type="http://schemas.openxmlformats.org/officeDocument/2006/relationships/hyperlink" Target="https://fryer.scholars.harvard.edu/sites/g/files/omnuum5986/files/fryer/files/teacher_incentives_and_student_achievement_evidence_from_new_york_city_public_schools.pdf" TargetMode="External"/><Relationship Id="rId48" Type="http://schemas.openxmlformats.org/officeDocument/2006/relationships/hyperlink" Target="https://tau.primo.exlibrisgroup.com/nde/fulldisplay?vid=972TAU_INST%3ANDE&amp;lang=he&amp;docid=cdi_crossref_primary_10_1086_667757&amp;context=PC&amp;adaptor=Primo%20Central" TargetMode="External"/><Relationship Id="rId49" Type="http://schemas.openxmlformats.org/officeDocument/2006/relationships/hyperlink" Target="https://doi.org/10.1016/j.jpubeco.2014.11.008" TargetMode="External"/><Relationship Id="rId50" Type="http://schemas.openxmlformats.org/officeDocument/2006/relationships/hyperlink" Target="https://www.sciencedirect.com/science/article/abs/pii/S0047272714002412" TargetMode="External"/><Relationship Id="rId51" Type="http://schemas.openxmlformats.org/officeDocument/2006/relationships/hyperlink" Target="https://tau.primo.exlibrisgroup.com/nde/fulldisplay?vid=972TAU_INST%3ANDE&amp;lang=he&amp;docid=cdi_proquest_miscellaneous_1686419697&amp;context=PC&amp;adaptor=Primo%20Central" TargetMode="External"/><Relationship Id="rId52" Type="http://schemas.openxmlformats.org/officeDocument/2006/relationships/hyperlink" Target="https://doi.org/10.1257/app.5.3.27" TargetMode="External"/><Relationship Id="rId53" Type="http://schemas.openxmlformats.org/officeDocument/2006/relationships/hyperlink" Target="https://www.aeaweb.org/articles/pdf/doi/10.1257/app.5.3.27" TargetMode="External"/><Relationship Id="rId54" Type="http://schemas.openxmlformats.org/officeDocument/2006/relationships/hyperlink" Target="https://tau.primo.exlibrisgroup.com/nde/fulldisplay?vid=972TAU_INST%3ANDE&amp;lang=he&amp;docid=cdi_crossref_primary_10_1257_app_5_3_27&amp;context=PC&amp;adaptor=Primo%20Central" TargetMode="External"/><Relationship Id="rId55" Type="http://schemas.openxmlformats.org/officeDocument/2006/relationships/hyperlink" Target="https://doi.org/10.1093/wbro/lkw004" TargetMode="External"/><Relationship Id="rId56" Type="http://schemas.openxmlformats.org/officeDocument/2006/relationships/hyperlink" Target="https://documents1.worldbank.org/curated/en/998471565630022176/pdf/The-World-Bank-Research-Observer-31-2.pdf" TargetMode="External"/><Relationship Id="rId57" Type="http://schemas.openxmlformats.org/officeDocument/2006/relationships/hyperlink" Target="https://tau.primo.exlibrisgroup.com/nde/fulldisplay?vid=972TAU_INST%3ANDE&amp;lang=he&amp;docid=cdi_econis_primary_898633621&amp;context=PC&amp;adaptor=Primo%20Central" TargetMode="External"/><Relationship Id="rId58" Type="http://schemas.openxmlformats.org/officeDocument/2006/relationships/hyperlink" Target="https://doi.org/10.3102/0034654315627499" TargetMode="External"/><Relationship Id="rId59" Type="http://schemas.openxmlformats.org/officeDocument/2006/relationships/hyperlink" Target="https://journals.sagepub.com/doi/abs/10.3102/0034654315627499?rss=1&amp;ssource=mfr" TargetMode="External"/><Relationship Id="rId60" Type="http://schemas.openxmlformats.org/officeDocument/2006/relationships/hyperlink" Target="https://tau.primo.exlibrisgroup.com/nde/fulldisplay?vid=972TAU_INST%3ANDE&amp;lang=he&amp;docid=cdi_crossref_citationtrail_10_3102_0034654315627499&amp;context=PC&amp;adaptor=Primo%20Central" TargetMode="External"/><Relationship Id="rId61" Type="http://schemas.openxmlformats.org/officeDocument/2006/relationships/hyperlink" Target="https://doi.org/10.1093/ej/ueae017" TargetMode="External"/><Relationship Id="rId62" Type="http://schemas.openxmlformats.org/officeDocument/2006/relationships/hyperlink" Target="https://academic.oup.com/ej/article/134/661/2207/7625080" TargetMode="External"/><Relationship Id="rId63" Type="http://schemas.openxmlformats.org/officeDocument/2006/relationships/hyperlink" Target="https://tau.primo.exlibrisgroup.com/nde/fulldisplay?vid=972TAU_INST%3ANDE&amp;lang=he&amp;docid=cdi_unpaywall_primary_10_1093_ej_ueae017&amp;context=PC&amp;adaptor=Primo%20Central" TargetMode="External"/><Relationship Id="rId64" Type="http://schemas.openxmlformats.org/officeDocument/2006/relationships/hyperlink" Target="https://doi.org/10.1162/rest.90.3.414" TargetMode="External"/><Relationship Id="rId65" Type="http://schemas.openxmlformats.org/officeDocument/2006/relationships/hyperlink" Target="https://direct.mit.edu/rest/article/90/3/414/57731/Bootstrap-Based-Improvements-for-Inference-with" TargetMode="External"/><Relationship Id="rId66" Type="http://schemas.openxmlformats.org/officeDocument/2006/relationships/hyperlink" Target="https://www.jstor.org/stable/4615733" TargetMode="External"/><Relationship Id="rId67" Type="http://schemas.openxmlformats.org/officeDocument/2006/relationships/hyperlink" Target="https://doi.org/10.3886/E112523V1" TargetMode="External"/><Relationship Id="rId68" Type="http://schemas.openxmlformats.org/officeDocument/2006/relationships/hyperlink" Target="https://www.aeaweb.org/journals/aer/editorial-policy" TargetMode="External"/><Relationship Id="rId69" Type="http://schemas.openxmlformats.org/officeDocument/2006/relationships/hyperlink" Target="https://www.aeaweb.org/journals/app/editorial-policy" TargetMode="External"/><Relationship Id="rId70" Type="http://schemas.openxmlformats.org/officeDocument/2006/relationships/hyperlink" Target="https://academic.oup.com/qje/pages/Policies" TargetMode="External"/><Relationship Id="rId71" Type="http://schemas.openxmlformats.org/officeDocument/2006/relationships/hyperlink" Target="https://www.journals.uchicago.edu/journals/jpe/instruct" TargetMode="External"/><Relationship Id="rId72" Type="http://schemas.openxmlformats.org/officeDocument/2006/relationships/hyperlink" Target="https://academic.oup.com/jeea/pages/Author_Guidelines" TargetMode="External"/><Relationship Id="rId73" Type="http://schemas.openxmlformats.org/officeDocument/2006/relationships/hyperlink" Target="https://www.sciencedirect.com/journal/journal-of-public-economics/publish/guide-for-authors" TargetMode="External"/><Relationship Id="rId74" Type="http://schemas.openxmlformats.org/officeDocument/2006/relationships/hyperlink" Target="https://shop.elsevier.com/journals/subjects/social-sciences-and-humanities/economics-and-finance/economic-development-technological-change-and-growth" TargetMode="External"/><Relationship Id="rId75" Type="http://schemas.openxmlformats.org/officeDocument/2006/relationships/hyperlink" Target="https://www.tandfonline.com/rjde" TargetMode="External"/><Relationship Id="rId76" Type="http://schemas.openxmlformats.org/officeDocument/2006/relationships/hyperlink" Target="https://academic.oup.com/ej/pages/General_Instructions" TargetMode="External"/><Relationship Id="rId77" Type="http://schemas.openxmlformats.org/officeDocument/2006/relationships/hyperlink" Target="https://www.journals.uchicago.edu/journals/jole/instruct" TargetMode="External"/><Relationship Id="rId78" Type="http://schemas.openxmlformats.org/officeDocument/2006/relationships/hyperlink" Target="https://academic.oup.com/wbro/pages/why-submit" TargetMode="External"/><Relationship Id="rId79" Type="http://schemas.openxmlformats.org/officeDocument/2006/relationships/hyperlink" Target="https://www.aera.net/Publications/Publications-FAQs" TargetMode="External"/><Relationship Id="rId80" Type="http://schemas.openxmlformats.org/officeDocument/2006/relationships/hyperlink" Target="https://direct.mit.edu/rest/pages/submission-guidelines" TargetMode="External"/><Relationship Id="rId81" Type="http://schemas.openxmlformats.org/officeDocument/2006/relationships/hyperlink" Target="https://onlinelibrary.wiley.com/page/journal/14679469/homepage/forauthors.html" TargetMode="External"/><Relationship Id="rId82" Type="http://schemas.openxmlformats.org/officeDocument/2006/relationships/hyperlink" Target="https://www.aeaweb.org/journals/jep/editorial-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guide for attendance incentives and baseline writing</dc:title>
  <dc:subject>Annotated peer-reviewed literature guide for the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